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ECF" w:rsidRDefault="005B2ECF" w:rsidP="005B2ECF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Poznámky ako súčasť účtovnej závierky k 31. decembru 2025</w:t>
      </w:r>
    </w:p>
    <w:p w:rsidR="005B2ECF" w:rsidRDefault="005B2ECF" w:rsidP="005B2ECF">
      <w:pPr>
        <w:rPr>
          <w:rFonts w:ascii="Times New Roman" w:hAnsi="Times New Roman" w:cs="Times New Roman"/>
          <w:sz w:val="24"/>
          <w:szCs w:val="24"/>
        </w:rPr>
      </w:pPr>
    </w:p>
    <w:p w:rsidR="005B2ECF" w:rsidRDefault="005B2ECF" w:rsidP="005B2E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Čl. I</w:t>
      </w:r>
    </w:p>
    <w:p w:rsidR="005B2ECF" w:rsidRDefault="005B2ECF" w:rsidP="005B2E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VŠEOBECNÉ ÚDAJE</w:t>
      </w:r>
    </w:p>
    <w:p w:rsidR="005B2ECF" w:rsidRDefault="005B2ECF" w:rsidP="005B2ECF">
      <w:pPr>
        <w:rPr>
          <w:rFonts w:ascii="Times New Roman" w:hAnsi="Times New Roman" w:cs="Times New Roman"/>
          <w:sz w:val="24"/>
          <w:szCs w:val="24"/>
        </w:rPr>
      </w:pPr>
    </w:p>
    <w:p w:rsidR="005B2ECF" w:rsidRDefault="005B2ECF" w:rsidP="005B2ECF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Názov: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Rampi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s.r.o.</w:t>
      </w:r>
    </w:p>
    <w:p w:rsidR="005B2ECF" w:rsidRDefault="005B2ECF" w:rsidP="005B2ECF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Sídlo: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Malokýrska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1137/40, 941 07  Veľký Kýr</w:t>
      </w:r>
    </w:p>
    <w:p w:rsidR="005B2ECF" w:rsidRDefault="005B2ECF" w:rsidP="005B2ECF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IČO: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55036848</w:t>
      </w:r>
    </w:p>
    <w:p w:rsidR="005B2ECF" w:rsidRDefault="005B2ECF" w:rsidP="005B2ECF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DIČ: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2121843273</w:t>
      </w:r>
    </w:p>
    <w:p w:rsidR="005B2ECF" w:rsidRDefault="005B2ECF" w:rsidP="005B2ECF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Právna forma 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spoločnosť s ručením obmedzeným</w:t>
      </w:r>
    </w:p>
    <w:p w:rsidR="005B2ECF" w:rsidRDefault="005B2ECF" w:rsidP="005B2ECF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Dôvod na zostavenie účtovnej závierky. </w:t>
      </w:r>
      <w:r>
        <w:rPr>
          <w:rFonts w:ascii="Times New Roman" w:hAnsi="Times New Roman" w:cs="Times New Roman"/>
          <w:sz w:val="24"/>
          <w:szCs w:val="24"/>
        </w:rPr>
        <w:tab/>
        <w:t>riadna</w:t>
      </w:r>
    </w:p>
    <w:p w:rsidR="005B2ECF" w:rsidRDefault="005B2ECF" w:rsidP="005B2ECF">
      <w:pPr>
        <w:rPr>
          <w:rFonts w:ascii="Times New Roman" w:hAnsi="Times New Roman" w:cs="Times New Roman"/>
          <w:sz w:val="24"/>
          <w:szCs w:val="24"/>
        </w:rPr>
      </w:pPr>
    </w:p>
    <w:p w:rsidR="005B2ECF" w:rsidRDefault="005B2ECF" w:rsidP="005B2ECF">
      <w:pPr>
        <w:rPr>
          <w:rFonts w:ascii="Times New Roman" w:hAnsi="Times New Roman" w:cs="Times New Roman"/>
          <w:sz w:val="24"/>
          <w:szCs w:val="24"/>
        </w:rPr>
      </w:pPr>
    </w:p>
    <w:p w:rsidR="005B2ECF" w:rsidRDefault="005B2ECF" w:rsidP="005B2E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Spoločnosť   je  založená  na  základe   spoločenskej  zmluvy,  dňom  vzniku  spoločnosti  je    12.11.2022 a zapísaná v OR Okresného súdu Nitra, oddiel : </w:t>
      </w:r>
      <w:proofErr w:type="spellStart"/>
      <w:r>
        <w:rPr>
          <w:rFonts w:ascii="Times New Roman" w:hAnsi="Times New Roman" w:cs="Times New Roman"/>
          <w:sz w:val="24"/>
          <w:szCs w:val="24"/>
        </w:rPr>
        <w:t>Sro</w:t>
      </w:r>
      <w:proofErr w:type="spellEnd"/>
      <w:r>
        <w:rPr>
          <w:rFonts w:ascii="Times New Roman" w:hAnsi="Times New Roman" w:cs="Times New Roman"/>
          <w:sz w:val="24"/>
          <w:szCs w:val="24"/>
        </w:rPr>
        <w:t>; vložka číslo : 58828/N.</w:t>
      </w:r>
    </w:p>
    <w:p w:rsidR="005B2ECF" w:rsidRDefault="005B2ECF" w:rsidP="005B2ECF">
      <w:pPr>
        <w:rPr>
          <w:rFonts w:ascii="Times New Roman" w:hAnsi="Times New Roman" w:cs="Times New Roman"/>
          <w:sz w:val="24"/>
          <w:szCs w:val="24"/>
        </w:rPr>
      </w:pPr>
    </w:p>
    <w:p w:rsidR="005B2ECF" w:rsidRDefault="005B2ECF" w:rsidP="005B2ECF">
      <w:pPr>
        <w:rPr>
          <w:rFonts w:ascii="Times New Roman" w:hAnsi="Times New Roman" w:cs="Times New Roman"/>
          <w:sz w:val="24"/>
          <w:szCs w:val="24"/>
        </w:rPr>
      </w:pPr>
    </w:p>
    <w:p w:rsidR="005B2ECF" w:rsidRDefault="005B2ECF" w:rsidP="005B2E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Základné  imanie 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5.000,00 EUR</w:t>
      </w:r>
    </w:p>
    <w:p w:rsidR="005B2ECF" w:rsidRDefault="005B2ECF" w:rsidP="005B2E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Podiel  účastníkov  spoločnosti  na  základnom  imaní  je :</w:t>
      </w:r>
    </w:p>
    <w:p w:rsidR="005B2ECF" w:rsidRDefault="005B2ECF" w:rsidP="005B2E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Dalibor </w:t>
      </w:r>
      <w:proofErr w:type="spellStart"/>
      <w:r>
        <w:rPr>
          <w:rFonts w:ascii="Times New Roman" w:hAnsi="Times New Roman" w:cs="Times New Roman"/>
          <w:sz w:val="24"/>
          <w:szCs w:val="24"/>
        </w:rPr>
        <w:t>Rampaško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5.000,00 EUR   t. j.  100%</w:t>
      </w:r>
    </w:p>
    <w:p w:rsidR="005B2ECF" w:rsidRDefault="005B2ECF" w:rsidP="005B2ECF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Štatutárne  orgány :</w:t>
      </w:r>
    </w:p>
    <w:p w:rsidR="005B2ECF" w:rsidRDefault="005B2ECF" w:rsidP="005B2ECF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KONATEĽ : DALIBOR RAMPAŠKO, MALOKÝRSKA 1137/40, VEĽKÝ KÝR</w:t>
      </w:r>
    </w:p>
    <w:p w:rsidR="005B2ECF" w:rsidRDefault="005B2ECF" w:rsidP="005B2ECF">
      <w:pPr>
        <w:rPr>
          <w:rFonts w:ascii="Times New Roman" w:hAnsi="Times New Roman" w:cs="Times New Roman"/>
          <w:sz w:val="24"/>
          <w:szCs w:val="24"/>
        </w:rPr>
      </w:pPr>
    </w:p>
    <w:p w:rsidR="005B2ECF" w:rsidRDefault="005B2ECF" w:rsidP="005B2ECF">
      <w:p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Čl.II</w:t>
      </w:r>
      <w:proofErr w:type="spellEnd"/>
    </w:p>
    <w:p w:rsidR="005B2ECF" w:rsidRDefault="005B2ECF" w:rsidP="005B2E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Predmet podnikania:</w:t>
      </w:r>
    </w:p>
    <w:p w:rsidR="005B2ECF" w:rsidRDefault="005B2ECF" w:rsidP="005B2ECF">
      <w:pPr>
        <w:pStyle w:val="Bezriadkovania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Hlavné činnosti  spoločnosti :</w:t>
      </w:r>
    </w:p>
    <w:p w:rsidR="005B2ECF" w:rsidRDefault="005B2ECF" w:rsidP="005B2ECF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Výroba a opracovanie jednoduchých výrobkov z kovu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5B2ECF" w:rsidRDefault="005B2ECF" w:rsidP="005B2ECF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Prípravné práce k realizácii stavby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5B2ECF" w:rsidRDefault="005B2ECF" w:rsidP="005B2ECF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Dokončovacie stavebné práce pri realizácii exteriérov a interiérov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B2ECF" w:rsidRDefault="005B2ECF" w:rsidP="005B2ECF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Sprostredkovateľská činnosť v oblasti obchodu, služieb, výroby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B2ECF" w:rsidRDefault="005B2ECF" w:rsidP="005B2ECF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Kúpa tovaru na účely jeho predaja konečnému spotrebiteľovi (maloobchod) alebo iným prevádzkovateľom živnosti (veľkoobchod)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5B2ECF" w:rsidRDefault="005B2ECF" w:rsidP="005B2ECF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Prenájom hnuteľných vecí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</w:p>
    <w:p w:rsidR="005B2ECF" w:rsidRDefault="005B2ECF" w:rsidP="005B2ECF">
      <w:pPr>
        <w:pStyle w:val="Bezriadkovani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Pohostinská činnosť a výroba hotových jedál určených na priamu spotrebu mimo prevádzkových priestorov</w:t>
      </w:r>
    </w:p>
    <w:p w:rsidR="005B2ECF" w:rsidRDefault="005B2ECF" w:rsidP="005B2ECF">
      <w:pPr>
        <w:rPr>
          <w:rFonts w:ascii="Times New Roman" w:hAnsi="Times New Roman" w:cs="Times New Roman"/>
          <w:sz w:val="24"/>
          <w:szCs w:val="24"/>
        </w:rPr>
      </w:pPr>
    </w:p>
    <w:p w:rsidR="005B2ECF" w:rsidRDefault="005B2ECF" w:rsidP="005B2ECF">
      <w:pPr>
        <w:rPr>
          <w:rFonts w:ascii="Times New Roman" w:hAnsi="Times New Roman" w:cs="Times New Roman"/>
          <w:sz w:val="24"/>
          <w:szCs w:val="24"/>
        </w:rPr>
      </w:pPr>
    </w:p>
    <w:p w:rsidR="005B2ECF" w:rsidRDefault="005B2ECF" w:rsidP="005B2ECF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bookmarkStart w:id="0" w:name="_Toc530739899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II</w:t>
      </w:r>
    </w:p>
    <w:p w:rsidR="005B2ECF" w:rsidRDefault="005B2ECF" w:rsidP="005B2ECF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</w:p>
    <w:p w:rsidR="005B2ECF" w:rsidRDefault="005B2ECF" w:rsidP="005B2ECF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Informácie o účtovných zásadách a účtovných metódach</w:t>
      </w:r>
      <w:bookmarkEnd w:id="0"/>
    </w:p>
    <w:p w:rsidR="005B2ECF" w:rsidRDefault="005B2ECF" w:rsidP="005B2ECF">
      <w:pPr>
        <w:pStyle w:val="Zkladntext"/>
        <w:ind w:left="450"/>
        <w:rPr>
          <w:sz w:val="24"/>
          <w:szCs w:val="24"/>
        </w:rPr>
      </w:pPr>
    </w:p>
    <w:p w:rsidR="005B2ECF" w:rsidRDefault="005B2ECF" w:rsidP="005B2ECF">
      <w:pPr>
        <w:pStyle w:val="Zkladntext"/>
        <w:numPr>
          <w:ilvl w:val="0"/>
          <w:numId w:val="3"/>
        </w:numPr>
        <w:ind w:left="426" w:hanging="426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Účtovná závierka je zostavená za predpokladu nepretržitého pokračovania účtovnej jednotky. </w:t>
      </w:r>
    </w:p>
    <w:p w:rsidR="005B2ECF" w:rsidRDefault="005B2ECF" w:rsidP="005B2ECF">
      <w:pPr>
        <w:pStyle w:val="Zkladntext"/>
        <w:rPr>
          <w:bCs/>
          <w:sz w:val="24"/>
          <w:szCs w:val="24"/>
        </w:rPr>
      </w:pPr>
    </w:p>
    <w:p w:rsidR="005B2ECF" w:rsidRDefault="005B2ECF" w:rsidP="005B2ECF">
      <w:pPr>
        <w:pStyle w:val="Zkladntext"/>
        <w:ind w:left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(2)   Spôsob ocenenia jednotlivých položiek </w:t>
      </w:r>
    </w:p>
    <w:p w:rsidR="005B2ECF" w:rsidRDefault="005B2ECF" w:rsidP="005B2ECF">
      <w:pPr>
        <w:pStyle w:val="Pismenka"/>
        <w:tabs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a)    Dlhodobý nehmotný a dlhodobý hmotný majetok</w:t>
      </w:r>
    </w:p>
    <w:p w:rsidR="005B2ECF" w:rsidRDefault="005B2ECF" w:rsidP="005B2ECF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Dlhodobý majetok nakupovaný sa oceňuje obstarávacou cenou. Obstarávacia cena zahŕňa cenu, za ktorú sa majetok obstaral a náklady súvisiace s jeho obstaraním (preprava, montáž a pod.). Súčasťou obstarávacej ceny nie sú úroky z cudzích zdrojov ani realizované kurzové rozdiely, ktoré vznikli do momentu uvedenia dlhodobého majetku do užívania.</w:t>
      </w:r>
    </w:p>
    <w:p w:rsidR="005B2ECF" w:rsidRDefault="005B2ECF" w:rsidP="005B2ECF">
      <w:pPr>
        <w:pStyle w:val="Pismenka"/>
        <w:numPr>
          <w:ilvl w:val="0"/>
          <w:numId w:val="4"/>
        </w:numPr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Zásoby </w:t>
      </w:r>
    </w:p>
    <w:p w:rsidR="005B2ECF" w:rsidRDefault="005B2ECF" w:rsidP="005B2ECF">
      <w:pPr>
        <w:pStyle w:val="Pismenka"/>
        <w:tabs>
          <w:tab w:val="clear" w:pos="426"/>
          <w:tab w:val="left" w:pos="708"/>
        </w:tabs>
        <w:ind w:left="420" w:firstLine="0"/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 xml:space="preserve">Nakupované zásoby sa oceňujú obstarávacou cenou. Obstarávacia cena zahŕňa cenu zásob a náklady súvisiace s ich obstaraním (preprava a pod.). </w:t>
      </w:r>
    </w:p>
    <w:p w:rsidR="005B2ECF" w:rsidRDefault="005B2ECF" w:rsidP="005B2ECF">
      <w:pPr>
        <w:pStyle w:val="Zkladntext"/>
        <w:rPr>
          <w:sz w:val="24"/>
        </w:rPr>
      </w:pPr>
      <w:r>
        <w:rPr>
          <w:sz w:val="24"/>
        </w:rPr>
        <w:t>Darované zásoby sa oceňujú reprodukčnou obstarávacou cenou (napr. určenou v darovacej zmluve). Uplatňuje sa  zásada opatrnosti – prechodné zníženie hodnoty zásob sa vyjadruje vytvorením opravnej položky.</w:t>
      </w:r>
    </w:p>
    <w:p w:rsidR="005B2ECF" w:rsidRDefault="005B2ECF" w:rsidP="005B2ECF">
      <w:pPr>
        <w:pStyle w:val="Pismenka"/>
        <w:rPr>
          <w:sz w:val="24"/>
          <w:szCs w:val="24"/>
        </w:rPr>
      </w:pPr>
      <w:r>
        <w:rPr>
          <w:sz w:val="24"/>
          <w:szCs w:val="24"/>
        </w:rPr>
        <w:t xml:space="preserve">c)    </w:t>
      </w:r>
      <w:r>
        <w:rPr>
          <w:b w:val="0"/>
          <w:sz w:val="24"/>
          <w:szCs w:val="24"/>
        </w:rPr>
        <w:t>Pohľadávky</w:t>
      </w:r>
    </w:p>
    <w:p w:rsidR="005B2ECF" w:rsidRDefault="005B2ECF" w:rsidP="005B2ECF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ich menovitou hodnotou. </w:t>
      </w:r>
    </w:p>
    <w:p w:rsidR="005B2ECF" w:rsidRDefault="005B2ECF" w:rsidP="005B2ECF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Uplatňuje sa zásada opatrnosti – prechodné zníženie hodnoty pohľadávok sa vyjadruje vytvorením opravnej položky.</w:t>
      </w:r>
    </w:p>
    <w:p w:rsidR="005B2ECF" w:rsidRDefault="005B2ECF" w:rsidP="005B2ECF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d)</w:t>
      </w:r>
      <w:r>
        <w:rPr>
          <w:sz w:val="24"/>
          <w:szCs w:val="24"/>
        </w:rPr>
        <w:tab/>
      </w:r>
      <w:r>
        <w:rPr>
          <w:b w:val="0"/>
          <w:sz w:val="24"/>
          <w:szCs w:val="24"/>
        </w:rPr>
        <w:t>Peňažné prostriedky a ceniny</w:t>
      </w:r>
    </w:p>
    <w:p w:rsidR="005B2ECF" w:rsidRDefault="005B2ECF" w:rsidP="005B2ECF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Peňažné prostriedky a ceniny sa oceňujú ich menovitou hodnotou.</w:t>
      </w:r>
    </w:p>
    <w:p w:rsidR="005B2ECF" w:rsidRDefault="005B2ECF" w:rsidP="005B2ECF">
      <w:pPr>
        <w:pStyle w:val="Pismenka"/>
        <w:rPr>
          <w:sz w:val="24"/>
          <w:szCs w:val="24"/>
        </w:rPr>
      </w:pPr>
      <w:r>
        <w:rPr>
          <w:sz w:val="24"/>
          <w:szCs w:val="24"/>
        </w:rPr>
        <w:t>e)</w:t>
      </w:r>
      <w:r>
        <w:rPr>
          <w:sz w:val="24"/>
          <w:szCs w:val="24"/>
        </w:rPr>
        <w:tab/>
      </w:r>
      <w:r>
        <w:rPr>
          <w:b w:val="0"/>
          <w:sz w:val="24"/>
          <w:szCs w:val="24"/>
        </w:rPr>
        <w:t>Náklady budúcich období a príjmy budúcich období</w:t>
      </w:r>
    </w:p>
    <w:p w:rsidR="005B2ECF" w:rsidRDefault="005B2ECF" w:rsidP="005B2ECF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>Pri účtovaní nákladov a výnosov sa uplatňuje zásada časového rozlišovania. Náklady budúcich období a príjmy budúcich období sa vykazujú vo výške, ktorá je potrebná na dodržanie zásady vecnej a časovej súvislosti s účtovným obdobím.</w:t>
      </w:r>
    </w:p>
    <w:p w:rsidR="005B2ECF" w:rsidRDefault="005B2ECF" w:rsidP="005B2ECF">
      <w:pPr>
        <w:pStyle w:val="Pismenka"/>
        <w:rPr>
          <w:b w:val="0"/>
          <w:sz w:val="24"/>
          <w:szCs w:val="24"/>
        </w:rPr>
      </w:pPr>
      <w:r>
        <w:rPr>
          <w:sz w:val="24"/>
          <w:szCs w:val="24"/>
        </w:rPr>
        <w:t>f)</w:t>
      </w:r>
      <w:r>
        <w:rPr>
          <w:sz w:val="24"/>
          <w:szCs w:val="24"/>
        </w:rPr>
        <w:tab/>
      </w:r>
      <w:r>
        <w:rPr>
          <w:b w:val="0"/>
          <w:sz w:val="24"/>
          <w:szCs w:val="24"/>
        </w:rPr>
        <w:t>Rezervy</w:t>
      </w:r>
    </w:p>
    <w:p w:rsidR="005B2ECF" w:rsidRDefault="005B2ECF" w:rsidP="005B2ECF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Rezervy sú záväzky s neurčitým časovým vymedzením alebo výškou; tvoria sa základe zásady opatrnosti na krytie známych rizík alebo strát. Oceňujú sa v očakávanej výške záväzku. </w:t>
      </w:r>
    </w:p>
    <w:p w:rsidR="005B2ECF" w:rsidRDefault="005B2ECF" w:rsidP="005B2ECF">
      <w:pPr>
        <w:pStyle w:val="Pismenka"/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>g)</w:t>
      </w:r>
      <w:r>
        <w:rPr>
          <w:sz w:val="24"/>
          <w:szCs w:val="24"/>
        </w:rPr>
        <w:tab/>
      </w:r>
      <w:r>
        <w:rPr>
          <w:b w:val="0"/>
          <w:sz w:val="24"/>
          <w:szCs w:val="24"/>
        </w:rPr>
        <w:t>Záväzky</w:t>
      </w:r>
    </w:p>
    <w:p w:rsidR="005B2ECF" w:rsidRDefault="005B2ECF" w:rsidP="005B2ECF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Záväzky pri ich vzniku sa oceňujú menovitou hodnotou. Ak sa pri inventarizácii zistí, že suma záväzkov je iná ako ich výška v účtovníctve, nevytvárajú sa opravné položky, ale ich zvýšenie alebo zníženie sa účtujú priamo na účte záväzkov so súvzťažným </w:t>
      </w:r>
      <w:proofErr w:type="spellStart"/>
      <w:r>
        <w:rPr>
          <w:sz w:val="24"/>
          <w:szCs w:val="24"/>
        </w:rPr>
        <w:t>zápisomna</w:t>
      </w:r>
      <w:proofErr w:type="spellEnd"/>
      <w:r>
        <w:rPr>
          <w:sz w:val="24"/>
          <w:szCs w:val="24"/>
        </w:rPr>
        <w:t xml:space="preserve"> ťarchu príslušného účtu nákladov alebo v prospech príslušného účtu výnosov.</w:t>
      </w:r>
    </w:p>
    <w:p w:rsidR="005B2ECF" w:rsidRDefault="005B2ECF" w:rsidP="005B2ECF">
      <w:pPr>
        <w:pStyle w:val="Pismenka"/>
        <w:rPr>
          <w:b w:val="0"/>
          <w:sz w:val="24"/>
          <w:szCs w:val="24"/>
        </w:rPr>
      </w:pPr>
      <w:r>
        <w:rPr>
          <w:sz w:val="24"/>
          <w:szCs w:val="24"/>
        </w:rPr>
        <w:t>h)</w:t>
      </w:r>
      <w:r>
        <w:rPr>
          <w:sz w:val="24"/>
          <w:szCs w:val="24"/>
        </w:rPr>
        <w:tab/>
      </w:r>
      <w:r>
        <w:rPr>
          <w:b w:val="0"/>
          <w:sz w:val="24"/>
          <w:szCs w:val="24"/>
        </w:rPr>
        <w:t>Výdavky budúcich období a výnosy budúcich období</w:t>
      </w:r>
    </w:p>
    <w:p w:rsidR="005B2ECF" w:rsidRDefault="005B2ECF" w:rsidP="005B2ECF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Výdavky budúcich období a výnosy budúcich období sa vykazujú vo výške, ktorá je potrebná na dodržanie zásady vecnej a časovej súvislosti s účtovným obdobím. </w:t>
      </w:r>
    </w:p>
    <w:p w:rsidR="005B2ECF" w:rsidRDefault="005B2ECF" w:rsidP="005B2ECF">
      <w:pPr>
        <w:pStyle w:val="Pismenka"/>
        <w:rPr>
          <w:b w:val="0"/>
          <w:sz w:val="24"/>
          <w:szCs w:val="24"/>
        </w:rPr>
      </w:pPr>
      <w:r>
        <w:rPr>
          <w:sz w:val="24"/>
          <w:szCs w:val="24"/>
        </w:rPr>
        <w:t>i)</w:t>
      </w:r>
      <w:r>
        <w:rPr>
          <w:sz w:val="24"/>
          <w:szCs w:val="24"/>
        </w:rPr>
        <w:tab/>
      </w:r>
      <w:r>
        <w:rPr>
          <w:b w:val="0"/>
          <w:sz w:val="24"/>
          <w:szCs w:val="24"/>
        </w:rPr>
        <w:t>Cudzia mena</w:t>
      </w:r>
    </w:p>
    <w:p w:rsidR="005B2ECF" w:rsidRDefault="005B2ECF" w:rsidP="005B2ECF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prepočítavajú na menu euro kurzom určeným v kurzovom lístku ECB platným ku dňu uskutočnenia účtovného prípadu a ku dňu, ku ktorému sa zostavuje účtovná závierka. V účtovnej závierke sú vykázané </w:t>
      </w:r>
      <w:r>
        <w:rPr>
          <w:sz w:val="24"/>
          <w:szCs w:val="24"/>
        </w:rPr>
        <w:lastRenderedPageBreak/>
        <w:t>s prepočtom podľa kurzu platného ku dňu, ku ktorému sa zostavuje. Kurzové straty sa  účtujú  do nákladov a kurzové zisky do výnosov.</w:t>
      </w:r>
    </w:p>
    <w:p w:rsidR="005B2ECF" w:rsidRDefault="005B2ECF" w:rsidP="005B2ECF">
      <w:pPr>
        <w:pStyle w:val="Zkladntext"/>
        <w:rPr>
          <w:sz w:val="24"/>
          <w:szCs w:val="24"/>
        </w:rPr>
      </w:pPr>
    </w:p>
    <w:p w:rsidR="005B2ECF" w:rsidRDefault="005B2ECF" w:rsidP="005B2ECF">
      <w:pPr>
        <w:pStyle w:val="Zkladntext"/>
        <w:numPr>
          <w:ilvl w:val="0"/>
          <w:numId w:val="5"/>
        </w:numPr>
        <w:ind w:left="360"/>
        <w:rPr>
          <w:sz w:val="24"/>
          <w:szCs w:val="24"/>
        </w:rPr>
      </w:pPr>
      <w:r>
        <w:rPr>
          <w:sz w:val="24"/>
          <w:szCs w:val="24"/>
        </w:rPr>
        <w:t xml:space="preserve">Účtovná jednotka nie je platiteľom dane z pridanej hodnoty. </w:t>
      </w:r>
    </w:p>
    <w:p w:rsidR="005B2ECF" w:rsidRDefault="005B2ECF" w:rsidP="005B2ECF">
      <w:pPr>
        <w:pStyle w:val="Zkladntext"/>
        <w:ind w:left="360"/>
        <w:rPr>
          <w:sz w:val="24"/>
          <w:szCs w:val="24"/>
        </w:rPr>
      </w:pPr>
    </w:p>
    <w:p w:rsidR="005B2ECF" w:rsidRDefault="005B2ECF" w:rsidP="005B2ECF">
      <w:pPr>
        <w:pStyle w:val="Zkladntext"/>
        <w:ind w:left="0"/>
        <w:rPr>
          <w:sz w:val="24"/>
          <w:szCs w:val="24"/>
        </w:rPr>
      </w:pPr>
    </w:p>
    <w:p w:rsidR="005B2ECF" w:rsidRDefault="005B2ECF" w:rsidP="005B2ECF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bookmarkStart w:id="1" w:name="_Toc530739900"/>
      <w:r>
        <w:rPr>
          <w:sz w:val="24"/>
          <w:szCs w:val="24"/>
        </w:rPr>
        <w:t>Č</w:t>
      </w:r>
      <w:r>
        <w:rPr>
          <w:caps w:val="0"/>
          <w:sz w:val="24"/>
          <w:szCs w:val="24"/>
        </w:rPr>
        <w:t>l</w:t>
      </w:r>
      <w:r>
        <w:rPr>
          <w:sz w:val="24"/>
          <w:szCs w:val="24"/>
        </w:rPr>
        <w:t>. III</w:t>
      </w:r>
    </w:p>
    <w:p w:rsidR="005B2ECF" w:rsidRDefault="005B2ECF" w:rsidP="005B2ECF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informácie o údajoch na strane aktív súvahy</w:t>
      </w:r>
      <w:bookmarkEnd w:id="1"/>
    </w:p>
    <w:p w:rsidR="005B2ECF" w:rsidRDefault="005B2ECF" w:rsidP="005B2ECF">
      <w:pPr>
        <w:pStyle w:val="Hlavika"/>
        <w:tabs>
          <w:tab w:val="left" w:pos="708"/>
        </w:tabs>
        <w:jc w:val="both"/>
        <w:rPr>
          <w:sz w:val="24"/>
          <w:szCs w:val="24"/>
        </w:rPr>
      </w:pPr>
    </w:p>
    <w:p w:rsidR="005B2ECF" w:rsidRDefault="005B2ECF" w:rsidP="005B2ECF">
      <w:pPr>
        <w:pStyle w:val="Nadpis2"/>
        <w:numPr>
          <w:ilvl w:val="0"/>
          <w:numId w:val="6"/>
        </w:numPr>
        <w:rPr>
          <w:sz w:val="24"/>
          <w:szCs w:val="24"/>
        </w:rPr>
      </w:pPr>
      <w:bookmarkStart w:id="2" w:name="_Toc530739901"/>
      <w:r>
        <w:rPr>
          <w:sz w:val="24"/>
          <w:szCs w:val="24"/>
        </w:rPr>
        <w:t>Neobežný majetok - Dlhodobý nehmotný majetok a dlhodobý hmotný majetok</w:t>
      </w:r>
      <w:bookmarkEnd w:id="2"/>
    </w:p>
    <w:p w:rsidR="005B2ECF" w:rsidRDefault="005B2ECF" w:rsidP="005B2ECF">
      <w:pPr>
        <w:pStyle w:val="Zkladntext"/>
        <w:rPr>
          <w:sz w:val="24"/>
          <w:szCs w:val="24"/>
        </w:rPr>
      </w:pPr>
    </w:p>
    <w:p w:rsidR="005B2ECF" w:rsidRDefault="005B2ECF" w:rsidP="005B2EC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pohybe dlhodobého nehmotného a dlhodobého hmotného majetku od 1. januára 2025 do 31. decembra 2025:</w:t>
      </w:r>
    </w:p>
    <w:p w:rsidR="005B2ECF" w:rsidRDefault="005B2ECF" w:rsidP="005B2ECF">
      <w:pPr>
        <w:pStyle w:val="Zkladntext"/>
        <w:ind w:hanging="426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</w:t>
      </w:r>
      <w:r>
        <w:rPr>
          <w:sz w:val="24"/>
          <w:szCs w:val="24"/>
        </w:rPr>
        <w:t>V EUR</w:t>
      </w:r>
    </w:p>
    <w:tbl>
      <w:tblPr>
        <w:tblW w:w="93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079"/>
        <w:gridCol w:w="1079"/>
        <w:gridCol w:w="559"/>
        <w:gridCol w:w="540"/>
        <w:gridCol w:w="940"/>
        <w:gridCol w:w="900"/>
        <w:gridCol w:w="840"/>
        <w:gridCol w:w="600"/>
        <w:gridCol w:w="900"/>
        <w:gridCol w:w="29"/>
        <w:gridCol w:w="871"/>
        <w:gridCol w:w="940"/>
        <w:gridCol w:w="23"/>
      </w:tblGrid>
      <w:tr w:rsidR="005B2ECF" w:rsidTr="005B2ECF">
        <w:trPr>
          <w:cantSplit/>
        </w:trPr>
        <w:tc>
          <w:tcPr>
            <w:tcW w:w="10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</w:p>
          <w:p w:rsidR="005B2ECF" w:rsidRDefault="005B2ECF">
            <w:pPr>
              <w:pStyle w:val="Zkladntext"/>
              <w:spacing w:line="276" w:lineRule="auto"/>
              <w:ind w:left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Názov</w:t>
            </w:r>
          </w:p>
        </w:tc>
        <w:tc>
          <w:tcPr>
            <w:tcW w:w="3120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OC / ROC</w:t>
            </w:r>
          </w:p>
        </w:tc>
        <w:tc>
          <w:tcPr>
            <w:tcW w:w="3269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Oprávky</w:t>
            </w:r>
          </w:p>
        </w:tc>
        <w:tc>
          <w:tcPr>
            <w:tcW w:w="183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ZC</w:t>
            </w:r>
          </w:p>
        </w:tc>
      </w:tr>
      <w:tr w:rsidR="005B2ECF" w:rsidTr="005B2ECF">
        <w:trPr>
          <w:gridAfter w:val="1"/>
          <w:wAfter w:w="23" w:type="dxa"/>
          <w:cantSplit/>
        </w:trPr>
        <w:tc>
          <w:tcPr>
            <w:tcW w:w="108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5B2ECF" w:rsidRDefault="005B2E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 w:rsidP="005B2ECF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01.01.25</w:t>
            </w: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B2ECF" w:rsidRDefault="005B2ECF" w:rsidP="005B2ECF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31.12.25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 w:rsidP="005B2ECF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01.01.25</w:t>
            </w: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+</w:t>
            </w: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B2ECF" w:rsidRDefault="005B2ECF" w:rsidP="005B2ECF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31.12.25</w:t>
            </w: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 w:rsidP="005B2ECF">
            <w:pPr>
              <w:pStyle w:val="Zkladntext"/>
              <w:spacing w:line="276" w:lineRule="auto"/>
              <w:ind w:left="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01.01.25</w:t>
            </w: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B2ECF" w:rsidRDefault="005B2ECF" w:rsidP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31.12.25</w:t>
            </w:r>
          </w:p>
        </w:tc>
      </w:tr>
      <w:tr w:rsidR="005B2ECF" w:rsidTr="005B2ECF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Softvér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5B2ECF" w:rsidTr="005B2ECF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Drobný </w:t>
            </w:r>
            <w:proofErr w:type="spellStart"/>
            <w:r>
              <w:rPr>
                <w:sz w:val="20"/>
                <w:szCs w:val="20"/>
                <w:lang w:eastAsia="en-US"/>
              </w:rPr>
              <w:t>DNhM</w:t>
            </w:r>
            <w:proofErr w:type="spellEnd"/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5B2ECF" w:rsidTr="005B2ECF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Ostatný NM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5B2ECF" w:rsidTr="005B2ECF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Stavby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5B2ECF" w:rsidTr="005B2ECF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Stroje, prístroje a zariadenia 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5B2ECF" w:rsidTr="005B2ECF">
        <w:trPr>
          <w:gridAfter w:val="1"/>
          <w:wAfter w:w="23" w:type="dxa"/>
        </w:trPr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Drobný DHM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5B2ECF" w:rsidTr="005B2ECF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Pozemky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0"/>
                <w:szCs w:val="20"/>
                <w:lang w:eastAsia="en-US"/>
              </w:rPr>
            </w:pPr>
          </w:p>
        </w:tc>
      </w:tr>
      <w:tr w:rsidR="005B2ECF" w:rsidTr="005B2ECF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Umelecké</w:t>
            </w:r>
          </w:p>
          <w:p w:rsidR="005B2ECF" w:rsidRDefault="005B2ECF">
            <w:pPr>
              <w:pStyle w:val="Zkladntext"/>
              <w:spacing w:line="276" w:lineRule="auto"/>
              <w:ind w:left="0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 xml:space="preserve"> diela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5B2ECF" w:rsidTr="005B2ECF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rPr>
                <w:bCs/>
                <w:sz w:val="20"/>
                <w:szCs w:val="20"/>
                <w:lang w:eastAsia="en-US"/>
              </w:rPr>
            </w:pPr>
            <w:r>
              <w:rPr>
                <w:bCs/>
                <w:sz w:val="20"/>
                <w:szCs w:val="20"/>
                <w:lang w:eastAsia="en-US"/>
              </w:rPr>
              <w:t>Cenné papiere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5B2ECF" w:rsidTr="005B2ECF">
        <w:trPr>
          <w:gridAfter w:val="1"/>
          <w:wAfter w:w="23" w:type="dxa"/>
        </w:trPr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40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0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4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5B2ECF" w:rsidRDefault="005B2ECF" w:rsidP="005B2ECF">
      <w:pPr>
        <w:pStyle w:val="Zkladntext"/>
        <w:ind w:left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>Vysvetlivky:</w:t>
      </w:r>
    </w:p>
    <w:p w:rsidR="005B2ECF" w:rsidRDefault="005B2ECF" w:rsidP="005B2ECF">
      <w:pPr>
        <w:pStyle w:val="Zkladntext"/>
        <w:ind w:left="0"/>
        <w:rPr>
          <w:i/>
          <w:iCs/>
          <w:sz w:val="24"/>
          <w:szCs w:val="24"/>
        </w:rPr>
      </w:pPr>
      <w:r>
        <w:rPr>
          <w:i/>
          <w:iCs/>
          <w:sz w:val="24"/>
          <w:szCs w:val="24"/>
        </w:rPr>
        <w:t xml:space="preserve"> (+) prírastky, (-) úbytky, </w:t>
      </w:r>
    </w:p>
    <w:p w:rsidR="005B2ECF" w:rsidRDefault="005B2ECF" w:rsidP="005B2ECF">
      <w:pPr>
        <w:pStyle w:val="Zkladntext"/>
        <w:rPr>
          <w:sz w:val="24"/>
          <w:szCs w:val="24"/>
        </w:rPr>
      </w:pPr>
    </w:p>
    <w:p w:rsidR="005B2ECF" w:rsidRDefault="005B2ECF" w:rsidP="005B2ECF">
      <w:pPr>
        <w:pStyle w:val="Zkladntext"/>
        <w:rPr>
          <w:sz w:val="24"/>
          <w:szCs w:val="24"/>
        </w:rPr>
      </w:pPr>
    </w:p>
    <w:p w:rsidR="005B2ECF" w:rsidRDefault="005B2ECF" w:rsidP="005B2ECF">
      <w:pPr>
        <w:pStyle w:val="Nadpis2"/>
        <w:rPr>
          <w:sz w:val="24"/>
          <w:szCs w:val="24"/>
        </w:rPr>
      </w:pPr>
      <w:bookmarkStart w:id="3" w:name="_Toc530739904"/>
      <w:r>
        <w:rPr>
          <w:sz w:val="24"/>
          <w:szCs w:val="24"/>
        </w:rPr>
        <w:t>Obežný majetok :</w:t>
      </w:r>
    </w:p>
    <w:p w:rsidR="005B2ECF" w:rsidRDefault="005B2ECF" w:rsidP="005B2ECF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</w:p>
    <w:p w:rsidR="005B2ECF" w:rsidRDefault="005B2ECF" w:rsidP="005B2ECF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A/Zásoby</w:t>
      </w:r>
    </w:p>
    <w:p w:rsidR="005B2ECF" w:rsidRDefault="005B2ECF" w:rsidP="005B2EC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1"/>
        <w:gridCol w:w="2976"/>
        <w:gridCol w:w="2976"/>
      </w:tblGrid>
      <w:tr w:rsidR="005B2ECF" w:rsidTr="005B2ECF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 w:rsidP="005B2ECF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1.1.2025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 w:rsidP="005B2ECF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 31.12 2025</w:t>
            </w:r>
          </w:p>
        </w:tc>
      </w:tr>
      <w:tr w:rsidR="005B2ECF" w:rsidTr="005B2ECF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Zásoby materiálu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5B2ECF" w:rsidTr="005B2ECF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Zásoby tovaru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5B2ECF" w:rsidTr="005B2ECF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0</w:t>
            </w:r>
          </w:p>
        </w:tc>
      </w:tr>
    </w:tbl>
    <w:p w:rsidR="005B2ECF" w:rsidRDefault="005B2ECF" w:rsidP="005B2ECF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</w:p>
    <w:p w:rsidR="005B2ECF" w:rsidRDefault="005B2ECF" w:rsidP="005B2ECF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</w:p>
    <w:p w:rsidR="005B2ECF" w:rsidRDefault="005B2ECF" w:rsidP="005B2ECF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B/Pohľadávky</w:t>
      </w:r>
      <w:bookmarkEnd w:id="3"/>
    </w:p>
    <w:p w:rsidR="005B2ECF" w:rsidRDefault="005B2ECF" w:rsidP="005B2ECF">
      <w:pPr>
        <w:pStyle w:val="Zkladntext"/>
        <w:ind w:left="0"/>
        <w:rPr>
          <w:sz w:val="24"/>
          <w:szCs w:val="24"/>
        </w:rPr>
      </w:pPr>
    </w:p>
    <w:p w:rsidR="005B2ECF" w:rsidRDefault="005B2ECF" w:rsidP="005B2EC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Veková štruktúra krátkodobých pohľadávok z obchodného styku  je uvedená v nasledujúcom prehľade:</w:t>
      </w:r>
    </w:p>
    <w:p w:rsidR="005B2ECF" w:rsidRDefault="005B2ECF" w:rsidP="005B2ECF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1"/>
        <w:gridCol w:w="2976"/>
      </w:tblGrid>
      <w:tr w:rsidR="005B2ECF" w:rsidTr="005B2ECF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 w:rsidP="005B2ECF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31.12.2025</w:t>
            </w:r>
          </w:p>
        </w:tc>
      </w:tr>
      <w:tr w:rsidR="005B2ECF" w:rsidTr="005B2ECF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Pohľadávky v lehote splatnosti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2210</w:t>
            </w:r>
          </w:p>
        </w:tc>
      </w:tr>
      <w:tr w:rsidR="005B2ECF" w:rsidTr="005B2ECF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Pohľadávky po lehote splatnosti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5B2ECF" w:rsidTr="005B2ECF">
        <w:tc>
          <w:tcPr>
            <w:tcW w:w="33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2210</w:t>
            </w:r>
          </w:p>
        </w:tc>
      </w:tr>
    </w:tbl>
    <w:p w:rsidR="005B2ECF" w:rsidRDefault="005B2ECF" w:rsidP="005B2ECF">
      <w:pPr>
        <w:pStyle w:val="Zkladntext"/>
        <w:ind w:left="0"/>
        <w:rPr>
          <w:sz w:val="24"/>
          <w:szCs w:val="24"/>
        </w:rPr>
      </w:pPr>
    </w:p>
    <w:p w:rsidR="005B2ECF" w:rsidRDefault="005B2ECF" w:rsidP="005B2ECF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  <w:bookmarkStart w:id="4" w:name="_Toc530739905"/>
      <w:r>
        <w:rPr>
          <w:sz w:val="24"/>
          <w:szCs w:val="24"/>
        </w:rPr>
        <w:t>C/ Finančné účty</w:t>
      </w:r>
      <w:bookmarkEnd w:id="4"/>
    </w:p>
    <w:p w:rsidR="005B2ECF" w:rsidRDefault="005B2ECF" w:rsidP="005B2ECF">
      <w:pPr>
        <w:pStyle w:val="Zkladntext"/>
        <w:rPr>
          <w:sz w:val="24"/>
          <w:szCs w:val="24"/>
        </w:rPr>
      </w:pPr>
    </w:p>
    <w:p w:rsidR="005B2ECF" w:rsidRDefault="005B2ECF" w:rsidP="005B2ECF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Čl. IV</w:t>
      </w:r>
    </w:p>
    <w:p w:rsidR="005B2ECF" w:rsidRDefault="005B2ECF" w:rsidP="005B2ECF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Informácie o údajoch na strane pasív súvahy</w:t>
      </w:r>
    </w:p>
    <w:p w:rsidR="005B2ECF" w:rsidRDefault="005B2ECF" w:rsidP="005B2ECF">
      <w:pPr>
        <w:pStyle w:val="Nadpis2"/>
        <w:numPr>
          <w:ilvl w:val="0"/>
          <w:numId w:val="7"/>
        </w:numPr>
        <w:rPr>
          <w:sz w:val="24"/>
          <w:szCs w:val="24"/>
        </w:rPr>
      </w:pPr>
      <w:bookmarkStart w:id="5" w:name="_Toc530739908"/>
      <w:r>
        <w:rPr>
          <w:sz w:val="24"/>
          <w:szCs w:val="24"/>
        </w:rPr>
        <w:t>Vlastné imanie</w:t>
      </w:r>
    </w:p>
    <w:p w:rsidR="005B2ECF" w:rsidRDefault="005B2ECF" w:rsidP="005B2ECF">
      <w:pPr>
        <w:pStyle w:val="Zkladntext"/>
      </w:pPr>
    </w:p>
    <w:p w:rsidR="005B2ECF" w:rsidRDefault="005B2ECF" w:rsidP="005B2EC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pohybe vlastného imania v priebehu účtovného obdobia je uvedený v nasledujúcej tabuľke:</w:t>
      </w:r>
    </w:p>
    <w:p w:rsidR="005B2ECF" w:rsidRDefault="005B2ECF" w:rsidP="005B2ECF">
      <w:pPr>
        <w:pStyle w:val="Zkladntext"/>
        <w:ind w:left="0"/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977"/>
        <w:gridCol w:w="1843"/>
        <w:gridCol w:w="1120"/>
        <w:gridCol w:w="1080"/>
        <w:gridCol w:w="2195"/>
      </w:tblGrid>
      <w:tr w:rsidR="005B2ECF" w:rsidTr="005B2EC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 položky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 w:rsidP="005B2ECF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 1. 1. 2025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Zvýšenie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Zníženie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 w:rsidP="005B2ECF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 31. 12. 2025</w:t>
            </w:r>
          </w:p>
        </w:tc>
      </w:tr>
      <w:tr w:rsidR="005B2ECF" w:rsidTr="005B2EC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Základné imanie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5000</w:t>
            </w:r>
          </w:p>
        </w:tc>
      </w:tr>
      <w:tr w:rsidR="005B2ECF" w:rsidTr="005B2EC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Kapitálové fondy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5B2ECF" w:rsidTr="005B2EC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Výsledok hospodárenia minulých rokov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5B2ECF" w:rsidTr="005B2EC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VH za účtovné obdobie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 w:right="-7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0 </w:t>
            </w:r>
          </w:p>
        </w:tc>
      </w:tr>
      <w:tr w:rsidR="005B2ECF" w:rsidTr="005B2ECF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lef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5000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0</w:t>
            </w:r>
          </w:p>
        </w:tc>
        <w:tc>
          <w:tcPr>
            <w:tcW w:w="2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5000</w:t>
            </w:r>
          </w:p>
        </w:tc>
      </w:tr>
    </w:tbl>
    <w:p w:rsidR="005B2ECF" w:rsidRDefault="005B2ECF" w:rsidP="005B2ECF">
      <w:pPr>
        <w:pStyle w:val="Zkladntext"/>
        <w:ind w:left="0"/>
        <w:rPr>
          <w:sz w:val="24"/>
          <w:szCs w:val="24"/>
        </w:rPr>
      </w:pPr>
    </w:p>
    <w:bookmarkEnd w:id="5"/>
    <w:p w:rsidR="005B2ECF" w:rsidRDefault="005B2ECF" w:rsidP="005B2ECF">
      <w:pPr>
        <w:pStyle w:val="Nadpis2"/>
        <w:numPr>
          <w:ilvl w:val="0"/>
          <w:numId w:val="7"/>
        </w:numPr>
        <w:rPr>
          <w:sz w:val="24"/>
          <w:szCs w:val="24"/>
        </w:rPr>
      </w:pPr>
      <w:r>
        <w:rPr>
          <w:sz w:val="24"/>
          <w:szCs w:val="24"/>
        </w:rPr>
        <w:t>Záväzky</w:t>
      </w:r>
    </w:p>
    <w:p w:rsidR="005B2ECF" w:rsidRDefault="005B2ECF" w:rsidP="005B2ECF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A/ Rezervy </w:t>
      </w:r>
    </w:p>
    <w:p w:rsidR="005B2ECF" w:rsidRDefault="005B2ECF" w:rsidP="005B2EC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 rezervách je uvedený v nasledujúcej tabuľke:</w:t>
      </w:r>
    </w:p>
    <w:p w:rsidR="005B2ECF" w:rsidRDefault="005B2ECF" w:rsidP="005B2ECF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v 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189"/>
        <w:gridCol w:w="1276"/>
        <w:gridCol w:w="1275"/>
        <w:gridCol w:w="1134"/>
        <w:gridCol w:w="993"/>
        <w:gridCol w:w="1481"/>
      </w:tblGrid>
      <w:tr w:rsidR="005B2ECF" w:rsidTr="005B2ECF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Položka rezerv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Stav </w:t>
            </w:r>
          </w:p>
          <w:p w:rsidR="005B2ECF" w:rsidRDefault="005B2ECF" w:rsidP="005B2ECF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 1.1.2025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Tvorba</w:t>
            </w:r>
          </w:p>
          <w:p w:rsidR="005B2ECF" w:rsidRDefault="005B2ECF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(zvýšenie)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Použitie</w:t>
            </w:r>
          </w:p>
          <w:p w:rsidR="005B2ECF" w:rsidRDefault="005B2ECF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(zníženie)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Zrušenie</w:t>
            </w:r>
          </w:p>
          <w:p w:rsidR="005B2ECF" w:rsidRDefault="005B2ECF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Stav </w:t>
            </w:r>
          </w:p>
          <w:p w:rsidR="005B2ECF" w:rsidRDefault="005B2ECF" w:rsidP="005B2ECF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 31.12.2025</w:t>
            </w:r>
          </w:p>
        </w:tc>
      </w:tr>
      <w:tr w:rsidR="005B2ECF" w:rsidTr="005B2ECF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 mzdy za dovolenku vrátane sociálneho a zdravotného poistenia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5B2ECF" w:rsidTr="005B2ECF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lef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Na nevyfakturované služby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5B2ECF" w:rsidTr="005B2ECF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lef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Rezervy 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  <w:tr w:rsidR="005B2ECF" w:rsidTr="005B2ECF">
        <w:tc>
          <w:tcPr>
            <w:tcW w:w="3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left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Rezervy, ktorých tvorba, použitie a zrušenie sa účtujú ako náklad alebo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1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</w:p>
        </w:tc>
      </w:tr>
    </w:tbl>
    <w:p w:rsidR="005B2ECF" w:rsidRDefault="005B2ECF" w:rsidP="005B2ECF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B/ Dlhodobé záväzky</w:t>
      </w:r>
    </w:p>
    <w:p w:rsidR="005B2ECF" w:rsidRDefault="005B2ECF" w:rsidP="005B2ECF">
      <w:pPr>
        <w:pStyle w:val="Zkladntext"/>
        <w:rPr>
          <w:sz w:val="24"/>
          <w:szCs w:val="24"/>
        </w:rPr>
      </w:pPr>
    </w:p>
    <w:p w:rsidR="005B2ECF" w:rsidRDefault="005B2ECF" w:rsidP="005B2EC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Tvorba a čerpanie sociálneho fondu v priebehu účtovného obdobia sú znázornené v nasledujúcom prehľade:</w:t>
      </w:r>
    </w:p>
    <w:p w:rsidR="005B2ECF" w:rsidRDefault="005B2ECF" w:rsidP="005B2ECF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     v EUR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98"/>
        <w:gridCol w:w="4272"/>
      </w:tblGrid>
      <w:tr w:rsidR="005B2ECF" w:rsidTr="005B2ECF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 w:rsidP="005B2ECF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rok 2025</w:t>
            </w:r>
          </w:p>
        </w:tc>
      </w:tr>
      <w:tr w:rsidR="005B2ECF" w:rsidTr="005B2ECF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1. januáru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5B2ECF" w:rsidTr="005B2ECF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Tvorba na ťarchu nákladov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5B2ECF" w:rsidTr="005B2ECF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Čerpanie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5B2ECF" w:rsidTr="005B2ECF">
        <w:tc>
          <w:tcPr>
            <w:tcW w:w="3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Stav k 31. decembru</w:t>
            </w:r>
          </w:p>
        </w:tc>
        <w:tc>
          <w:tcPr>
            <w:tcW w:w="4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</w:tr>
    </w:tbl>
    <w:p w:rsidR="005B2ECF" w:rsidRDefault="005B2ECF" w:rsidP="005B2EC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 xml:space="preserve">Časť sociálneho fondu sa podľa zákona o sociálnom fonde tvorí povinne na ťarchu. </w:t>
      </w:r>
    </w:p>
    <w:p w:rsidR="005B2ECF" w:rsidRDefault="005B2ECF" w:rsidP="005B2ECF">
      <w:pPr>
        <w:pStyle w:val="Zkladntext"/>
        <w:ind w:lef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C/ Krátkodobé záväzky</w:t>
      </w:r>
    </w:p>
    <w:p w:rsidR="005B2ECF" w:rsidRDefault="005B2ECF" w:rsidP="005B2EC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Štruktúra záväzkov  podľa zostatkovej doby splatnosti je uvedená v nasledujúcom prehľade:</w:t>
      </w:r>
    </w:p>
    <w:p w:rsidR="005B2ECF" w:rsidRDefault="005B2ECF" w:rsidP="005B2ECF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         v EUR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828"/>
        <w:gridCol w:w="2693"/>
        <w:gridCol w:w="2760"/>
      </w:tblGrid>
      <w:tr w:rsidR="005B2ECF" w:rsidTr="005B2EC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 w:rsidP="005B2ECF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 01.01.2025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 w:rsidP="005B2ECF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31.12. 2025</w:t>
            </w:r>
          </w:p>
        </w:tc>
      </w:tr>
      <w:tr w:rsidR="005B2ECF" w:rsidTr="005B2EC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Záväzky z obchodného styku 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5B2ECF" w:rsidTr="005B2EC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a/ Záväzky po lehote splatnosti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5B2ECF" w:rsidTr="005B2EC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b/ Záväzky so zostatkovou dobou splatnosti do 1 roka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5B2ECF" w:rsidTr="005B2EC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Záväzky voči spoločníkom a združ.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5B2ECF" w:rsidTr="005B2EC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Záväzky voči zamestnancom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5B2ECF" w:rsidTr="005B2EC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Záväzky zo soc. a zdrav. Poistenia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5B2ECF" w:rsidTr="005B2EC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Daňové záväzky a dotácie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494</w:t>
            </w:r>
          </w:p>
        </w:tc>
      </w:tr>
      <w:tr w:rsidR="005B2ECF" w:rsidTr="005B2EC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Ostatné 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5B2ECF" w:rsidTr="005B2ECF"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 krátkodobé 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 xml:space="preserve">494 </w:t>
            </w:r>
          </w:p>
        </w:tc>
      </w:tr>
    </w:tbl>
    <w:p w:rsidR="005B2ECF" w:rsidRDefault="005B2ECF" w:rsidP="005B2ECF">
      <w:pPr>
        <w:pStyle w:val="Zkladntext"/>
        <w:ind w:left="0"/>
        <w:rPr>
          <w:i/>
          <w:iCs/>
          <w:sz w:val="24"/>
          <w:szCs w:val="24"/>
        </w:rPr>
      </w:pPr>
      <w:r>
        <w:rPr>
          <w:sz w:val="24"/>
          <w:szCs w:val="24"/>
        </w:rPr>
        <w:tab/>
      </w:r>
    </w:p>
    <w:p w:rsidR="005B2ECF" w:rsidRDefault="005B2ECF" w:rsidP="005B2ECF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Čl. V</w:t>
      </w:r>
    </w:p>
    <w:p w:rsidR="005B2ECF" w:rsidRDefault="005B2ECF" w:rsidP="005B2ECF">
      <w:pPr>
        <w:pStyle w:val="Nadpis2"/>
        <w:numPr>
          <w:ilvl w:val="0"/>
          <w:numId w:val="0"/>
        </w:numPr>
        <w:tabs>
          <w:tab w:val="left" w:pos="708"/>
        </w:tabs>
        <w:rPr>
          <w:sz w:val="28"/>
          <w:szCs w:val="28"/>
        </w:rPr>
      </w:pPr>
      <w:bookmarkStart w:id="6" w:name="_Toc530739914"/>
      <w:r>
        <w:rPr>
          <w:sz w:val="28"/>
          <w:szCs w:val="28"/>
        </w:rPr>
        <w:t>1. Výnosy</w:t>
      </w:r>
    </w:p>
    <w:p w:rsidR="005B2ECF" w:rsidRDefault="005B2ECF" w:rsidP="005B2ECF">
      <w:pPr>
        <w:pStyle w:val="Nadpis2"/>
        <w:numPr>
          <w:ilvl w:val="1"/>
          <w:numId w:val="3"/>
        </w:numPr>
        <w:tabs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Tržby z predaja vlastných výrobkov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B2ECF" w:rsidRDefault="005B2ECF" w:rsidP="005B2ECF">
      <w:pPr>
        <w:pStyle w:val="Nadpis2"/>
        <w:numPr>
          <w:ilvl w:val="1"/>
          <w:numId w:val="3"/>
        </w:numPr>
        <w:tabs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Tržby z </w:t>
      </w:r>
      <w:bookmarkEnd w:id="6"/>
      <w:r>
        <w:rPr>
          <w:sz w:val="24"/>
          <w:szCs w:val="24"/>
        </w:rPr>
        <w:t xml:space="preserve">predaja služieb                         </w:t>
      </w:r>
      <w:r>
        <w:rPr>
          <w:b w:val="0"/>
          <w:sz w:val="24"/>
          <w:szCs w:val="24"/>
        </w:rPr>
        <w:t>43.165,-eur</w:t>
      </w:r>
    </w:p>
    <w:p w:rsidR="005B2ECF" w:rsidRDefault="005B2ECF" w:rsidP="005B2ECF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Tržby za poskytnuté služby  sú v sume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</w:t>
      </w:r>
    </w:p>
    <w:p w:rsidR="005B2ECF" w:rsidRDefault="005B2ECF" w:rsidP="005B2ECF">
      <w:pPr>
        <w:pStyle w:val="Nadpis2"/>
        <w:numPr>
          <w:ilvl w:val="1"/>
          <w:numId w:val="3"/>
        </w:numPr>
        <w:tabs>
          <w:tab w:val="num" w:pos="426"/>
        </w:tabs>
        <w:ind w:hanging="1440"/>
        <w:rPr>
          <w:sz w:val="24"/>
          <w:szCs w:val="24"/>
        </w:rPr>
      </w:pPr>
      <w:r>
        <w:rPr>
          <w:sz w:val="24"/>
          <w:szCs w:val="24"/>
        </w:rPr>
        <w:t>Tržby z predaja tovaru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B2ECF" w:rsidRDefault="005B2ECF" w:rsidP="005B2ECF">
      <w:pPr>
        <w:pStyle w:val="Nadpis2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 xml:space="preserve">d)  Výnosy z finančnej činnosti </w:t>
      </w:r>
      <w:proofErr w:type="spellStart"/>
      <w:r>
        <w:rPr>
          <w:sz w:val="24"/>
          <w:szCs w:val="24"/>
        </w:rPr>
        <w:t>činnosti</w:t>
      </w:r>
      <w:proofErr w:type="spellEnd"/>
      <w:r>
        <w:rPr>
          <w:sz w:val="24"/>
          <w:szCs w:val="24"/>
        </w:rPr>
        <w:t xml:space="preserve">                             </w:t>
      </w:r>
    </w:p>
    <w:p w:rsidR="005B2ECF" w:rsidRDefault="005B2ECF" w:rsidP="005B2ECF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181"/>
        <w:gridCol w:w="2552"/>
      </w:tblGrid>
      <w:tr w:rsidR="005B2ECF" w:rsidTr="005B2ECF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 w:rsidP="005B2ECF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31.12.2025</w:t>
            </w:r>
          </w:p>
        </w:tc>
      </w:tr>
      <w:tr w:rsidR="005B2ECF" w:rsidTr="005B2ECF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Výnosové úroky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5B2ECF" w:rsidTr="005B2ECF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Kurzové zisky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</w:t>
            </w:r>
          </w:p>
        </w:tc>
      </w:tr>
      <w:tr w:rsidR="005B2ECF" w:rsidTr="005B2ECF">
        <w:tc>
          <w:tcPr>
            <w:tcW w:w="4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0</w:t>
            </w:r>
          </w:p>
        </w:tc>
      </w:tr>
    </w:tbl>
    <w:p w:rsidR="005B2ECF" w:rsidRDefault="005B2ECF" w:rsidP="005B2ECF">
      <w:pPr>
        <w:pStyle w:val="Nadpis1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</w:p>
    <w:p w:rsidR="005B2ECF" w:rsidRDefault="005B2ECF" w:rsidP="005B2ECF">
      <w:pPr>
        <w:pStyle w:val="Nadpis1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  <w:r>
        <w:rPr>
          <w:sz w:val="24"/>
          <w:szCs w:val="24"/>
        </w:rPr>
        <w:t>2.  n</w:t>
      </w:r>
      <w:r>
        <w:rPr>
          <w:caps w:val="0"/>
          <w:sz w:val="24"/>
          <w:szCs w:val="24"/>
        </w:rPr>
        <w:t>áklady</w:t>
      </w:r>
    </w:p>
    <w:p w:rsidR="005B2ECF" w:rsidRDefault="005B2ECF" w:rsidP="005B2ECF">
      <w:pPr>
        <w:pStyle w:val="Zkladntext"/>
        <w:rPr>
          <w:sz w:val="24"/>
          <w:szCs w:val="24"/>
        </w:rPr>
      </w:pPr>
    </w:p>
    <w:p w:rsidR="005B2ECF" w:rsidRDefault="005B2ECF" w:rsidP="005B2ECF">
      <w:pPr>
        <w:pStyle w:val="Nadpis2"/>
        <w:numPr>
          <w:ilvl w:val="0"/>
          <w:numId w:val="8"/>
        </w:numPr>
        <w:tabs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Spotrebované nákupy</w:t>
      </w:r>
    </w:p>
    <w:p w:rsidR="005B2ECF" w:rsidRDefault="005B2ECF" w:rsidP="005B2EC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nákladoch na spotrebované nákupy:</w:t>
      </w:r>
    </w:p>
    <w:p w:rsidR="005B2ECF" w:rsidRDefault="005B2ECF" w:rsidP="005B2ECF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5"/>
        <w:gridCol w:w="1985"/>
      </w:tblGrid>
      <w:tr w:rsidR="005B2ECF" w:rsidTr="005B2ECF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 w:rsidP="005B2ECF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31.12.2025</w:t>
            </w:r>
          </w:p>
        </w:tc>
      </w:tr>
      <w:tr w:rsidR="005B2ECF" w:rsidTr="005B2ECF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spotreba materiálu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28.475</w:t>
            </w:r>
          </w:p>
        </w:tc>
      </w:tr>
      <w:tr w:rsidR="005B2ECF" w:rsidTr="005B2ECF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spotreba energie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5B2ECF" w:rsidTr="005B2ECF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28.475</w:t>
            </w:r>
          </w:p>
        </w:tc>
      </w:tr>
    </w:tbl>
    <w:p w:rsidR="005B2ECF" w:rsidRDefault="005B2ECF" w:rsidP="005B2ECF">
      <w:pPr>
        <w:pStyle w:val="Nadpis2"/>
        <w:numPr>
          <w:ilvl w:val="0"/>
          <w:numId w:val="0"/>
        </w:numPr>
        <w:tabs>
          <w:tab w:val="left" w:pos="708"/>
        </w:tabs>
      </w:pPr>
    </w:p>
    <w:p w:rsidR="005B2ECF" w:rsidRDefault="005B2ECF" w:rsidP="005B2ECF"/>
    <w:p w:rsidR="005B2ECF" w:rsidRDefault="005B2ECF" w:rsidP="005B2ECF">
      <w:pPr>
        <w:pStyle w:val="Nadpis2"/>
        <w:numPr>
          <w:ilvl w:val="0"/>
          <w:numId w:val="8"/>
        </w:numPr>
        <w:tabs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Tovar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5B2ECF" w:rsidRDefault="005B2ECF" w:rsidP="005B2ECF"/>
    <w:p w:rsidR="005B2ECF" w:rsidRDefault="005B2ECF" w:rsidP="005B2ECF">
      <w:pPr>
        <w:pStyle w:val="Nadpis2"/>
        <w:numPr>
          <w:ilvl w:val="0"/>
          <w:numId w:val="8"/>
        </w:numPr>
        <w:tabs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Služby</w:t>
      </w:r>
    </w:p>
    <w:p w:rsidR="005B2ECF" w:rsidRDefault="005B2ECF" w:rsidP="005B2ECF">
      <w:pPr>
        <w:pStyle w:val="Zkladntext"/>
        <w:ind w:left="0"/>
        <w:rPr>
          <w:sz w:val="24"/>
          <w:szCs w:val="24"/>
        </w:rPr>
      </w:pPr>
      <w:bookmarkStart w:id="7" w:name="OLE_LINK1"/>
      <w:r>
        <w:rPr>
          <w:sz w:val="24"/>
          <w:szCs w:val="24"/>
        </w:rPr>
        <w:t>Prehľad o službách:</w:t>
      </w:r>
    </w:p>
    <w:bookmarkEnd w:id="7"/>
    <w:p w:rsidR="005B2ECF" w:rsidRDefault="005B2ECF" w:rsidP="005B2ECF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5"/>
        <w:gridCol w:w="1985"/>
      </w:tblGrid>
      <w:tr w:rsidR="005B2ECF" w:rsidTr="005B2ECF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 w:rsidP="005B2ECF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31.12.2025</w:t>
            </w:r>
          </w:p>
        </w:tc>
      </w:tr>
      <w:tr w:rsidR="005B2ECF" w:rsidTr="005B2ECF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opravy a udržiavanie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</w:p>
        </w:tc>
      </w:tr>
      <w:tr w:rsidR="005B2ECF" w:rsidTr="005B2ECF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ostatné služby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1036</w:t>
            </w:r>
          </w:p>
        </w:tc>
      </w:tr>
      <w:tr w:rsidR="005B2ECF" w:rsidTr="005B2ECF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1036</w:t>
            </w:r>
          </w:p>
        </w:tc>
      </w:tr>
    </w:tbl>
    <w:p w:rsidR="005B2ECF" w:rsidRDefault="005B2ECF" w:rsidP="005B2ECF"/>
    <w:p w:rsidR="005B2ECF" w:rsidRDefault="005B2ECF" w:rsidP="005B2ECF"/>
    <w:p w:rsidR="005B2ECF" w:rsidRDefault="005B2ECF" w:rsidP="005B2ECF">
      <w:pPr>
        <w:pStyle w:val="Nadpis2"/>
        <w:numPr>
          <w:ilvl w:val="0"/>
          <w:numId w:val="8"/>
        </w:numPr>
        <w:tabs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Osobné náklady</w:t>
      </w:r>
    </w:p>
    <w:p w:rsidR="005B2ECF" w:rsidRDefault="005B2ECF" w:rsidP="005B2EC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osobných nákladoch:</w:t>
      </w:r>
    </w:p>
    <w:p w:rsidR="005B2ECF" w:rsidRDefault="005B2ECF" w:rsidP="005B2ECF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v EUR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5"/>
        <w:gridCol w:w="1985"/>
      </w:tblGrid>
      <w:tr w:rsidR="005B2ECF" w:rsidTr="005B2ECF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 w:rsidP="005B2ECF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31.12.2025</w:t>
            </w:r>
          </w:p>
        </w:tc>
      </w:tr>
      <w:tr w:rsidR="005B2ECF" w:rsidTr="005B2ECF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Mzdové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3097</w:t>
            </w:r>
          </w:p>
        </w:tc>
      </w:tr>
      <w:tr w:rsidR="005B2ECF" w:rsidTr="005B2ECF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Náklady na sociálne poistenie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1294</w:t>
            </w:r>
          </w:p>
        </w:tc>
      </w:tr>
      <w:tr w:rsidR="005B2ECF" w:rsidTr="005B2ECF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Sociálne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4"/>
                <w:szCs w:val="24"/>
                <w:lang w:eastAsia="en-US"/>
              </w:rPr>
            </w:pPr>
          </w:p>
        </w:tc>
      </w:tr>
      <w:tr w:rsidR="005B2ECF" w:rsidTr="005B2ECF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Dane a poplatky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30</w:t>
            </w:r>
          </w:p>
        </w:tc>
      </w:tr>
      <w:tr w:rsidR="005B2ECF" w:rsidTr="005B2ECF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rPr>
                <w:b/>
                <w:bCs/>
                <w:sz w:val="24"/>
                <w:szCs w:val="24"/>
                <w:lang w:eastAsia="en-US"/>
              </w:rPr>
            </w:pPr>
            <w:r>
              <w:rPr>
                <w:b/>
                <w:bCs/>
                <w:sz w:val="24"/>
                <w:szCs w:val="24"/>
                <w:lang w:eastAsia="en-US"/>
              </w:rPr>
              <w:t>Spolu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4421</w:t>
            </w:r>
          </w:p>
        </w:tc>
      </w:tr>
    </w:tbl>
    <w:p w:rsidR="005B2ECF" w:rsidRDefault="005B2ECF" w:rsidP="005B2ECF">
      <w:r>
        <w:t>Spoločnosť počas roka 2024 zamestnávala v priemere 3 zamestnancov na dohodu.</w:t>
      </w:r>
    </w:p>
    <w:p w:rsidR="005B2ECF" w:rsidRDefault="005B2ECF" w:rsidP="005B2ECF"/>
    <w:p w:rsidR="005B2ECF" w:rsidRDefault="005B2ECF" w:rsidP="005B2ECF">
      <w:pPr>
        <w:pStyle w:val="Nadpis2"/>
        <w:numPr>
          <w:ilvl w:val="0"/>
          <w:numId w:val="8"/>
        </w:numPr>
        <w:tabs>
          <w:tab w:val="num" w:pos="426"/>
        </w:tabs>
        <w:ind w:hanging="720"/>
        <w:rPr>
          <w:sz w:val="24"/>
          <w:szCs w:val="24"/>
        </w:rPr>
      </w:pPr>
      <w:r>
        <w:rPr>
          <w:sz w:val="24"/>
          <w:szCs w:val="24"/>
        </w:rPr>
        <w:t>Ostatné náklady na prevádzkovú činnosť</w:t>
      </w:r>
    </w:p>
    <w:p w:rsidR="005B2ECF" w:rsidRDefault="005B2ECF" w:rsidP="005B2ECF">
      <w:pPr>
        <w:pStyle w:val="Zkladntext"/>
        <w:ind w:left="0"/>
        <w:rPr>
          <w:sz w:val="24"/>
          <w:szCs w:val="24"/>
        </w:rPr>
      </w:pPr>
      <w:r>
        <w:rPr>
          <w:sz w:val="24"/>
          <w:szCs w:val="24"/>
        </w:rPr>
        <w:t>Prehľad o ostatných nákladoch na prevádzkovú činnosť:</w:t>
      </w:r>
    </w:p>
    <w:p w:rsidR="005B2ECF" w:rsidRDefault="005B2ECF" w:rsidP="005B2ECF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                                   v EUR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5"/>
        <w:gridCol w:w="1985"/>
      </w:tblGrid>
      <w:tr w:rsidR="005B2ECF" w:rsidTr="005B2ECF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 w:rsidP="005B2ECF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31.12.2025</w:t>
            </w:r>
          </w:p>
        </w:tc>
      </w:tr>
      <w:tr w:rsidR="005B2ECF" w:rsidTr="005B2ECF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Odpisy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2913</w:t>
            </w:r>
          </w:p>
        </w:tc>
      </w:tr>
    </w:tbl>
    <w:p w:rsidR="005B2ECF" w:rsidRDefault="005B2ECF" w:rsidP="005B2ECF">
      <w:pPr>
        <w:rPr>
          <w:b/>
          <w:bCs/>
        </w:rPr>
      </w:pPr>
    </w:p>
    <w:p w:rsidR="005B2ECF" w:rsidRDefault="005B2ECF" w:rsidP="005B2ECF">
      <w:pPr>
        <w:pStyle w:val="Nadpis2"/>
        <w:numPr>
          <w:ilvl w:val="0"/>
          <w:numId w:val="8"/>
        </w:numPr>
        <w:tabs>
          <w:tab w:val="num" w:pos="426"/>
        </w:tabs>
        <w:ind w:left="426" w:hanging="426"/>
        <w:rPr>
          <w:sz w:val="24"/>
          <w:szCs w:val="24"/>
        </w:rPr>
      </w:pPr>
      <w:r>
        <w:rPr>
          <w:sz w:val="24"/>
          <w:szCs w:val="24"/>
        </w:rPr>
        <w:t>Finančné náklady</w:t>
      </w:r>
    </w:p>
    <w:p w:rsidR="005B2ECF" w:rsidRDefault="005B2ECF" w:rsidP="005B2ECF">
      <w:pPr>
        <w:pStyle w:val="Zkladntex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v EUR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5315"/>
        <w:gridCol w:w="1985"/>
      </w:tblGrid>
      <w:tr w:rsidR="005B2ECF" w:rsidTr="005B2ECF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Názov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 w:rsidP="005B2ECF">
            <w:pPr>
              <w:pStyle w:val="Zkladntext"/>
              <w:spacing w:line="276" w:lineRule="auto"/>
              <w:ind w:left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Stav k 31.12.2025</w:t>
            </w:r>
          </w:p>
        </w:tc>
      </w:tr>
      <w:tr w:rsidR="005B2ECF" w:rsidTr="005B2ECF">
        <w:tc>
          <w:tcPr>
            <w:tcW w:w="5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2ECF" w:rsidRDefault="005B2ECF">
            <w:pPr>
              <w:pStyle w:val="Zkladntext"/>
              <w:spacing w:line="276" w:lineRule="auto"/>
              <w:ind w:left="0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Ostatné finančné náklady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ECF" w:rsidRDefault="005B2ECF">
            <w:pPr>
              <w:pStyle w:val="Zkladntext"/>
              <w:spacing w:line="276" w:lineRule="auto"/>
              <w:ind w:left="0"/>
              <w:jc w:val="right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279</w:t>
            </w:r>
          </w:p>
        </w:tc>
      </w:tr>
    </w:tbl>
    <w:p w:rsidR="005B2ECF" w:rsidRDefault="005B2ECF" w:rsidP="005B2ECF">
      <w:pPr>
        <w:pStyle w:val="Nadpis1"/>
        <w:numPr>
          <w:ilvl w:val="0"/>
          <w:numId w:val="0"/>
        </w:numPr>
        <w:tabs>
          <w:tab w:val="left" w:pos="708"/>
        </w:tabs>
        <w:rPr>
          <w:sz w:val="24"/>
          <w:szCs w:val="24"/>
        </w:rPr>
      </w:pPr>
    </w:p>
    <w:p w:rsidR="005B2ECF" w:rsidRDefault="005B2ECF" w:rsidP="005B2ECF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t>Čl. V</w:t>
      </w:r>
    </w:p>
    <w:p w:rsidR="005B2ECF" w:rsidRDefault="005B2ECF" w:rsidP="005B2ECF">
      <w:pPr>
        <w:jc w:val="center"/>
        <w:rPr>
          <w:b/>
          <w:caps/>
        </w:rPr>
      </w:pPr>
      <w:r>
        <w:rPr>
          <w:b/>
          <w:caps/>
        </w:rPr>
        <w:t>Súdne spory</w:t>
      </w:r>
    </w:p>
    <w:p w:rsidR="005B2ECF" w:rsidRDefault="005B2ECF" w:rsidP="005B2ECF">
      <w:pPr>
        <w:pStyle w:val="Zkladntext"/>
        <w:ind w:left="0"/>
      </w:pPr>
      <w:r>
        <w:rPr>
          <w:sz w:val="24"/>
          <w:szCs w:val="24"/>
        </w:rPr>
        <w:t>Ku dňu zostavenia účtovnej závierky neexistujú žiadne súdne spory.</w:t>
      </w:r>
    </w:p>
    <w:p w:rsidR="005B2ECF" w:rsidRDefault="005B2ECF" w:rsidP="005B2ECF">
      <w:pPr>
        <w:pStyle w:val="Zkladntext"/>
        <w:ind w:left="0"/>
      </w:pPr>
    </w:p>
    <w:p w:rsidR="005B2ECF" w:rsidRDefault="005B2ECF" w:rsidP="005B2ECF">
      <w:pPr>
        <w:pStyle w:val="Zkladntext"/>
        <w:ind w:left="0"/>
      </w:pPr>
    </w:p>
    <w:p w:rsidR="005B2ECF" w:rsidRDefault="005B2ECF" w:rsidP="005B2ECF">
      <w:pPr>
        <w:pStyle w:val="Nadpis1"/>
        <w:numPr>
          <w:ilvl w:val="0"/>
          <w:numId w:val="0"/>
        </w:numPr>
        <w:tabs>
          <w:tab w:val="left" w:pos="708"/>
        </w:tabs>
        <w:jc w:val="center"/>
        <w:rPr>
          <w:sz w:val="24"/>
          <w:szCs w:val="24"/>
        </w:rPr>
      </w:pPr>
      <w:r>
        <w:rPr>
          <w:sz w:val="24"/>
          <w:szCs w:val="24"/>
        </w:rPr>
        <w:lastRenderedPageBreak/>
        <w:t>Čl. VI</w:t>
      </w:r>
    </w:p>
    <w:p w:rsidR="005B2ECF" w:rsidRDefault="005B2ECF" w:rsidP="005B2ECF">
      <w:pPr>
        <w:pStyle w:val="Nadpis4"/>
        <w:jc w:val="left"/>
      </w:pPr>
      <w:r>
        <w:t xml:space="preserve">           Informácie k údajom o zmenách vlastného imania</w:t>
      </w:r>
    </w:p>
    <w:p w:rsidR="005B2ECF" w:rsidRDefault="005B2ECF" w:rsidP="005B2ECF">
      <w:pPr>
        <w:pStyle w:val="Nadpis4"/>
        <w:ind w:left="0"/>
        <w:jc w:val="left"/>
      </w:pPr>
    </w:p>
    <w:p w:rsidR="005B2ECF" w:rsidRDefault="005B2ECF" w:rsidP="005B2ECF">
      <w:pPr>
        <w:pStyle w:val="Nadpis4"/>
        <w:ind w:left="0"/>
        <w:jc w:val="left"/>
        <w:rPr>
          <w:i/>
          <w:iCs/>
          <w:spacing w:val="0"/>
          <w:sz w:val="22"/>
        </w:rPr>
      </w:pPr>
      <w:proofErr w:type="spellStart"/>
      <w:r>
        <w:rPr>
          <w:i/>
          <w:iCs/>
          <w:spacing w:val="0"/>
          <w:sz w:val="22"/>
        </w:rPr>
        <w:t>P.a-n</w:t>
      </w:r>
      <w:proofErr w:type="spellEnd"/>
      <w:r>
        <w:rPr>
          <w:i/>
          <w:iCs/>
          <w:spacing w:val="0"/>
          <w:sz w:val="22"/>
        </w:rPr>
        <w:t>) Zmeny zložiek vlastného imania</w:t>
      </w:r>
    </w:p>
    <w:p w:rsidR="005B2ECF" w:rsidRDefault="005B2ECF" w:rsidP="005B2ECF">
      <w:pPr>
        <w:spacing w:after="48" w:line="1" w:lineRule="exact"/>
        <w:rPr>
          <w:sz w:val="2"/>
          <w:szCs w:val="2"/>
        </w:rPr>
      </w:pPr>
    </w:p>
    <w:tbl>
      <w:tblPr>
        <w:tblW w:w="0" w:type="auto"/>
        <w:tblInd w:w="18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4A0"/>
      </w:tblPr>
      <w:tblGrid>
        <w:gridCol w:w="4678"/>
        <w:gridCol w:w="1311"/>
        <w:gridCol w:w="1311"/>
        <w:gridCol w:w="1311"/>
        <w:gridCol w:w="1595"/>
      </w:tblGrid>
      <w:tr w:rsidR="005B2ECF" w:rsidTr="005B2ECF">
        <w:trPr>
          <w:trHeight w:hRule="exact" w:val="413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2ECF" w:rsidRDefault="005B2ECF">
            <w:pPr>
              <w:pStyle w:val="Nadpis3"/>
              <w:spacing w:line="276" w:lineRule="auto"/>
            </w:pPr>
            <w:r>
              <w:t>Text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2ECF" w:rsidRDefault="005B2ECF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pacing w:val="-3"/>
                <w:sz w:val="16"/>
                <w:szCs w:val="16"/>
              </w:rPr>
              <w:t>Stav k 31.12. BO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2ECF" w:rsidRDefault="005B2ECF">
            <w:pPr>
              <w:pStyle w:val="Nadpis3"/>
              <w:spacing w:line="276" w:lineRule="auto"/>
              <w:rPr>
                <w:spacing w:val="-3"/>
              </w:rPr>
            </w:pPr>
            <w:r>
              <w:rPr>
                <w:spacing w:val="-3"/>
              </w:rPr>
              <w:t>Prírastky</w:t>
            </w:r>
          </w:p>
        </w:tc>
        <w:tc>
          <w:tcPr>
            <w:tcW w:w="13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2ECF" w:rsidRDefault="005B2ECF">
            <w:pPr>
              <w:pStyle w:val="Nadpis2"/>
              <w:spacing w:line="276" w:lineRule="auto"/>
              <w:ind w:left="0"/>
              <w:rPr>
                <w:lang w:eastAsia="en-US"/>
              </w:rPr>
            </w:pPr>
            <w:r>
              <w:rPr>
                <w:lang w:eastAsia="en-US"/>
              </w:rPr>
              <w:t>Úbytky</w:t>
            </w:r>
          </w:p>
        </w:tc>
        <w:tc>
          <w:tcPr>
            <w:tcW w:w="159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5B2ECF" w:rsidRDefault="005B2ECF">
            <w:pPr>
              <w:shd w:val="clear" w:color="auto" w:fill="FFFFFF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pacing w:val="-2"/>
                <w:sz w:val="16"/>
                <w:szCs w:val="16"/>
              </w:rPr>
              <w:t>Stav k 31.12. PO</w:t>
            </w:r>
          </w:p>
        </w:tc>
      </w:tr>
      <w:tr w:rsidR="005B2ECF" w:rsidTr="005B2ECF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2ECF" w:rsidRDefault="005B2ECF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        Vlastné imanie spolu, v tom: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5000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5000</w:t>
            </w:r>
          </w:p>
        </w:tc>
      </w:tr>
      <w:tr w:rsidR="005B2ECF" w:rsidTr="005B2ECF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2ECF" w:rsidRDefault="005B2ECF">
            <w:pPr>
              <w:shd w:val="clear" w:color="auto" w:fill="FFFFFF"/>
              <w:rPr>
                <w:color w:val="000000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</w:rPr>
              <w:t>A.l</w:t>
            </w:r>
            <w:proofErr w:type="spellEnd"/>
            <w:r>
              <w:rPr>
                <w:color w:val="000000"/>
                <w:spacing w:val="-1"/>
                <w:sz w:val="16"/>
                <w:szCs w:val="16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      Základné imanie, v tom: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5000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5000</w:t>
            </w:r>
          </w:p>
        </w:tc>
      </w:tr>
      <w:tr w:rsidR="005B2ECF" w:rsidTr="005B2ECF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2ECF" w:rsidRDefault="005B2ECF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A.l.1.   Základné imanie (411)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5000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  <w:hideMark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5000</w:t>
            </w:r>
          </w:p>
        </w:tc>
      </w:tr>
      <w:tr w:rsidR="005B2ECF" w:rsidTr="005B2ECF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2ECF" w:rsidRDefault="005B2ECF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A.l.2.   Vlastné akcie a obchodné podiely (252)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5B2ECF" w:rsidTr="005B2ECF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2ECF" w:rsidRDefault="005B2ECF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A.l.3.   Zmena základného imania (+/-419)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5B2ECF" w:rsidTr="005B2ECF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2ECF" w:rsidRDefault="005B2ECF">
            <w:pPr>
              <w:shd w:val="clear" w:color="auto" w:fill="FFFFFF"/>
              <w:tabs>
                <w:tab w:val="left" w:pos="527"/>
              </w:tabs>
              <w:rPr>
                <w:color w:val="000000"/>
              </w:rPr>
            </w:pPr>
            <w:proofErr w:type="spellStart"/>
            <w:r>
              <w:rPr>
                <w:color w:val="000000"/>
                <w:spacing w:val="-1"/>
                <w:sz w:val="16"/>
                <w:szCs w:val="16"/>
              </w:rPr>
              <w:t>A.lI</w:t>
            </w:r>
            <w:proofErr w:type="spellEnd"/>
            <w:r>
              <w:rPr>
                <w:color w:val="000000"/>
                <w:spacing w:val="-1"/>
                <w:sz w:val="16"/>
                <w:szCs w:val="16"/>
              </w:rPr>
              <w:t>.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 xml:space="preserve">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ab/>
              <w:t>Kapitálové fondy, v tom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5B2ECF" w:rsidTr="005B2ECF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2ECF" w:rsidRDefault="005B2ECF">
            <w:pPr>
              <w:shd w:val="clear" w:color="auto" w:fill="FFFFFF"/>
              <w:tabs>
                <w:tab w:val="left" w:pos="385"/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 xml:space="preserve"> A.II.</w:t>
            </w:r>
            <w:r>
              <w:rPr>
                <w:color w:val="000000"/>
                <w:spacing w:val="-1"/>
                <w:sz w:val="16"/>
                <w:szCs w:val="16"/>
              </w:rPr>
              <w:tab/>
              <w:t>1.  Emisné ážio (412)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5B2ECF" w:rsidTr="005B2ECF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2ECF" w:rsidRDefault="005B2ECF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2. Ostatné kapitálové fondy (413)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5B2ECF" w:rsidTr="005B2ECF">
        <w:trPr>
          <w:trHeight w:hRule="exact" w:val="422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2ECF" w:rsidRDefault="005B2ECF">
            <w:pPr>
              <w:shd w:val="clear" w:color="auto" w:fill="FFFFFF"/>
              <w:tabs>
                <w:tab w:val="left" w:pos="-2167"/>
                <w:tab w:val="left" w:pos="310"/>
              </w:tabs>
              <w:spacing w:line="182" w:lineRule="exact"/>
              <w:ind w:left="546" w:right="540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3. Zákonný rezervný fond z kapitálových vkladov </w:t>
            </w:r>
            <w:r>
              <w:rPr>
                <w:color w:val="000000"/>
                <w:spacing w:val="-2"/>
                <w:sz w:val="16"/>
                <w:szCs w:val="16"/>
              </w:rPr>
              <w:t>(417,418)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5B2ECF" w:rsidTr="005B2ECF">
        <w:trPr>
          <w:trHeight w:hRule="exact" w:val="413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2ECF" w:rsidRDefault="005B2ECF">
            <w:pPr>
              <w:shd w:val="clear" w:color="auto" w:fill="FFFFFF"/>
              <w:tabs>
                <w:tab w:val="left" w:pos="-2167"/>
              </w:tabs>
              <w:spacing w:line="173" w:lineRule="exact"/>
              <w:ind w:left="546" w:right="660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4. Oceňovacie rozdiely z precenenia majetku a </w:t>
            </w:r>
            <w:r>
              <w:rPr>
                <w:color w:val="000000"/>
                <w:spacing w:val="-1"/>
                <w:sz w:val="16"/>
                <w:szCs w:val="16"/>
              </w:rPr>
              <w:t>záväzkov ( +/-414)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5B2ECF" w:rsidTr="005B2ECF">
        <w:trPr>
          <w:trHeight w:val="297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2ECF" w:rsidRDefault="005B2ECF">
            <w:pPr>
              <w:shd w:val="clear" w:color="auto" w:fill="FFFFFF"/>
              <w:tabs>
                <w:tab w:val="left" w:pos="-2167"/>
              </w:tabs>
              <w:ind w:left="546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>5.  Oceňovacie rozdiely z kapitálových účastín (+/- 415)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5B2ECF" w:rsidTr="005B2ECF">
        <w:trPr>
          <w:trHeight w:hRule="exact" w:val="422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2ECF" w:rsidRDefault="005B2ECF">
            <w:pPr>
              <w:shd w:val="clear" w:color="auto" w:fill="FFFFFF"/>
              <w:tabs>
                <w:tab w:val="left" w:pos="-2167"/>
              </w:tabs>
              <w:spacing w:line="185" w:lineRule="exact"/>
              <w:ind w:left="546" w:right="451" w:hanging="184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6.  Oceňovacie rozdiely z precenenia pri splynutí a </w:t>
            </w:r>
            <w:r>
              <w:rPr>
                <w:color w:val="000000"/>
                <w:spacing w:val="1"/>
                <w:sz w:val="16"/>
                <w:szCs w:val="16"/>
              </w:rPr>
              <w:t>rozdelení (+/-416)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5B2ECF" w:rsidTr="005B2ECF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2ECF" w:rsidRDefault="005B2ECF">
            <w:pPr>
              <w:shd w:val="clear" w:color="auto" w:fill="FFFFFF"/>
              <w:rPr>
                <w:color w:val="000000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A.lll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.     </w:t>
            </w:r>
            <w:r>
              <w:rPr>
                <w:b/>
                <w:bCs/>
                <w:color w:val="000000"/>
                <w:sz w:val="16"/>
                <w:szCs w:val="16"/>
              </w:rPr>
              <w:t>Fondy zo zisku, v tom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5B2ECF" w:rsidTr="005B2ECF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2ECF" w:rsidRDefault="005B2ECF">
            <w:pPr>
              <w:shd w:val="clear" w:color="auto" w:fill="FFFFFF"/>
              <w:tabs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A.III.1. </w:t>
            </w:r>
            <w:r>
              <w:rPr>
                <w:color w:val="000000"/>
                <w:sz w:val="16"/>
                <w:szCs w:val="16"/>
              </w:rPr>
              <w:tab/>
              <w:t>Zákonný rezervný fond (421)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5B2ECF" w:rsidTr="005B2ECF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2ECF" w:rsidRDefault="005B2ECF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2. </w:t>
            </w:r>
            <w:r>
              <w:rPr>
                <w:color w:val="000000"/>
                <w:sz w:val="16"/>
                <w:szCs w:val="16"/>
              </w:rPr>
              <w:tab/>
              <w:t>Nedeliteľný fond (422)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5B2ECF" w:rsidTr="005B2ECF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2ECF" w:rsidRDefault="005B2ECF">
            <w:pPr>
              <w:shd w:val="clear" w:color="auto" w:fill="FFFFFF"/>
              <w:tabs>
                <w:tab w:val="left" w:pos="527"/>
              </w:tabs>
              <w:ind w:left="320"/>
              <w:rPr>
                <w:color w:val="000000"/>
              </w:rPr>
            </w:pPr>
            <w:r>
              <w:rPr>
                <w:color w:val="000000"/>
                <w:sz w:val="16"/>
                <w:szCs w:val="16"/>
              </w:rPr>
              <w:t xml:space="preserve">3. </w:t>
            </w:r>
            <w:r>
              <w:rPr>
                <w:color w:val="000000"/>
                <w:sz w:val="16"/>
                <w:szCs w:val="16"/>
              </w:rPr>
              <w:tab/>
              <w:t>Štatutárne fondy a ostatné fondy (423,427)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5B2ECF" w:rsidTr="005B2ECF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2ECF" w:rsidRDefault="005B2ECF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 xml:space="preserve">A.IV.    </w:t>
            </w: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>Výsledok hospodárenia minulých rokov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5B2ECF" w:rsidTr="005B2ECF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2ECF" w:rsidRDefault="005B2ECF">
            <w:pPr>
              <w:shd w:val="clear" w:color="auto" w:fill="FFFFFF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A.IV.1. Nerozdelený zisk minulých rokov (428)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5B2ECF" w:rsidTr="005B2ECF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2ECF" w:rsidRDefault="005B2ECF">
            <w:pPr>
              <w:shd w:val="clear" w:color="auto" w:fill="FFFFFF"/>
              <w:ind w:left="348"/>
              <w:rPr>
                <w:color w:val="000000"/>
              </w:rPr>
            </w:pPr>
            <w:r>
              <w:rPr>
                <w:color w:val="000000"/>
                <w:spacing w:val="-1"/>
                <w:sz w:val="16"/>
                <w:szCs w:val="16"/>
              </w:rPr>
              <w:t>2. Neuhradená strata minulých rokov (/-/429)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  <w:tr w:rsidR="005B2ECF" w:rsidTr="005B2ECF">
        <w:trPr>
          <w:trHeight w:val="300"/>
        </w:trPr>
        <w:tc>
          <w:tcPr>
            <w:tcW w:w="46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  <w:hideMark/>
          </w:tcPr>
          <w:p w:rsidR="005B2ECF" w:rsidRDefault="005B2ECF">
            <w:pPr>
              <w:shd w:val="clear" w:color="auto" w:fill="FFFFFF"/>
              <w:tabs>
                <w:tab w:val="left" w:pos="527"/>
              </w:tabs>
              <w:rPr>
                <w:color w:val="000000"/>
              </w:rPr>
            </w:pPr>
            <w:r>
              <w:rPr>
                <w:color w:val="000000"/>
                <w:spacing w:val="-5"/>
                <w:sz w:val="16"/>
                <w:szCs w:val="16"/>
              </w:rPr>
              <w:t xml:space="preserve">A.V.     </w:t>
            </w:r>
            <w:r>
              <w:rPr>
                <w:color w:val="000000"/>
                <w:spacing w:val="-5"/>
                <w:sz w:val="16"/>
                <w:szCs w:val="16"/>
              </w:rPr>
              <w:tab/>
            </w:r>
            <w:r>
              <w:rPr>
                <w:b/>
                <w:bCs/>
                <w:color w:val="000000"/>
                <w:spacing w:val="-5"/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3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  <w:tc>
          <w:tcPr>
            <w:tcW w:w="159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5B2ECF" w:rsidRDefault="005B2ECF">
            <w:pPr>
              <w:shd w:val="clear" w:color="auto" w:fill="FFFFFF"/>
              <w:jc w:val="right"/>
              <w:rPr>
                <w:color w:val="000000"/>
                <w:sz w:val="16"/>
              </w:rPr>
            </w:pPr>
          </w:p>
        </w:tc>
      </w:tr>
    </w:tbl>
    <w:p w:rsidR="005B2ECF" w:rsidRDefault="005B2ECF" w:rsidP="005B2ECF">
      <w:pPr>
        <w:rPr>
          <w:rFonts w:ascii="Times New Roman" w:hAnsi="Times New Roman" w:cs="Times New Roman"/>
          <w:sz w:val="24"/>
          <w:szCs w:val="24"/>
        </w:rPr>
      </w:pPr>
    </w:p>
    <w:p w:rsidR="005B2ECF" w:rsidRDefault="005B2ECF" w:rsidP="005B2ECF">
      <w:pPr>
        <w:rPr>
          <w:rFonts w:ascii="Times New Roman" w:hAnsi="Times New Roman" w:cs="Times New Roman"/>
          <w:sz w:val="24"/>
          <w:szCs w:val="24"/>
        </w:rPr>
      </w:pPr>
    </w:p>
    <w:p w:rsidR="005B2ECF" w:rsidRDefault="005B2ECF" w:rsidP="005B2E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Veľký Kýr, dňa 29.04.2026</w:t>
      </w:r>
    </w:p>
    <w:p w:rsidR="005B2ECF" w:rsidRDefault="005B2ECF" w:rsidP="005B2ECF">
      <w:pPr>
        <w:rPr>
          <w:rFonts w:ascii="Times New Roman" w:hAnsi="Times New Roman" w:cs="Times New Roman"/>
          <w:sz w:val="24"/>
          <w:szCs w:val="24"/>
        </w:rPr>
      </w:pPr>
    </w:p>
    <w:p w:rsidR="005B2ECF" w:rsidRDefault="005B2ECF" w:rsidP="005B2ECF">
      <w:pPr>
        <w:rPr>
          <w:rFonts w:ascii="Times New Roman" w:hAnsi="Times New Roman" w:cs="Times New Roman"/>
          <w:sz w:val="24"/>
          <w:szCs w:val="24"/>
        </w:rPr>
      </w:pPr>
    </w:p>
    <w:p w:rsidR="005B2ECF" w:rsidRDefault="005B2ECF" w:rsidP="005B2ECF">
      <w:pPr>
        <w:rPr>
          <w:rFonts w:ascii="Times New Roman" w:hAnsi="Times New Roman" w:cs="Times New Roman"/>
          <w:sz w:val="24"/>
          <w:szCs w:val="24"/>
        </w:rPr>
      </w:pPr>
    </w:p>
    <w:p w:rsidR="005B2ECF" w:rsidRDefault="005B2ECF" w:rsidP="005B2ECF">
      <w:pPr>
        <w:rPr>
          <w:rFonts w:ascii="Times New Roman" w:hAnsi="Times New Roman" w:cs="Times New Roman"/>
          <w:sz w:val="24"/>
          <w:szCs w:val="24"/>
        </w:rPr>
      </w:pPr>
    </w:p>
    <w:p w:rsidR="005B2ECF" w:rsidRDefault="005B2ECF" w:rsidP="005B2E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     -------------------------------------------</w:t>
      </w:r>
    </w:p>
    <w:p w:rsidR="005B2ECF" w:rsidRDefault="005B2ECF" w:rsidP="005B2EC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podpis štatutárneho orgánu</w:t>
      </w:r>
    </w:p>
    <w:p w:rsidR="005B2ECF" w:rsidRDefault="005B2ECF" w:rsidP="005B2ECF">
      <w:pPr>
        <w:rPr>
          <w:rFonts w:ascii="Times New Roman" w:hAnsi="Times New Roman" w:cs="Times New Roman"/>
          <w:sz w:val="24"/>
          <w:szCs w:val="24"/>
        </w:rPr>
      </w:pPr>
    </w:p>
    <w:p w:rsidR="005B2ECF" w:rsidRDefault="005B2ECF" w:rsidP="005B2ECF">
      <w:pPr>
        <w:rPr>
          <w:rFonts w:ascii="Times New Roman" w:hAnsi="Times New Roman" w:cs="Times New Roman"/>
          <w:sz w:val="24"/>
          <w:szCs w:val="24"/>
        </w:rPr>
      </w:pPr>
    </w:p>
    <w:p w:rsidR="00F55C28" w:rsidRDefault="00F55C28"/>
    <w:sectPr w:rsidR="00F55C28" w:rsidSect="00F55C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A10237"/>
    <w:multiLevelType w:val="multilevel"/>
    <w:tmpl w:val="2514FD1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5144752E"/>
    <w:multiLevelType w:val="hybridMultilevel"/>
    <w:tmpl w:val="8F6A6F94"/>
    <w:lvl w:ilvl="0" w:tplc="164A6ACC">
      <w:start w:val="10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4772F6"/>
    <w:multiLevelType w:val="hybridMultilevel"/>
    <w:tmpl w:val="E2067EF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D565911"/>
    <w:multiLevelType w:val="hybridMultilevel"/>
    <w:tmpl w:val="5DAC0668"/>
    <w:lvl w:ilvl="0" w:tplc="FFFFFFFF">
      <w:start w:val="1"/>
      <w:numFmt w:val="decimal"/>
      <w:lvlText w:val="(%1)"/>
      <w:lvlJc w:val="left"/>
      <w:pPr>
        <w:tabs>
          <w:tab w:val="num" w:pos="405"/>
        </w:tabs>
        <w:ind w:left="405" w:hanging="405"/>
      </w:p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cs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5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2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B2ECF"/>
    <w:rsid w:val="005B2ECF"/>
    <w:rsid w:val="00F55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B2ECF"/>
  </w:style>
  <w:style w:type="paragraph" w:styleId="Nadpis1">
    <w:name w:val="heading 1"/>
    <w:basedOn w:val="Normlny"/>
    <w:next w:val="Normlny"/>
    <w:link w:val="Nadpis1Char"/>
    <w:qFormat/>
    <w:rsid w:val="005B2ECF"/>
    <w:pPr>
      <w:keepNext/>
      <w:numPr>
        <w:numId w:val="1"/>
      </w:numPr>
      <w:spacing w:before="120" w:after="60" w:line="240" w:lineRule="auto"/>
      <w:outlineLvl w:val="0"/>
    </w:pPr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paragraph" w:styleId="Nadpis2">
    <w:name w:val="heading 2"/>
    <w:basedOn w:val="Normlny"/>
    <w:next w:val="Normlny"/>
    <w:link w:val="Nadpis2Char"/>
    <w:unhideWhenUsed/>
    <w:qFormat/>
    <w:rsid w:val="005B2ECF"/>
    <w:pPr>
      <w:keepNext/>
      <w:numPr>
        <w:numId w:val="2"/>
      </w:numPr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paragraph" w:styleId="Nadpis3">
    <w:name w:val="heading 3"/>
    <w:basedOn w:val="Normlny"/>
    <w:next w:val="Normlny"/>
    <w:link w:val="Nadpis3Char"/>
    <w:unhideWhenUsed/>
    <w:qFormat/>
    <w:rsid w:val="005B2ECF"/>
    <w:pPr>
      <w:keepNext/>
      <w:spacing w:after="0" w:line="240" w:lineRule="auto"/>
      <w:jc w:val="both"/>
      <w:outlineLvl w:val="2"/>
    </w:pPr>
    <w:rPr>
      <w:rFonts w:ascii="Book Antiqua" w:eastAsia="Times New Roman" w:hAnsi="Book Antiqua" w:cs="Times New Roman"/>
      <w:b/>
      <w:sz w:val="24"/>
      <w:szCs w:val="20"/>
      <w:lang w:eastAsia="cs-CZ"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5B2ECF"/>
    <w:pPr>
      <w:keepNext/>
      <w:shd w:val="clear" w:color="auto" w:fill="FFFFFF"/>
      <w:spacing w:after="0" w:line="240" w:lineRule="auto"/>
      <w:ind w:left="1661"/>
      <w:jc w:val="center"/>
      <w:outlineLvl w:val="3"/>
    </w:pPr>
    <w:rPr>
      <w:rFonts w:ascii="Times New Roman" w:eastAsia="Times New Roman" w:hAnsi="Times New Roman" w:cs="Times New Roman"/>
      <w:b/>
      <w:bCs/>
      <w:color w:val="000000"/>
      <w:spacing w:val="-2"/>
      <w:sz w:val="24"/>
      <w:szCs w:val="2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B2ECF"/>
    <w:rPr>
      <w:rFonts w:ascii="Times New Roman" w:eastAsia="Times New Roman" w:hAnsi="Times New Roman" w:cs="Times New Roman"/>
      <w:b/>
      <w:bCs/>
      <w:caps/>
      <w:sz w:val="18"/>
      <w:szCs w:val="18"/>
      <w:lang w:eastAsia="sk-SK"/>
    </w:rPr>
  </w:style>
  <w:style w:type="character" w:customStyle="1" w:styleId="Nadpis2Char">
    <w:name w:val="Nadpis 2 Char"/>
    <w:basedOn w:val="Predvolenpsmoodseku"/>
    <w:link w:val="Nadpis2"/>
    <w:rsid w:val="005B2ECF"/>
    <w:rPr>
      <w:rFonts w:ascii="Times New Roman" w:eastAsia="Times New Roman" w:hAnsi="Times New Roman" w:cs="Times New Roman"/>
      <w:b/>
      <w:bCs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rsid w:val="005B2ECF"/>
    <w:rPr>
      <w:rFonts w:ascii="Book Antiqua" w:eastAsia="Times New Roman" w:hAnsi="Book Antiqua" w:cs="Times New Roman"/>
      <w:b/>
      <w:sz w:val="24"/>
      <w:szCs w:val="20"/>
      <w:lang w:eastAsia="cs-CZ"/>
    </w:rPr>
  </w:style>
  <w:style w:type="character" w:customStyle="1" w:styleId="Nadpis4Char">
    <w:name w:val="Nadpis 4 Char"/>
    <w:basedOn w:val="Predvolenpsmoodseku"/>
    <w:link w:val="Nadpis4"/>
    <w:semiHidden/>
    <w:rsid w:val="005B2ECF"/>
    <w:rPr>
      <w:rFonts w:ascii="Times New Roman" w:eastAsia="Times New Roman" w:hAnsi="Times New Roman" w:cs="Times New Roman"/>
      <w:b/>
      <w:bCs/>
      <w:color w:val="000000"/>
      <w:spacing w:val="-2"/>
      <w:sz w:val="24"/>
      <w:szCs w:val="28"/>
      <w:shd w:val="clear" w:color="auto" w:fill="FFFFFF"/>
      <w:lang w:eastAsia="sk-SK"/>
    </w:rPr>
  </w:style>
  <w:style w:type="paragraph" w:styleId="Hlavika">
    <w:name w:val="header"/>
    <w:basedOn w:val="Normlny"/>
    <w:link w:val="HlavikaChar"/>
    <w:semiHidden/>
    <w:unhideWhenUsed/>
    <w:rsid w:val="005B2ECF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semiHidden/>
    <w:rsid w:val="005B2EC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kladntext">
    <w:name w:val="Body Text"/>
    <w:basedOn w:val="Normlny"/>
    <w:link w:val="ZkladntextChar"/>
    <w:unhideWhenUsed/>
    <w:rsid w:val="005B2ECF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5B2ECF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styleId="Bezriadkovania">
    <w:name w:val="No Spacing"/>
    <w:uiPriority w:val="1"/>
    <w:qFormat/>
    <w:rsid w:val="005B2ECF"/>
    <w:pPr>
      <w:spacing w:after="0" w:line="240" w:lineRule="auto"/>
    </w:pPr>
  </w:style>
  <w:style w:type="paragraph" w:customStyle="1" w:styleId="Pismenka">
    <w:name w:val="Pismenka"/>
    <w:basedOn w:val="Zkladntext"/>
    <w:rsid w:val="005B2ECF"/>
    <w:pPr>
      <w:tabs>
        <w:tab w:val="num" w:pos="426"/>
      </w:tabs>
      <w:ind w:hanging="426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8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8</Pages>
  <Words>1530</Words>
  <Characters>8723</Characters>
  <Application>Microsoft Office Word</Application>
  <DocSecurity>0</DocSecurity>
  <Lines>72</Lines>
  <Paragraphs>20</Paragraphs>
  <ScaleCrop>false</ScaleCrop>
  <Company>ATC</Company>
  <LinksUpToDate>false</LinksUpToDate>
  <CharactersWithSpaces>10233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1</cp:revision>
  <dcterms:created xsi:type="dcterms:W3CDTF">2026-04-29T16:21:00Z</dcterms:created>
  <dcterms:modified xsi:type="dcterms:W3CDTF">2026-04-29T16:31:00Z</dcterms:modified>
</cp:coreProperties>
</file>