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ECF" w:rsidRDefault="005B2ECF" w:rsidP="005B2ECF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Poznámky ako súčasť účtovnej závierky k 31. decembru 2025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Rampi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s.r.o.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Malokýrska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1137/40, 941 07  Veľký Kýr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55036848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2121843273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 ručením obmedzeným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Dôvod na zostavenie účtovnej závierky. </w:t>
      </w:r>
      <w:r>
        <w:rPr>
          <w:rFonts w:ascii="Times New Roman" w:hAnsi="Times New Roman" w:cs="Times New Roman"/>
          <w:sz w:val="24"/>
          <w:szCs w:val="24"/>
        </w:rPr>
        <w:tab/>
        <w:t>riadna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  je  založená  na  základe   spoločenskej  zmluvy,  dňom  vzniku  spoločnosti  je    12.11.2022 a zapísaná v OR Okresného súdu Nitra, oddiel :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; vložka číslo : 58828/N.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 imanie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5.000,00 EUR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 účastníkov  spoločnosti  na  základnom  imaní  je :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Dalibor </w:t>
      </w:r>
      <w:proofErr w:type="spellStart"/>
      <w:r>
        <w:rPr>
          <w:rFonts w:ascii="Times New Roman" w:hAnsi="Times New Roman" w:cs="Times New Roman"/>
          <w:sz w:val="24"/>
          <w:szCs w:val="24"/>
        </w:rPr>
        <w:t>Rampaško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5.000,00 EUR   t. j.  100%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Štatutárne  orgány :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 : DALIBOR RAMPAŠKO, MALOKÝRSKA 1137/40, VEĽKÝ KÝR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Čl.II</w:t>
      </w:r>
      <w:proofErr w:type="spellEnd"/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 podnikania: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Hlavné činnosti  spoločnosti :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 opracovanie jednoduchých výrobkov z kovu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k realizácii stavby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Dokončovacie stavebné práce pri realizácii exteriérov a interiérov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 oblasti obchodu, služieb, výroby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hnuteľných vecí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5B2ECF" w:rsidRDefault="005B2ECF" w:rsidP="005B2EC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 výroba hotových jedál určených na priamu spotrebu mimo prevádzkových priestorov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0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0"/>
    </w:p>
    <w:p w:rsidR="005B2ECF" w:rsidRDefault="005B2ECF" w:rsidP="005B2ECF">
      <w:pPr>
        <w:pStyle w:val="Zkladntext"/>
        <w:ind w:left="450"/>
        <w:rPr>
          <w:sz w:val="24"/>
          <w:szCs w:val="24"/>
        </w:rPr>
      </w:pPr>
    </w:p>
    <w:p w:rsidR="005B2ECF" w:rsidRDefault="005B2ECF" w:rsidP="005B2ECF">
      <w:pPr>
        <w:pStyle w:val="Zkladntext"/>
        <w:numPr>
          <w:ilvl w:val="0"/>
          <w:numId w:val="3"/>
        </w:numPr>
        <w:ind w:left="426" w:hanging="426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5B2ECF" w:rsidRDefault="005B2ECF" w:rsidP="005B2ECF">
      <w:pPr>
        <w:pStyle w:val="Zkladntext"/>
        <w:rPr>
          <w:bCs/>
          <w:sz w:val="24"/>
          <w:szCs w:val="24"/>
        </w:rPr>
      </w:pPr>
    </w:p>
    <w:p w:rsidR="005B2ECF" w:rsidRDefault="005B2ECF" w:rsidP="005B2ECF">
      <w:pPr>
        <w:pStyle w:val="Zkladntext"/>
        <w:ind w:left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(2)   Spôsob ocenenia jednotlivých položiek </w:t>
      </w:r>
    </w:p>
    <w:p w:rsidR="005B2ECF" w:rsidRDefault="005B2ECF" w:rsidP="005B2ECF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    Dlhodobý nehmotný a dlhodobý hmotný majetok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5B2ECF" w:rsidRDefault="005B2ECF" w:rsidP="005B2ECF">
      <w:pPr>
        <w:pStyle w:val="Pismenka"/>
        <w:numPr>
          <w:ilvl w:val="0"/>
          <w:numId w:val="4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 </w:t>
      </w:r>
    </w:p>
    <w:p w:rsidR="005B2ECF" w:rsidRDefault="005B2ECF" w:rsidP="005B2ECF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5B2ECF" w:rsidRDefault="005B2ECF" w:rsidP="005B2ECF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5B2ECF" w:rsidRDefault="005B2ECF" w:rsidP="005B2ECF">
      <w:pPr>
        <w:pStyle w:val="Pismenka"/>
        <w:rPr>
          <w:sz w:val="24"/>
          <w:szCs w:val="24"/>
        </w:rPr>
      </w:pPr>
      <w:r>
        <w:rPr>
          <w:sz w:val="24"/>
          <w:szCs w:val="24"/>
        </w:rPr>
        <w:t xml:space="preserve">c)    </w:t>
      </w:r>
      <w:r>
        <w:rPr>
          <w:b w:val="0"/>
          <w:sz w:val="24"/>
          <w:szCs w:val="24"/>
        </w:rPr>
        <w:t>Pohľadávky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5B2ECF" w:rsidRDefault="005B2ECF" w:rsidP="005B2ECF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Peňažné prostriedky a ceniny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5B2ECF" w:rsidRDefault="005B2ECF" w:rsidP="005B2ECF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Náklady budúcich období a príjmy budúcich období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5B2ECF" w:rsidRDefault="005B2ECF" w:rsidP="005B2ECF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Rezervy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5B2ECF" w:rsidRDefault="005B2ECF" w:rsidP="005B2ECF">
      <w:pPr>
        <w:pStyle w:val="Pismenka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Záväzky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účtujú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5B2ECF" w:rsidRDefault="005B2ECF" w:rsidP="005B2ECF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Výdavky budúcich období a výnosy budúcich období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B2ECF" w:rsidRDefault="005B2ECF" w:rsidP="005B2ECF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Cudzia mena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prepočítavajú na menu euro kurzom určeným v kurzovom lístku ECB platným ku dňu uskutočnenia účtovného prípadu a ku dňu, ku ktorému sa zostavuje účtovná závierka. V účtovnej závierke sú vykázané </w:t>
      </w:r>
      <w:r>
        <w:rPr>
          <w:sz w:val="24"/>
          <w:szCs w:val="24"/>
        </w:rPr>
        <w:lastRenderedPageBreak/>
        <w:t>s prepočtom podľa kurzu platného ku dňu, ku ktorému sa zostavuje. Kurzové straty sa  účtujú  do nákladov a kurzové zisky do výnosov.</w:t>
      </w:r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Zkladntext"/>
        <w:numPr>
          <w:ilvl w:val="0"/>
          <w:numId w:val="5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jednotka nie je platiteľom dane z pridanej hodnoty. </w:t>
      </w:r>
    </w:p>
    <w:p w:rsidR="005B2ECF" w:rsidRDefault="005B2ECF" w:rsidP="005B2ECF">
      <w:pPr>
        <w:pStyle w:val="Zkladntext"/>
        <w:ind w:left="360"/>
        <w:rPr>
          <w:sz w:val="24"/>
          <w:szCs w:val="24"/>
        </w:rPr>
      </w:pP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1"/>
    </w:p>
    <w:p w:rsidR="005B2ECF" w:rsidRDefault="005B2ECF" w:rsidP="005B2ECF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:rsidR="005B2ECF" w:rsidRDefault="005B2ECF" w:rsidP="005B2ECF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2" w:name="_Toc530739901"/>
      <w:r>
        <w:rPr>
          <w:sz w:val="24"/>
          <w:szCs w:val="24"/>
        </w:rPr>
        <w:t>Neobežný majetok - Dlhodobý nehmotný majetok a dlhodobý hmotný majetok</w:t>
      </w:r>
      <w:bookmarkEnd w:id="2"/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2025 do 31. decembra 2025:</w:t>
      </w:r>
    </w:p>
    <w:p w:rsidR="005B2ECF" w:rsidRDefault="005B2ECF" w:rsidP="005B2ECF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5B2ECF" w:rsidTr="005B2ECF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5B2ECF" w:rsidTr="005B2ECF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2ECF" w:rsidRDefault="005B2E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01.01.25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01.01.25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01.01.25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31.12.25</w:t>
            </w: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B2ECF" w:rsidTr="005B2ECF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5B2ECF" w:rsidRDefault="005B2ECF" w:rsidP="005B2ECF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5B2ECF" w:rsidRDefault="005B2ECF" w:rsidP="005B2ECF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Nadpis2"/>
        <w:rPr>
          <w:sz w:val="24"/>
          <w:szCs w:val="24"/>
        </w:rPr>
      </w:pPr>
      <w:bookmarkStart w:id="3" w:name="_Toc530739904"/>
      <w:r>
        <w:rPr>
          <w:sz w:val="24"/>
          <w:szCs w:val="24"/>
        </w:rPr>
        <w:t>Obežný majetok :</w:t>
      </w: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2025</w:t>
            </w:r>
          </w:p>
        </w:tc>
      </w:tr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3"/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2210</w:t>
            </w:r>
          </w:p>
        </w:tc>
      </w:tr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2210</w:t>
            </w:r>
          </w:p>
        </w:tc>
      </w:tr>
    </w:tbl>
    <w:p w:rsidR="005B2ECF" w:rsidRDefault="005B2ECF" w:rsidP="005B2ECF">
      <w:pPr>
        <w:pStyle w:val="Zkladntext"/>
        <w:ind w:left="0"/>
        <w:rPr>
          <w:sz w:val="24"/>
          <w:szCs w:val="24"/>
        </w:rPr>
      </w:pP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4" w:name="_Toc530739905"/>
      <w:r>
        <w:rPr>
          <w:sz w:val="24"/>
          <w:szCs w:val="24"/>
        </w:rPr>
        <w:t>C/ Finančné účty</w:t>
      </w:r>
      <w:bookmarkEnd w:id="4"/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5B2ECF" w:rsidRDefault="005B2ECF" w:rsidP="005B2ECF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5" w:name="_Toc530739908"/>
      <w:r>
        <w:rPr>
          <w:sz w:val="24"/>
          <w:szCs w:val="24"/>
        </w:rPr>
        <w:t>Vlastné imanie</w:t>
      </w:r>
    </w:p>
    <w:p w:rsidR="005B2ECF" w:rsidRDefault="005B2ECF" w:rsidP="005B2ECF">
      <w:pPr>
        <w:pStyle w:val="Zkladntext"/>
      </w:pP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5B2ECF" w:rsidRDefault="005B2ECF" w:rsidP="005B2ECF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5B2ECF" w:rsidTr="005B2EC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2025</w:t>
            </w:r>
          </w:p>
        </w:tc>
      </w:tr>
      <w:tr w:rsidR="005B2ECF" w:rsidTr="005B2EC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</w:tr>
      <w:tr w:rsidR="005B2ECF" w:rsidTr="005B2EC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 </w:t>
            </w:r>
          </w:p>
        </w:tc>
      </w:tr>
      <w:tr w:rsidR="005B2ECF" w:rsidTr="005B2EC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5000</w:t>
            </w:r>
          </w:p>
        </w:tc>
      </w:tr>
    </w:tbl>
    <w:p w:rsidR="005B2ECF" w:rsidRDefault="005B2ECF" w:rsidP="005B2ECF">
      <w:pPr>
        <w:pStyle w:val="Zkladntext"/>
        <w:ind w:left="0"/>
        <w:rPr>
          <w:sz w:val="24"/>
          <w:szCs w:val="24"/>
        </w:rPr>
      </w:pPr>
    </w:p>
    <w:bookmarkEnd w:id="5"/>
    <w:p w:rsidR="005B2ECF" w:rsidRDefault="005B2ECF" w:rsidP="005B2ECF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5B2ECF" w:rsidRDefault="005B2ECF" w:rsidP="005B2ECF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5B2ECF" w:rsidTr="005B2ECF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31.12.2025</w:t>
            </w:r>
          </w:p>
        </w:tc>
      </w:tr>
      <w:tr w:rsidR="005B2ECF" w:rsidTr="005B2ECF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5B2ECF" w:rsidTr="005B2ECF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2025</w:t>
            </w:r>
          </w:p>
        </w:tc>
      </w:tr>
      <w:tr w:rsidR="005B2ECF" w:rsidTr="005B2ECF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Časť sociálneho fondu sa podľa zákona o sociálnom fonde tvorí povinne na ťarchu. </w:t>
      </w:r>
    </w:p>
    <w:p w:rsidR="005B2ECF" w:rsidRDefault="005B2ECF" w:rsidP="005B2ECF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01.01.2025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2025</w:t>
            </w: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494</w:t>
            </w: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494 </w:t>
            </w:r>
          </w:p>
        </w:tc>
      </w:tr>
    </w:tbl>
    <w:p w:rsidR="005B2ECF" w:rsidRDefault="005B2ECF" w:rsidP="005B2ECF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6" w:name="_Toc530739914"/>
      <w:r>
        <w:rPr>
          <w:sz w:val="28"/>
          <w:szCs w:val="28"/>
        </w:rPr>
        <w:t>1. Výnosy</w:t>
      </w:r>
    </w:p>
    <w:p w:rsidR="005B2ECF" w:rsidRDefault="005B2ECF" w:rsidP="005B2ECF">
      <w:pPr>
        <w:pStyle w:val="Nadpis2"/>
        <w:numPr>
          <w:ilvl w:val="1"/>
          <w:numId w:val="3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2ECF" w:rsidRDefault="005B2ECF" w:rsidP="005B2ECF">
      <w:pPr>
        <w:pStyle w:val="Nadpis2"/>
        <w:numPr>
          <w:ilvl w:val="1"/>
          <w:numId w:val="3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6"/>
      <w:r>
        <w:rPr>
          <w:sz w:val="24"/>
          <w:szCs w:val="24"/>
        </w:rPr>
        <w:t xml:space="preserve">predaja služieb                         </w:t>
      </w:r>
      <w:r>
        <w:rPr>
          <w:b w:val="0"/>
          <w:sz w:val="24"/>
          <w:szCs w:val="24"/>
        </w:rPr>
        <w:t>43.165,-eur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5B2ECF" w:rsidRDefault="005B2ECF" w:rsidP="005B2ECF">
      <w:pPr>
        <w:pStyle w:val="Nadpis2"/>
        <w:numPr>
          <w:ilvl w:val="1"/>
          <w:numId w:val="3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5B2ECF" w:rsidTr="005B2ECF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B2ECF" w:rsidTr="005B2ECF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5B2ECF" w:rsidRDefault="005B2ECF" w:rsidP="005B2ECF">
      <w:pPr>
        <w:pStyle w:val="Zkladntext"/>
        <w:rPr>
          <w:sz w:val="24"/>
          <w:szCs w:val="24"/>
        </w:rPr>
      </w:pPr>
    </w:p>
    <w:p w:rsidR="005B2ECF" w:rsidRDefault="005B2ECF" w:rsidP="005B2ECF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28.475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28.475</w:t>
            </w:r>
          </w:p>
        </w:tc>
      </w:tr>
    </w:tbl>
    <w:p w:rsidR="005B2ECF" w:rsidRDefault="005B2ECF" w:rsidP="005B2ECF">
      <w:pPr>
        <w:pStyle w:val="Nadpis2"/>
        <w:numPr>
          <w:ilvl w:val="0"/>
          <w:numId w:val="0"/>
        </w:numPr>
        <w:tabs>
          <w:tab w:val="left" w:pos="708"/>
        </w:tabs>
      </w:pPr>
    </w:p>
    <w:p w:rsidR="005B2ECF" w:rsidRDefault="005B2ECF" w:rsidP="005B2ECF"/>
    <w:p w:rsidR="005B2ECF" w:rsidRDefault="005B2ECF" w:rsidP="005B2ECF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2ECF" w:rsidRDefault="005B2ECF" w:rsidP="005B2ECF"/>
    <w:p w:rsidR="005B2ECF" w:rsidRDefault="005B2ECF" w:rsidP="005B2ECF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bookmarkStart w:id="7" w:name="OLE_LINK1"/>
      <w:r>
        <w:rPr>
          <w:sz w:val="24"/>
          <w:szCs w:val="24"/>
        </w:rPr>
        <w:t>Prehľad o službách:</w:t>
      </w:r>
    </w:p>
    <w:bookmarkEnd w:id="7"/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1036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1036</w:t>
            </w:r>
          </w:p>
        </w:tc>
      </w:tr>
    </w:tbl>
    <w:p w:rsidR="005B2ECF" w:rsidRDefault="005B2ECF" w:rsidP="005B2ECF"/>
    <w:p w:rsidR="005B2ECF" w:rsidRDefault="005B2ECF" w:rsidP="005B2ECF"/>
    <w:p w:rsidR="005B2ECF" w:rsidRDefault="005B2ECF" w:rsidP="005B2ECF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3097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1294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30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4421</w:t>
            </w:r>
          </w:p>
        </w:tc>
      </w:tr>
    </w:tbl>
    <w:p w:rsidR="005B2ECF" w:rsidRDefault="005B2ECF" w:rsidP="005B2ECF">
      <w:r>
        <w:t>Spoločnosť počas roka 2024 zamestnávala v priemere 3 zamestnancov na dohodu.</w:t>
      </w:r>
    </w:p>
    <w:p w:rsidR="005B2ECF" w:rsidRDefault="005B2ECF" w:rsidP="005B2ECF"/>
    <w:p w:rsidR="005B2ECF" w:rsidRDefault="005B2ECF" w:rsidP="005B2ECF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5B2ECF" w:rsidRDefault="005B2ECF" w:rsidP="005B2EC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2913</w:t>
            </w:r>
          </w:p>
        </w:tc>
      </w:tr>
    </w:tbl>
    <w:p w:rsidR="005B2ECF" w:rsidRDefault="005B2ECF" w:rsidP="005B2ECF">
      <w:pPr>
        <w:rPr>
          <w:b/>
          <w:bCs/>
        </w:rPr>
      </w:pPr>
    </w:p>
    <w:p w:rsidR="005B2ECF" w:rsidRDefault="005B2ECF" w:rsidP="005B2ECF">
      <w:pPr>
        <w:pStyle w:val="Nadpis2"/>
        <w:numPr>
          <w:ilvl w:val="0"/>
          <w:numId w:val="8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5B2ECF" w:rsidRDefault="005B2ECF" w:rsidP="005B2EC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 w:rsidP="005B2ECF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31.12.2025</w:t>
            </w:r>
          </w:p>
        </w:tc>
      </w:tr>
      <w:tr w:rsidR="005B2ECF" w:rsidTr="005B2ECF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2ECF" w:rsidRDefault="005B2ECF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ECF" w:rsidRDefault="005B2ECF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279</w:t>
            </w:r>
          </w:p>
        </w:tc>
      </w:tr>
    </w:tbl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5B2ECF" w:rsidRDefault="005B2ECF" w:rsidP="005B2ECF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5B2ECF" w:rsidRDefault="005B2ECF" w:rsidP="005B2ECF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5B2ECF" w:rsidRDefault="005B2ECF" w:rsidP="005B2ECF">
      <w:pPr>
        <w:pStyle w:val="Zkladntext"/>
        <w:ind w:left="0"/>
      </w:pPr>
    </w:p>
    <w:p w:rsidR="005B2ECF" w:rsidRDefault="005B2ECF" w:rsidP="005B2ECF">
      <w:pPr>
        <w:pStyle w:val="Zkladntext"/>
        <w:ind w:left="0"/>
      </w:pPr>
    </w:p>
    <w:p w:rsidR="005B2ECF" w:rsidRDefault="005B2ECF" w:rsidP="005B2EC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Čl. VI</w:t>
      </w:r>
    </w:p>
    <w:p w:rsidR="005B2ECF" w:rsidRDefault="005B2ECF" w:rsidP="005B2ECF">
      <w:pPr>
        <w:pStyle w:val="Nadpis4"/>
        <w:jc w:val="left"/>
      </w:pPr>
      <w:r>
        <w:t xml:space="preserve">           Informácie k údajom o zmenách vlastného imania</w:t>
      </w:r>
    </w:p>
    <w:p w:rsidR="005B2ECF" w:rsidRDefault="005B2ECF" w:rsidP="005B2ECF">
      <w:pPr>
        <w:pStyle w:val="Nadpis4"/>
        <w:ind w:left="0"/>
        <w:jc w:val="left"/>
      </w:pPr>
    </w:p>
    <w:p w:rsidR="005B2ECF" w:rsidRDefault="005B2ECF" w:rsidP="005B2ECF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5B2ECF" w:rsidRDefault="005B2ECF" w:rsidP="005B2ECF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5B2ECF" w:rsidTr="005B2EC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5B2ECF" w:rsidTr="005B2ECF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B2ECF" w:rsidRDefault="005B2ECF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B2ECF" w:rsidRDefault="005B2ECF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Veľký Kýr, dňa 29.04.2026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-------------------------------------------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podpis štatutárneho orgánu</w:t>
      </w: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5B2ECF" w:rsidRDefault="005B2ECF" w:rsidP="005B2ECF">
      <w:pPr>
        <w:rPr>
          <w:rFonts w:ascii="Times New Roman" w:hAnsi="Times New Roman" w:cs="Times New Roman"/>
          <w:sz w:val="24"/>
          <w:szCs w:val="24"/>
        </w:rPr>
      </w:pPr>
    </w:p>
    <w:p w:rsidR="00F55C28" w:rsidRDefault="00F55C28"/>
    <w:sectPr w:rsidR="00F55C28" w:rsidSect="00F55C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B2ECF"/>
    <w:rsid w:val="005B2ECF"/>
    <w:rsid w:val="00F55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2ECF"/>
  </w:style>
  <w:style w:type="paragraph" w:styleId="Nadpis1">
    <w:name w:val="heading 1"/>
    <w:basedOn w:val="Normlny"/>
    <w:next w:val="Normlny"/>
    <w:link w:val="Nadpis1Char"/>
    <w:qFormat/>
    <w:rsid w:val="005B2ECF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5B2ECF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nhideWhenUsed/>
    <w:qFormat/>
    <w:rsid w:val="005B2ECF"/>
    <w:pPr>
      <w:keepNext/>
      <w:spacing w:after="0" w:line="240" w:lineRule="auto"/>
      <w:jc w:val="both"/>
      <w:outlineLvl w:val="2"/>
    </w:pPr>
    <w:rPr>
      <w:rFonts w:ascii="Book Antiqua" w:eastAsia="Times New Roman" w:hAnsi="Book Antiqua" w:cs="Times New Roman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5B2ECF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B2ECF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5B2ECF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5B2ECF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5B2ECF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5B2EC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5B2E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5B2ECF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5B2ECF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Bezriadkovania">
    <w:name w:val="No Spacing"/>
    <w:uiPriority w:val="1"/>
    <w:qFormat/>
    <w:rsid w:val="005B2ECF"/>
    <w:pPr>
      <w:spacing w:after="0" w:line="240" w:lineRule="auto"/>
    </w:pPr>
  </w:style>
  <w:style w:type="paragraph" w:customStyle="1" w:styleId="Pismenka">
    <w:name w:val="Pismenka"/>
    <w:basedOn w:val="Zkladntext"/>
    <w:rsid w:val="005B2ECF"/>
    <w:pPr>
      <w:tabs>
        <w:tab w:val="num" w:pos="426"/>
      </w:tabs>
      <w:ind w:hanging="426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82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1530</Words>
  <Characters>8723</Characters>
  <Application>Microsoft Office Word</Application>
  <DocSecurity>0</DocSecurity>
  <Lines>72</Lines>
  <Paragraphs>20</Paragraphs>
  <ScaleCrop>false</ScaleCrop>
  <Company>ATC</Company>
  <LinksUpToDate>false</LinksUpToDate>
  <CharactersWithSpaces>10233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2026-04-29T16:21:00Z</dcterms:created>
  <dcterms:modified xsi:type="dcterms:W3CDTF">2026-04-29T16:31:00Z</dcterms:modified>
</cp:coreProperties>
</file>