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68A2F" w14:textId="77777777" w:rsidR="008E72AA" w:rsidRDefault="008E72A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  <w:between w:val="nil"/>
        </w:pBdr>
        <w:spacing w:after="120" w:line="240" w:lineRule="auto"/>
        <w:ind w:left="0" w:hanging="2"/>
        <w:jc w:val="center"/>
        <w:rPr>
          <w:rFonts w:ascii="Arial Narrow" w:eastAsia="Arial Narrow" w:hAnsi="Arial Narrow" w:cs="Arial Narrow"/>
          <w:b/>
        </w:rPr>
      </w:pPr>
    </w:p>
    <w:p w14:paraId="05FFF05D" w14:textId="6EF55531" w:rsidR="008E72AA" w:rsidRDefault="00257EE7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  <w:between w:val="nil"/>
        </w:pBdr>
        <w:spacing w:after="120"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POZNÁMKY K ÚČTOVNEJ ZÁVIERKE 20</w:t>
      </w:r>
      <w:r>
        <w:rPr>
          <w:rFonts w:ascii="Arial Narrow" w:eastAsia="Arial Narrow" w:hAnsi="Arial Narrow" w:cs="Arial Narrow"/>
          <w:b/>
        </w:rPr>
        <w:t>2</w:t>
      </w:r>
      <w:r w:rsidR="001C3322">
        <w:rPr>
          <w:rFonts w:ascii="Arial Narrow" w:eastAsia="Arial Narrow" w:hAnsi="Arial Narrow" w:cs="Arial Narrow"/>
          <w:b/>
        </w:rPr>
        <w:t>5</w:t>
      </w:r>
    </w:p>
    <w:p w14:paraId="46B4D79B" w14:textId="77777777" w:rsidR="008E72AA" w:rsidRDefault="00257EE7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zostavené podľa Opatrenia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č.MF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/23378/2014-74 (FS č.12/2014), ktorým sa ustanovujú podrobnosti o individuálnej účtovnej závierke a rozsahu údajov určených z individuálnej účtovnej závierky na zverejnenie </w:t>
      </w:r>
    </w:p>
    <w:p w14:paraId="22C03B83" w14:textId="77777777" w:rsidR="008E72AA" w:rsidRDefault="00257EE7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6" w:color="000000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pre m</w:t>
      </w:r>
      <w:r>
        <w:rPr>
          <w:rFonts w:ascii="Arial Narrow" w:eastAsia="Arial Narrow" w:hAnsi="Arial Narrow" w:cs="Arial Narrow"/>
          <w:b/>
          <w:sz w:val="22"/>
          <w:szCs w:val="22"/>
        </w:rPr>
        <w:t>alé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účtovn</w:t>
      </w:r>
      <w:r>
        <w:rPr>
          <w:rFonts w:ascii="Arial Narrow" w:eastAsia="Arial Narrow" w:hAnsi="Arial Narrow" w:cs="Arial Narrow"/>
          <w:b/>
          <w:sz w:val="22"/>
          <w:szCs w:val="22"/>
        </w:rPr>
        <w:t>é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jednotky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43B7E123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044DFAC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Článok I – VŠEOBECNÉ INFORMÁCIE</w:t>
      </w:r>
    </w:p>
    <w:p w14:paraId="6D4588CC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1F9DE69C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1)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Základné informácie o účtovnej jednotke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</w:t>
      </w:r>
    </w:p>
    <w:p w14:paraId="07A4B123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tbl>
      <w:tblPr>
        <w:tblStyle w:val="ab"/>
        <w:tblW w:w="96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36"/>
        <w:gridCol w:w="6969"/>
      </w:tblGrid>
      <w:tr w:rsidR="008E72AA" w14:paraId="1C02BEE6" w14:textId="77777777">
        <w:trPr>
          <w:trHeight w:val="231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439C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Obchodné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A4D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AGRO ZOBOR, </w:t>
            </w:r>
            <w:proofErr w:type="spellStart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družstvo</w:t>
            </w:r>
            <w:proofErr w:type="spellEnd"/>
          </w:p>
        </w:tc>
      </w:tr>
      <w:tr w:rsidR="008E72AA" w14:paraId="5C99DCD9" w14:textId="77777777">
        <w:trPr>
          <w:trHeight w:val="249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3B8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Sídlo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3F79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Preseľany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55, 956 12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Preseľany</w:t>
            </w:r>
            <w:proofErr w:type="spellEnd"/>
          </w:p>
        </w:tc>
      </w:tr>
      <w:tr w:rsidR="008E72AA" w14:paraId="37A1D050" w14:textId="77777777">
        <w:trPr>
          <w:trHeight w:val="125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4D2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Právna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forma: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55E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družstvo</w:t>
            </w:r>
            <w:proofErr w:type="spellEnd"/>
          </w:p>
        </w:tc>
      </w:tr>
      <w:tr w:rsidR="008E72AA" w14:paraId="0BC00628" w14:textId="77777777">
        <w:trPr>
          <w:trHeight w:val="143"/>
        </w:trPr>
        <w:tc>
          <w:tcPr>
            <w:tcW w:w="2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C167A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Dátum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vzniku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7B23C4B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Zápis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obchodného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registra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29.07.2020</w:t>
            </w:r>
          </w:p>
        </w:tc>
      </w:tr>
      <w:tr w:rsidR="008E72AA" w14:paraId="0B70968E" w14:textId="77777777">
        <w:trPr>
          <w:trHeight w:val="175"/>
        </w:trPr>
        <w:tc>
          <w:tcPr>
            <w:tcW w:w="2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B8D83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Hlavný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predmet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podnikania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E4B8BD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highlight w:val="white"/>
              </w:rPr>
              <w:t>Prenájom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nehnuteľností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bytových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nebytových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priestorov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>,</w:t>
            </w:r>
          </w:p>
          <w:p w14:paraId="2340E3D1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highlight w:val="white"/>
              </w:rPr>
              <w:t>poľnohospodárstvo</w:t>
            </w:r>
            <w:proofErr w:type="spellEnd"/>
            <w:r>
              <w:rPr>
                <w:rFonts w:ascii="Arial" w:eastAsia="Arial" w:hAnsi="Arial" w:cs="Arial"/>
                <w:highlight w:val="white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highlight w:val="white"/>
              </w:rPr>
              <w:t>lesníctvo</w:t>
            </w:r>
            <w:proofErr w:type="spellEnd"/>
          </w:p>
        </w:tc>
      </w:tr>
      <w:tr w:rsidR="008E72AA" w14:paraId="4C7E7887" w14:textId="77777777">
        <w:trPr>
          <w:trHeight w:val="194"/>
        </w:trPr>
        <w:tc>
          <w:tcPr>
            <w:tcW w:w="2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4C7FF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Subjekt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verejného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záujmu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D5A097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Spoločnosť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AGRO ZOBOR,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družstvo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nie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subjektom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verejného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záujmu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(§ 2/14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ZoU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).</w:t>
            </w:r>
          </w:p>
        </w:tc>
      </w:tr>
      <w:tr w:rsidR="008E72AA" w14:paraId="3648749E" w14:textId="77777777">
        <w:trPr>
          <w:trHeight w:val="194"/>
        </w:trPr>
        <w:tc>
          <w:tcPr>
            <w:tcW w:w="26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2AB4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obdobie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96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4D2CE7D" w14:textId="3CBAED50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Kalendárny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20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  <w:r w:rsidR="00CF5A21">
              <w:rPr>
                <w:rFonts w:ascii="Arial Narrow" w:eastAsia="Arial Narrow" w:hAnsi="Arial Narrow" w:cs="Arial Narrow"/>
              </w:rPr>
              <w:t>5</w:t>
            </w:r>
          </w:p>
        </w:tc>
      </w:tr>
    </w:tbl>
    <w:p w14:paraId="14AE97C2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900B676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25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 xml:space="preserve">Test veľkostnej skupiny účtovnej jednotky (2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)</w:t>
      </w:r>
    </w:p>
    <w:p w14:paraId="7B647D31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(Do veľkostnej skupiny mal</w:t>
      </w:r>
      <w:r>
        <w:rPr>
          <w:rFonts w:ascii="Arial Narrow" w:eastAsia="Arial Narrow" w:hAnsi="Arial Narrow" w:cs="Arial Narrow"/>
          <w:sz w:val="22"/>
          <w:szCs w:val="22"/>
        </w:rPr>
        <w:t>á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účtovná jednotka patrí taká, ktorá za dve po sebe idúce účtovné obdobia spĺňa aspoň dve z troch podmienok – suma netto aktív presiahla 350 000 eur, ale nepresiahla 4 000 000 eur, čistý obrat presiahol 700 000 eur, ale nepresiahol 8 000 000 eur a priemerný prepočítaný počet zamestnancov počas účtovného obdobia presiahol 10, ale nepresiahol 50).  </w:t>
      </w:r>
    </w:p>
    <w:p w14:paraId="5923C712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tbl>
      <w:tblPr>
        <w:tblStyle w:val="ac"/>
        <w:tblW w:w="9568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7"/>
        <w:gridCol w:w="2835"/>
        <w:gridCol w:w="3260"/>
        <w:gridCol w:w="1276"/>
      </w:tblGrid>
      <w:tr w:rsidR="008E72AA" w14:paraId="7D3B8A59" w14:textId="77777777">
        <w:tc>
          <w:tcPr>
            <w:tcW w:w="2197" w:type="dxa"/>
          </w:tcPr>
          <w:p w14:paraId="4C98EA8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Názov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položky</w:t>
            </w:r>
            <w:proofErr w:type="spellEnd"/>
          </w:p>
        </w:tc>
        <w:tc>
          <w:tcPr>
            <w:tcW w:w="2835" w:type="dxa"/>
          </w:tcPr>
          <w:p w14:paraId="216B54CE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Bežné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obdobie</w:t>
            </w:r>
            <w:proofErr w:type="spellEnd"/>
          </w:p>
        </w:tc>
        <w:tc>
          <w:tcPr>
            <w:tcW w:w="3260" w:type="dxa"/>
          </w:tcPr>
          <w:p w14:paraId="2DA1290C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Bezprostredne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predchádzajúce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obdobie</w:t>
            </w:r>
            <w:proofErr w:type="spellEnd"/>
          </w:p>
        </w:tc>
        <w:tc>
          <w:tcPr>
            <w:tcW w:w="1276" w:type="dxa"/>
          </w:tcPr>
          <w:p w14:paraId="1AB06C6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Áno</w:t>
            </w:r>
            <w:proofErr w:type="gram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/Nie</w:t>
            </w:r>
          </w:p>
        </w:tc>
      </w:tr>
      <w:tr w:rsidR="008E72AA" w14:paraId="08379B0B" w14:textId="77777777">
        <w:tc>
          <w:tcPr>
            <w:tcW w:w="2197" w:type="dxa"/>
          </w:tcPr>
          <w:p w14:paraId="70377DD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Netto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aktíva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celkom</w:t>
            </w:r>
            <w:proofErr w:type="spellEnd"/>
          </w:p>
        </w:tc>
        <w:tc>
          <w:tcPr>
            <w:tcW w:w="2835" w:type="dxa"/>
          </w:tcPr>
          <w:p w14:paraId="1BE40869" w14:textId="2901973F" w:rsidR="008E72AA" w:rsidRDefault="000A29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941070</w:t>
            </w:r>
          </w:p>
        </w:tc>
        <w:tc>
          <w:tcPr>
            <w:tcW w:w="3260" w:type="dxa"/>
          </w:tcPr>
          <w:p w14:paraId="1623737F" w14:textId="26F68489" w:rsidR="008E72AA" w:rsidRDefault="000A29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695601</w:t>
            </w:r>
          </w:p>
        </w:tc>
        <w:tc>
          <w:tcPr>
            <w:tcW w:w="1276" w:type="dxa"/>
          </w:tcPr>
          <w:p w14:paraId="6912905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Nie</w:t>
            </w:r>
          </w:p>
        </w:tc>
      </w:tr>
      <w:tr w:rsidR="008E72AA" w14:paraId="6C27B5EA" w14:textId="77777777">
        <w:tc>
          <w:tcPr>
            <w:tcW w:w="2197" w:type="dxa"/>
          </w:tcPr>
          <w:p w14:paraId="5843B52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Čistý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obrat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celkom</w:t>
            </w:r>
            <w:proofErr w:type="spellEnd"/>
          </w:p>
        </w:tc>
        <w:tc>
          <w:tcPr>
            <w:tcW w:w="2835" w:type="dxa"/>
          </w:tcPr>
          <w:p w14:paraId="3888C5C6" w14:textId="30E51764" w:rsidR="008E72AA" w:rsidRDefault="000A29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163407</w:t>
            </w:r>
          </w:p>
        </w:tc>
        <w:tc>
          <w:tcPr>
            <w:tcW w:w="3260" w:type="dxa"/>
          </w:tcPr>
          <w:p w14:paraId="72181066" w14:textId="18129598" w:rsidR="008E72AA" w:rsidRDefault="000A29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210653</w:t>
            </w:r>
          </w:p>
        </w:tc>
        <w:tc>
          <w:tcPr>
            <w:tcW w:w="1276" w:type="dxa"/>
          </w:tcPr>
          <w:p w14:paraId="203A003C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Nie</w:t>
            </w:r>
          </w:p>
        </w:tc>
      </w:tr>
      <w:tr w:rsidR="008E72AA" w14:paraId="70A2AF02" w14:textId="77777777">
        <w:tc>
          <w:tcPr>
            <w:tcW w:w="2197" w:type="dxa"/>
          </w:tcPr>
          <w:p w14:paraId="4A7AD415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Počet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zamestnancov</w:t>
            </w:r>
            <w:proofErr w:type="spellEnd"/>
          </w:p>
        </w:tc>
        <w:tc>
          <w:tcPr>
            <w:tcW w:w="2835" w:type="dxa"/>
          </w:tcPr>
          <w:p w14:paraId="6527100E" w14:textId="3D097C68" w:rsidR="008E72AA" w:rsidRDefault="000A29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3260" w:type="dxa"/>
          </w:tcPr>
          <w:p w14:paraId="269FCE8A" w14:textId="416CD738" w:rsidR="008E72AA" w:rsidRDefault="000A292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2</w:t>
            </w:r>
          </w:p>
        </w:tc>
        <w:tc>
          <w:tcPr>
            <w:tcW w:w="1276" w:type="dxa"/>
          </w:tcPr>
          <w:p w14:paraId="5BC35BB9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Nie</w:t>
            </w:r>
          </w:p>
        </w:tc>
      </w:tr>
    </w:tbl>
    <w:p w14:paraId="2C20C1A9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FB23374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Komentár: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UJ nespĺňa veľkostné podmienky na zatriedenie do veľkostnej skupiny –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malá účtovná jednotka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.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Účtovná jednotka sa rozhodla zostaviť účtovnú závierku podľa metodiky pre túto veľkostnú skupinu (Opatrenie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č.MF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/23378/2014-74).</w:t>
      </w:r>
    </w:p>
    <w:p w14:paraId="726CD8C8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4C5635F" w14:textId="37CAD815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2)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Dátum schválenia účtovnej závierky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 w:rsidR="00CF5A21">
        <w:rPr>
          <w:rFonts w:ascii="Arial Narrow" w:eastAsia="Arial Narrow" w:hAnsi="Arial Narrow" w:cs="Arial Narrow"/>
          <w:sz w:val="22"/>
          <w:szCs w:val="22"/>
        </w:rPr>
        <w:t>za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bezprostredne predchádzajúce účtovné obdobie</w:t>
      </w:r>
      <w:r w:rsidR="00CF5A21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príslušným orgánom účtovnej jednotky 31.12.2025</w:t>
      </w:r>
    </w:p>
    <w:p w14:paraId="338210F3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1FD10129" w14:textId="3086A945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Právny dôvod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na zostavenie účtovnej závierky: riadna účtovná závierka k 31.12.20</w:t>
      </w:r>
      <w:r>
        <w:rPr>
          <w:rFonts w:ascii="Arial Narrow" w:eastAsia="Arial Narrow" w:hAnsi="Arial Narrow" w:cs="Arial Narrow"/>
          <w:sz w:val="22"/>
          <w:szCs w:val="22"/>
        </w:rPr>
        <w:t>2</w:t>
      </w:r>
      <w:r w:rsidR="00CF5A21">
        <w:rPr>
          <w:rFonts w:ascii="Arial Narrow" w:eastAsia="Arial Narrow" w:hAnsi="Arial Narrow" w:cs="Arial Narrow"/>
          <w:sz w:val="22"/>
          <w:szCs w:val="22"/>
        </w:rPr>
        <w:t>5</w:t>
      </w:r>
    </w:p>
    <w:p w14:paraId="3026554A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9A2D817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4)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Údaje o skupine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účtovných jednotiek v súvislosti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s konsolidáciou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 konsolidovaná účtovná závierka sa nezostavuje</w:t>
      </w:r>
    </w:p>
    <w:p w14:paraId="0748CCE4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EE8F4D6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5)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Priemerný prepočítaný počet zamestnancov účtovnej jednotky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</w:t>
      </w:r>
    </w:p>
    <w:tbl>
      <w:tblPr>
        <w:tblStyle w:val="ad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7"/>
        <w:gridCol w:w="2523"/>
        <w:gridCol w:w="2367"/>
      </w:tblGrid>
      <w:tr w:rsidR="008E72AA" w14:paraId="6620A070" w14:textId="77777777">
        <w:trPr>
          <w:trHeight w:val="537"/>
        </w:trPr>
        <w:tc>
          <w:tcPr>
            <w:tcW w:w="4857" w:type="dxa"/>
            <w:vAlign w:val="center"/>
          </w:tcPr>
          <w:p w14:paraId="1A057D7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59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Názov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položky</w:t>
            </w:r>
            <w:proofErr w:type="spellEnd"/>
          </w:p>
        </w:tc>
        <w:tc>
          <w:tcPr>
            <w:tcW w:w="2523" w:type="dxa"/>
            <w:vAlign w:val="center"/>
          </w:tcPr>
          <w:p w14:paraId="5FAA7819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Bežné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obdobie</w:t>
            </w:r>
            <w:proofErr w:type="spellEnd"/>
          </w:p>
        </w:tc>
        <w:tc>
          <w:tcPr>
            <w:tcW w:w="2367" w:type="dxa"/>
            <w:vAlign w:val="center"/>
          </w:tcPr>
          <w:p w14:paraId="29CE3053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Bezprostredne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predchádzajúce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účtovné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obdobie</w:t>
            </w:r>
            <w:proofErr w:type="spellEnd"/>
          </w:p>
        </w:tc>
      </w:tr>
      <w:tr w:rsidR="008E72AA" w14:paraId="6662783C" w14:textId="77777777">
        <w:trPr>
          <w:trHeight w:val="163"/>
        </w:trPr>
        <w:tc>
          <w:tcPr>
            <w:tcW w:w="4857" w:type="dxa"/>
          </w:tcPr>
          <w:p w14:paraId="0CB7E30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Priemerný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prepočítaný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počet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počas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účtovného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obdobia</w:t>
            </w:r>
            <w:proofErr w:type="spellEnd"/>
          </w:p>
        </w:tc>
        <w:tc>
          <w:tcPr>
            <w:tcW w:w="2523" w:type="dxa"/>
          </w:tcPr>
          <w:p w14:paraId="058E0E97" w14:textId="7FB073C7" w:rsidR="008E72AA" w:rsidRDefault="00CF5A2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2,37</w:t>
            </w:r>
          </w:p>
        </w:tc>
        <w:tc>
          <w:tcPr>
            <w:tcW w:w="2367" w:type="dxa"/>
          </w:tcPr>
          <w:p w14:paraId="35D2786B" w14:textId="0936F85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>1</w:t>
            </w:r>
            <w:r w:rsidR="00746C5E">
              <w:rPr>
                <w:rFonts w:ascii="Arial Narrow" w:eastAsia="Arial Narrow" w:hAnsi="Arial Narrow" w:cs="Arial Narrow"/>
              </w:rPr>
              <w:t>,5</w:t>
            </w:r>
          </w:p>
        </w:tc>
      </w:tr>
    </w:tbl>
    <w:p w14:paraId="6AAB8E0E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2759D61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5237A7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Článok II – INFORMÁCIE O ORGÁNOCH SPOLOČNOSTI</w:t>
      </w:r>
    </w:p>
    <w:p w14:paraId="3D1DF41B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12A9796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Informácie o orgánoch účtovnej jednotky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štatutárneho orgánu, dozorného orgánu a iného orgánu účtovnej jednotky, pričom sa uvádzajú najmä informácie – o podmienkach a výške jednotlivých druhov záruk alebo iných zabezpečení, o pôžičkách a ich podmienkach (výška úrokov, celková suma pôžičky, suma splatenej pôžičky, suma odpustenej pôžičky), o použití majetku účtovnej jednotky na súkromné účely; v členení na jednotlivé orgány (informácie sa neuvádzajú vtedy, ak by umožnili identifikáciu finančnej situácie konkrétnej fyzickej osoby): účtovná jednotka nemá náplň pre túto položku.</w:t>
      </w:r>
    </w:p>
    <w:p w14:paraId="1A061EE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7DD1DDF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Článok III – INFORMÁCIE O PRIJATÝCH POSTUPOCH</w:t>
      </w:r>
    </w:p>
    <w:p w14:paraId="78CFE18E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A0CF401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1) Spoločnosť zostavila účtovnú závierku za splnenia predpokladu, že účtovná jednotka bude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nepretržite pokračovať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vo svojej činnosti minimálne 12 mesiacov po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závierkovom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dni v zmysle § 7 ods. 4 zákona o účtovníctve.</w:t>
      </w:r>
    </w:p>
    <w:p w14:paraId="3DF9A819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DB2A9D7" w14:textId="25269319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2) Účtovná jednotka nemenila v roku 20</w:t>
      </w:r>
      <w:r>
        <w:rPr>
          <w:rFonts w:ascii="Arial Narrow" w:eastAsia="Arial Narrow" w:hAnsi="Arial Narrow" w:cs="Arial Narrow"/>
          <w:sz w:val="22"/>
          <w:szCs w:val="22"/>
        </w:rPr>
        <w:t>2</w:t>
      </w:r>
      <w:r w:rsidR="00CF5A21">
        <w:rPr>
          <w:rFonts w:ascii="Arial Narrow" w:eastAsia="Arial Narrow" w:hAnsi="Arial Narrow" w:cs="Arial Narrow"/>
          <w:sz w:val="22"/>
          <w:szCs w:val="22"/>
        </w:rPr>
        <w:t>5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účtovné zásady ani metódy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3A2A6004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6B25B2A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3) Účtovná jednotka neprevádza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rizikové transakcie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03600858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162CC04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4)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Spôsob a určenie oceňovania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majetku a záväzkov (vrátane rozhodujúcich odhadov):</w:t>
      </w:r>
    </w:p>
    <w:p w14:paraId="4DD9595B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a) Spôsob oceňovania majetku a záväzkov (§ 25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):</w:t>
      </w:r>
    </w:p>
    <w:p w14:paraId="2645D1AD" w14:textId="77777777" w:rsidR="008E72AA" w:rsidRDefault="008E72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8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e"/>
        <w:tblW w:w="9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4960"/>
        <w:gridCol w:w="2857"/>
        <w:gridCol w:w="1271"/>
      </w:tblGrid>
      <w:tr w:rsidR="008E72AA" w14:paraId="49456637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9969D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Č.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3EACA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Názov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položky</w:t>
            </w:r>
            <w:proofErr w:type="spellEnd"/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147B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Spôsob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oceňovania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AF5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Vyznačené</w:t>
            </w:r>
            <w:proofErr w:type="spellEnd"/>
          </w:p>
        </w:tc>
      </w:tr>
      <w:tr w:rsidR="008E72AA" w14:paraId="6A79A93A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273F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1588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externe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kúpený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D24AD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FC8F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0214EC29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E078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069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interne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vytvorený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3B6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náklady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2A306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055DD187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7F3D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36A7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inak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darom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A06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Reprodukčná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5871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64BB6734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DFC9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279E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externe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kúpený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AD2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28A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5B26B0B6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1102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02868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interne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vytvorený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FDD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náklady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F5B3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60324BDD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2A67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AE0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inak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darom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F8B8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Reprodukčná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6AD6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010EF7CB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5390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751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finančný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CC4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2472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38CB00C4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DA1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8.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CEA4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Zásoby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kúpou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A304F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3286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60287AF1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40FC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9.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DEF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Zásoby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vytvorené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vlastnou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činnosťou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C4DEB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náklady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264F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1865E755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14C04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EE7A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Zásoby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inak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darom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7A8F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Reprodukčná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C1A7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7411C20C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85C2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224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ZV 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zákazková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výstavba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nehnuteľnosti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určenej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predaj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031F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8E9D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5138118A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3C38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12.1.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25E9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Vlastné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pohľadávky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0EE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84A5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5E4CF554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CE98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12.2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99E6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Kúpené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pohľadávky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EFFB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71D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323E3AAA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7D4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E8D2A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Krátkodobý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finančný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80F0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5A9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570CB5B3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486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62B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Časové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rozlíšenie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strane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aktív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súvahy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F5A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8908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088546FA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37224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E87F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Záväzky,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vrátane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rezerv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dlhopisov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pôžičiek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úverov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49F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BAC7E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15AE24F5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0993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EBBB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Časové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rozlíšenie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strane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pasív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súvahy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3362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91742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  <w:tr w:rsidR="008E72AA" w14:paraId="102798B5" w14:textId="77777777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86B9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382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Deriváty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2A6D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7424F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180BFB08" w14:textId="77777777">
        <w:tc>
          <w:tcPr>
            <w:tcW w:w="677" w:type="dxa"/>
          </w:tcPr>
          <w:p w14:paraId="5A1A2095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4960" w:type="dxa"/>
          </w:tcPr>
          <w:p w14:paraId="3760E34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a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záväzky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zabezpečené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derivátmi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2857" w:type="dxa"/>
          </w:tcPr>
          <w:p w14:paraId="1AFAD00A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</w:tcPr>
          <w:p w14:paraId="230BD58B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19FC8771" w14:textId="77777777">
        <w:tc>
          <w:tcPr>
            <w:tcW w:w="677" w:type="dxa"/>
          </w:tcPr>
          <w:p w14:paraId="1EAA2AF7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4960" w:type="dxa"/>
          </w:tcPr>
          <w:p w14:paraId="013EFD0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Prenajatý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obstaraný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základe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zmluvy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kúpe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prenajatej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veci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</w:tcPr>
          <w:p w14:paraId="687DD154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Obstarávacia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cena</w:t>
            </w:r>
            <w:proofErr w:type="spellEnd"/>
          </w:p>
        </w:tc>
        <w:tc>
          <w:tcPr>
            <w:tcW w:w="1271" w:type="dxa"/>
          </w:tcPr>
          <w:p w14:paraId="3DD470EA" w14:textId="77777777" w:rsidR="008E72AA" w:rsidRDefault="008E72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8E72AA" w14:paraId="06F9DB01" w14:textId="77777777">
        <w:tc>
          <w:tcPr>
            <w:tcW w:w="677" w:type="dxa"/>
          </w:tcPr>
          <w:p w14:paraId="07E4CA01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4960" w:type="dxa"/>
          </w:tcPr>
          <w:p w14:paraId="6F26349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Splatná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daň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z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príjmov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</w:t>
            </w:r>
            <w:proofErr w:type="gram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odložená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daň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z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príjmov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2857" w:type="dxa"/>
          </w:tcPr>
          <w:p w14:paraId="27BBA553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Menovitá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hodnota</w:t>
            </w:r>
            <w:proofErr w:type="spellEnd"/>
          </w:p>
        </w:tc>
        <w:tc>
          <w:tcPr>
            <w:tcW w:w="1271" w:type="dxa"/>
          </w:tcPr>
          <w:p w14:paraId="64C2245C" w14:textId="77777777" w:rsidR="008E72AA" w:rsidRDefault="00257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8"/>
              </w:tabs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x</w:t>
            </w:r>
          </w:p>
        </w:tc>
      </w:tr>
    </w:tbl>
    <w:p w14:paraId="3A537953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F623554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b) Trvalé zníženie hodnoty majetku nebolo účtované.</w:t>
      </w:r>
    </w:p>
    <w:p w14:paraId="65A498A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c) Záväzky účtovná jednotka ocenila menovitou hodnotou záväzkov. Rezervy v účtovnej jednotke boli účtované. </w:t>
      </w:r>
    </w:p>
    <w:p w14:paraId="76802C6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d) Určenie ocenenia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finančných nástrojov alebo majetku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, ktorý nie je finančným nástrojom pri oceňovaní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reálnou hodnotou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 účtovná jednotka nemá náplň pre túto položku.</w:t>
      </w:r>
    </w:p>
    <w:p w14:paraId="2E347C6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e) Určenie ocenenia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finančných nástrojov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pri oceňovaní obstarávacou cenou alebo vlastnými nákladmi: účtovná jednotka nemá náplň pre túto položku.</w:t>
      </w:r>
    </w:p>
    <w:p w14:paraId="2E95678A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lastRenderedPageBreak/>
        <w:t xml:space="preserve">f) Účtovná jednotka nepoužila dobrovoľné oceňovanie obchodných podielov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metódou vlastného imania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(§ 27/9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).</w:t>
      </w:r>
    </w:p>
    <w:p w14:paraId="34B1F718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A612505" w14:textId="77777777" w:rsidR="008E72AA" w:rsidRDefault="00257EE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1005"/>
        </w:tabs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g)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  <w:t>Tvorba odpisového plánu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pre dlhodobý majetok, pričom sa uvádza doba odpisovania, sadzby odpisov a odpisové metódy pre účtovné odpisy:</w:t>
      </w:r>
    </w:p>
    <w:tbl>
      <w:tblPr>
        <w:tblStyle w:val="af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8"/>
        <w:gridCol w:w="1013"/>
        <w:gridCol w:w="2107"/>
        <w:gridCol w:w="2268"/>
      </w:tblGrid>
      <w:tr w:rsidR="008E72AA" w14:paraId="0D372D76" w14:textId="77777777">
        <w:tc>
          <w:tcPr>
            <w:tcW w:w="4218" w:type="dxa"/>
          </w:tcPr>
          <w:p w14:paraId="6BD5E75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hmotný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nehmotný</w:t>
            </w:r>
            <w:proofErr w:type="spellEnd"/>
          </w:p>
          <w:p w14:paraId="0819BD9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odpisovaný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majetok</w:t>
            </w:r>
            <w:proofErr w:type="spellEnd"/>
          </w:p>
        </w:tc>
        <w:tc>
          <w:tcPr>
            <w:tcW w:w="1013" w:type="dxa"/>
          </w:tcPr>
          <w:p w14:paraId="5E8C205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číslo</w:t>
            </w:r>
            <w:proofErr w:type="spellEnd"/>
          </w:p>
          <w:p w14:paraId="40C2014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účtu</w:t>
            </w:r>
            <w:proofErr w:type="spellEnd"/>
          </w:p>
        </w:tc>
        <w:tc>
          <w:tcPr>
            <w:tcW w:w="2107" w:type="dxa"/>
          </w:tcPr>
          <w:p w14:paraId="6DB6C4F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doba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odpisovania</w:t>
            </w:r>
            <w:proofErr w:type="spellEnd"/>
          </w:p>
          <w:p w14:paraId="17AE69C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počet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rokov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191DE14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odpisová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sadzba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</w:p>
          <w:p w14:paraId="2A58015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(%)</w:t>
            </w:r>
          </w:p>
        </w:tc>
      </w:tr>
      <w:tr w:rsidR="008E72AA" w14:paraId="3F3C2BE8" w14:textId="77777777">
        <w:tc>
          <w:tcPr>
            <w:tcW w:w="4218" w:type="dxa"/>
          </w:tcPr>
          <w:p w14:paraId="18D7C1B7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Software</w:t>
            </w:r>
          </w:p>
        </w:tc>
        <w:tc>
          <w:tcPr>
            <w:tcW w:w="1013" w:type="dxa"/>
          </w:tcPr>
          <w:p w14:paraId="282F45A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013</w:t>
            </w:r>
          </w:p>
        </w:tc>
        <w:tc>
          <w:tcPr>
            <w:tcW w:w="2107" w:type="dxa"/>
          </w:tcPr>
          <w:p w14:paraId="388FC5A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68" w:type="dxa"/>
          </w:tcPr>
          <w:p w14:paraId="7E9F458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20</w:t>
            </w:r>
          </w:p>
        </w:tc>
      </w:tr>
      <w:tr w:rsidR="008E72AA" w14:paraId="78E66B59" w14:textId="77777777">
        <w:tc>
          <w:tcPr>
            <w:tcW w:w="4218" w:type="dxa"/>
          </w:tcPr>
          <w:p w14:paraId="026D3C8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Ostatný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DNM </w:t>
            </w:r>
          </w:p>
        </w:tc>
        <w:tc>
          <w:tcPr>
            <w:tcW w:w="1013" w:type="dxa"/>
          </w:tcPr>
          <w:p w14:paraId="33B7A0F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019</w:t>
            </w:r>
          </w:p>
        </w:tc>
        <w:tc>
          <w:tcPr>
            <w:tcW w:w="2107" w:type="dxa"/>
          </w:tcPr>
          <w:p w14:paraId="26A71E18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743A3A95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25</w:t>
            </w:r>
          </w:p>
        </w:tc>
      </w:tr>
      <w:tr w:rsidR="008E72AA" w14:paraId="23E69F5F" w14:textId="77777777">
        <w:tc>
          <w:tcPr>
            <w:tcW w:w="4218" w:type="dxa"/>
          </w:tcPr>
          <w:p w14:paraId="3AB13409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Stavby</w:t>
            </w:r>
            <w:proofErr w:type="spellEnd"/>
          </w:p>
        </w:tc>
        <w:tc>
          <w:tcPr>
            <w:tcW w:w="1013" w:type="dxa"/>
          </w:tcPr>
          <w:p w14:paraId="3B261D1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2107" w:type="dxa"/>
          </w:tcPr>
          <w:p w14:paraId="4037547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68" w:type="dxa"/>
          </w:tcPr>
          <w:p w14:paraId="25B1751D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5</w:t>
            </w:r>
          </w:p>
        </w:tc>
      </w:tr>
      <w:tr w:rsidR="008E72AA" w14:paraId="4E42BCDC" w14:textId="77777777">
        <w:tc>
          <w:tcPr>
            <w:tcW w:w="4218" w:type="dxa"/>
          </w:tcPr>
          <w:p w14:paraId="617CBE13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Počítače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s 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príslušenstvom</w:t>
            </w:r>
            <w:proofErr w:type="spellEnd"/>
          </w:p>
        </w:tc>
        <w:tc>
          <w:tcPr>
            <w:tcW w:w="1013" w:type="dxa"/>
          </w:tcPr>
          <w:p w14:paraId="0994D27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022.A</w:t>
            </w:r>
          </w:p>
        </w:tc>
        <w:tc>
          <w:tcPr>
            <w:tcW w:w="2107" w:type="dxa"/>
          </w:tcPr>
          <w:p w14:paraId="2D5A1657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7417C08C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25</w:t>
            </w:r>
          </w:p>
        </w:tc>
      </w:tr>
      <w:tr w:rsidR="008E72AA" w14:paraId="3426D3B9" w14:textId="77777777">
        <w:tc>
          <w:tcPr>
            <w:tcW w:w="4218" w:type="dxa"/>
          </w:tcPr>
          <w:p w14:paraId="7154237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Dopravné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prostriedky</w:t>
            </w:r>
            <w:proofErr w:type="spellEnd"/>
          </w:p>
        </w:tc>
        <w:tc>
          <w:tcPr>
            <w:tcW w:w="1013" w:type="dxa"/>
          </w:tcPr>
          <w:p w14:paraId="43E109A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023</w:t>
            </w:r>
          </w:p>
        </w:tc>
        <w:tc>
          <w:tcPr>
            <w:tcW w:w="2107" w:type="dxa"/>
          </w:tcPr>
          <w:p w14:paraId="2B3D51D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6A78B78F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25</w:t>
            </w:r>
          </w:p>
        </w:tc>
      </w:tr>
      <w:tr w:rsidR="008E72AA" w14:paraId="35DDB2DE" w14:textId="77777777">
        <w:tc>
          <w:tcPr>
            <w:tcW w:w="4218" w:type="dxa"/>
          </w:tcPr>
          <w:p w14:paraId="509533D4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Ostatné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stroje</w:t>
            </w:r>
            <w:proofErr w:type="spellEnd"/>
          </w:p>
        </w:tc>
        <w:tc>
          <w:tcPr>
            <w:tcW w:w="1013" w:type="dxa"/>
          </w:tcPr>
          <w:p w14:paraId="06F21AC5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022.A</w:t>
            </w:r>
          </w:p>
        </w:tc>
        <w:tc>
          <w:tcPr>
            <w:tcW w:w="2107" w:type="dxa"/>
          </w:tcPr>
          <w:p w14:paraId="10F9A76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14:paraId="5496BD01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12,5</w:t>
            </w:r>
          </w:p>
        </w:tc>
      </w:tr>
      <w:tr w:rsidR="008E72AA" w14:paraId="34B38114" w14:textId="77777777">
        <w:tc>
          <w:tcPr>
            <w:tcW w:w="4218" w:type="dxa"/>
          </w:tcPr>
          <w:p w14:paraId="1523D0E2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Ostatný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dlhodobý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hmotný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majetok</w:t>
            </w:r>
            <w:proofErr w:type="spellEnd"/>
          </w:p>
        </w:tc>
        <w:tc>
          <w:tcPr>
            <w:tcW w:w="1013" w:type="dxa"/>
          </w:tcPr>
          <w:p w14:paraId="1A11269A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2107" w:type="dxa"/>
          </w:tcPr>
          <w:p w14:paraId="1F0293C6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68" w:type="dxa"/>
          </w:tcPr>
          <w:p w14:paraId="40EBE4C0" w14:textId="77777777" w:rsidR="008E72AA" w:rsidRDefault="00257E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8,33</w:t>
            </w:r>
          </w:p>
        </w:tc>
      </w:tr>
    </w:tbl>
    <w:p w14:paraId="656BA23F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6D3C3DC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Komentár k odpisovému plánu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: </w:t>
      </w:r>
    </w:p>
    <w:p w14:paraId="3B19DA0C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UJ používa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účtovné odpisy nezávisle na daňových odpisoch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. Majetok sa začína odpisovať v mesiaci, kedy bol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zaradený do užívania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. Účtovné odpisy vychádzajú z predpokladanej doby používania majetku. </w:t>
      </w:r>
    </w:p>
    <w:p w14:paraId="69CEDC64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UJ používa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rovnomerné odpisovanie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dlhodobého hmotného majetku a dlhodobého nehmotného majetku.</w:t>
      </w:r>
    </w:p>
    <w:p w14:paraId="3FE9E6F5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UJ odpisuje jednotlivé veci alebo relevantné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súbory hnuteľných vecí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. UJ nepoužíva komponentné odpisovanie (odpisovanie častí majetku - komponentov).</w:t>
      </w:r>
    </w:p>
    <w:p w14:paraId="0B4E1DCC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UJ nepoužila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jednorazový odpis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dlhodobého majetku z dôvodu jednorazového trvalého zníženia hodnoty majetku (§ 21/5 PU).</w:t>
      </w:r>
    </w:p>
    <w:p w14:paraId="4ED9D7F3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ÚJ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používa kategóriu drobného dlhodobého nehmotného majetku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- položky pod 2 400 eur jednotkovej ceny so životnosťou nad jeden rok (§ 13/2 PU).</w:t>
      </w:r>
    </w:p>
    <w:p w14:paraId="163E7200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ÚJ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používa kategóriu drobného dlhodobého hmotného majetku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- položky pod 1 700 eur jednotkovej ceny so životnosťou nad jeden rok (§ 13/6 PU).</w:t>
      </w:r>
    </w:p>
    <w:p w14:paraId="74A832FA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ÚJ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nepoužíva dobrovoľné účtovanie podlimitného technického zhodnotenia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do odpisovaného dlhodobého majetku – technické zhodnotenie pod 1 700 eur za účtovné obdobie (§ 21/3 PU; § 29/2 ZDP).</w:t>
      </w:r>
    </w:p>
    <w:p w14:paraId="73B89DDF" w14:textId="77777777" w:rsidR="008E72AA" w:rsidRDefault="0025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ÚJ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nepoužíva dobrovoľnú kapitalizáciu úrokov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do obstarávacej ceny odpisovaného dlhodobého hmotného majetku alebo dlhodobého nehmotného majetku (§ 34/1 PU; § 35/2/h PU).</w:t>
      </w:r>
    </w:p>
    <w:p w14:paraId="0C8D7A5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A9BE920" w14:textId="77777777" w:rsidR="008E72AA" w:rsidRDefault="00257EE7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i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h) Informácia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  <w:t>o poskytnutých dotáciách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a pri dotáciách na obstaranie majetku sa uvedú zložky majetku a ich ocenenie: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účtovná jednotka nemá náplň pre túto položku.</w:t>
      </w:r>
    </w:p>
    <w:p w14:paraId="3A4B31F7" w14:textId="77777777" w:rsidR="008E72AA" w:rsidRDefault="008E72AA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i/>
          <w:color w:val="000000"/>
          <w:sz w:val="22"/>
          <w:szCs w:val="22"/>
        </w:rPr>
      </w:pPr>
    </w:p>
    <w:p w14:paraId="71C89330" w14:textId="77777777" w:rsidR="008E72AA" w:rsidRDefault="00257EE7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5)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</w:rPr>
        <w:t xml:space="preserve">Informácie o oprave </w:t>
      </w:r>
      <w:r>
        <w:rPr>
          <w:rFonts w:ascii="Arial Narrow" w:eastAsia="Arial Narrow" w:hAnsi="Arial Narrow" w:cs="Arial Narrow"/>
          <w:b/>
          <w:i/>
          <w:color w:val="000000"/>
          <w:sz w:val="22"/>
          <w:szCs w:val="22"/>
          <w:u w:val="single"/>
        </w:rPr>
        <w:t>významných chýb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minulých účtovných období účtovaných v bežnom účtovnom období 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  <w:u w:val="single"/>
        </w:rPr>
        <w:t>s uvedením sumy vplyvu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na nerozdelený zisk minulých rokov alebo na neuhradenú stratu minulých rokov. Účtovná jednotka môže uviesť aj informácie o oprave 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  <w:u w:val="single"/>
        </w:rPr>
        <w:t>nevýznamných chýb</w:t>
      </w:r>
      <w:r>
        <w:rPr>
          <w:rFonts w:ascii="Arial Narrow" w:eastAsia="Arial Narrow" w:hAnsi="Arial Narrow" w:cs="Arial Narrow"/>
          <w:i/>
          <w:color w:val="000000"/>
          <w:sz w:val="22"/>
          <w:szCs w:val="22"/>
        </w:rPr>
        <w:t xml:space="preserve"> minulých účtovných období účtovaných v bežnom účtovnom období s uvedením sumy vplyvu na výsledok hospodárenia bežného účtovného obdobia: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účtovná jednotka nemá náplň pre túto položku.</w:t>
      </w:r>
    </w:p>
    <w:p w14:paraId="36C39D10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96D35C6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DB4A0EE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Článok IV – INFORMÁCIE, KTORÉ VYSVETĽUJÚ A DOPĹŇAJÚ SÚVAHU A VÝKAZ ZISKOV A STRÁT</w:t>
      </w:r>
    </w:p>
    <w:p w14:paraId="558EA68C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C982BC3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a) Dlhodobý nehmotný majetok, ktorým je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goodwill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 xml:space="preserve"> alebo záporný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goodwill</w:t>
      </w:r>
      <w:proofErr w:type="spellEnd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dôvod jeho vzniku, spôsob výpočtu a prehodnotenie opodstatnenosti jeho výšky a odpisu jeho hodnoty: účtovná jednotka nemá pre túto položku náplň.</w:t>
      </w:r>
    </w:p>
    <w:p w14:paraId="54D3CF0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CBAFF3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lastRenderedPageBreak/>
        <w:t xml:space="preserve">2) Informácie o významných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položkách derivátov, majetku a záväzkoch zabezpečených derivátmi (§ 16 PU):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účtovná jednotka nemá náplň pre túto položku.</w:t>
      </w:r>
    </w:p>
    <w:p w14:paraId="0CDCA9A2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864737D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3a) Celková suma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záväzkov so zostatkovou dobou splatnosti dlhšou ako 5 rokov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 účtovná jednotka nemá náplň pre túto položku.</w:t>
      </w:r>
    </w:p>
    <w:p w14:paraId="10AF2867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AADAE6B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14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3b) Celková suma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zabezpečených záväzkov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opis a spôsob zabezpečenia záväzkov: účtovná jednotka nemá náplň pre túto položku.</w:t>
      </w:r>
    </w:p>
    <w:p w14:paraId="6408FEC8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48233C89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4)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Informácie o vlastných akciách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: účtovná jednotka nemá náplň pre túto položku.</w:t>
      </w:r>
    </w:p>
    <w:p w14:paraId="0AD6339B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</w:p>
    <w:p w14:paraId="568680FF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5) Informácie o sume a dôvodoch vzniku jednotlivých položiek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nákladov alebo výnosov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, ktoré majú </w:t>
      </w:r>
      <w:r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výnimočný rozsah alebo výskyt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(napr. výnosy z predaja podniku alebo jeho časti, náklady z dôvodu predaja podniku alebo jeho časti, škody z dôvodu živelných pohrôm): účtovná jednotka nemá náplň pre túto položku.</w:t>
      </w:r>
    </w:p>
    <w:p w14:paraId="010F9F9E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</w:p>
    <w:p w14:paraId="4F6B0FDE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Článok V – INFORMÁCIE O INÝCH AKTÍVACH A INÝCH PASÍVACH</w:t>
      </w:r>
    </w:p>
    <w:p w14:paraId="594C9C94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1a)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Podmienený majetok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účtovná jednotka nemá náplň pre túto položku.</w:t>
      </w:r>
    </w:p>
    <w:p w14:paraId="6B1FB267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3A0C150D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1b)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Podmienené záväzky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účtovná jednotka nemá náplň pre túto položku.</w:t>
      </w:r>
    </w:p>
    <w:p w14:paraId="7C906278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A1E922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2)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Ostatné finančné povinnosti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- účtovná jednotka nemá náplň pre túto položku.</w:t>
      </w:r>
    </w:p>
    <w:p w14:paraId="11D8AB45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</w:p>
    <w:p w14:paraId="402F4125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3)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</w:rPr>
        <w:t>Podsúvahové účty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– účtovná jednotka nemá náplň pre túto položku.</w:t>
      </w:r>
    </w:p>
    <w:p w14:paraId="6FE3026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2E11591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Článok VI – UDALOSTI, KTORÉ NASTALI PO ZÁVIERKOVOM DNI</w:t>
      </w:r>
    </w:p>
    <w:p w14:paraId="4005533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(Následné udalosti)</w:t>
      </w:r>
    </w:p>
    <w:p w14:paraId="2755277D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8D8B217" w14:textId="5D7EAE96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Po uzávierkovom dni do dňa zostavenia účtovnej závierky nenastali v spoločnosti žiadne následné udalosti.</w:t>
      </w:r>
    </w:p>
    <w:p w14:paraId="7C34E15C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E03C687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1E40235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3358AF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Článok VII – OSTATNÉ INFORMÁCIE</w:t>
      </w:r>
    </w:p>
    <w:p w14:paraId="281FF14E" w14:textId="77777777" w:rsidR="008E72AA" w:rsidRDefault="008E72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68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6C790830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1) Informácie o výlučnom práve poskytovať služby vo verejnom záujme: účtovná jednotka nemá náplň pre túto položku.</w:t>
      </w:r>
    </w:p>
    <w:p w14:paraId="7A3C04E2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2) Informácie o osobitnej kategórii priemyselnej výroby (§ 23d/6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): účtovná jednotka nemá náplň pre túto položku.</w:t>
      </w:r>
    </w:p>
    <w:p w14:paraId="6B943E39" w14:textId="77777777" w:rsidR="008E72AA" w:rsidRDefault="00257EE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471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3) Informácie o finančných vzťahoch s orgánmi verejnej moci (§ 23d/6 </w:t>
      </w:r>
      <w:proofErr w:type="spellStart"/>
      <w:r>
        <w:rPr>
          <w:rFonts w:ascii="Arial Narrow" w:eastAsia="Arial Narrow" w:hAnsi="Arial Narrow" w:cs="Arial Narrow"/>
          <w:color w:val="000000"/>
          <w:sz w:val="22"/>
          <w:szCs w:val="22"/>
        </w:rPr>
        <w:t>ZoU</w:t>
      </w:r>
      <w:proofErr w:type="spellEnd"/>
      <w:r>
        <w:rPr>
          <w:rFonts w:ascii="Arial Narrow" w:eastAsia="Arial Narrow" w:hAnsi="Arial Narrow" w:cs="Arial Narrow"/>
          <w:color w:val="000000"/>
          <w:sz w:val="22"/>
          <w:szCs w:val="22"/>
        </w:rPr>
        <w:t>): účtovná jednotka nemá náplň pre túto položku.</w:t>
      </w:r>
    </w:p>
    <w:sectPr w:rsidR="008E72AA">
      <w:headerReference w:type="default" r:id="rId11"/>
      <w:footerReference w:type="default" r:id="rId12"/>
      <w:headerReference w:type="first" r:id="rId13"/>
      <w:pgSz w:w="11907" w:h="16840"/>
      <w:pgMar w:top="1417" w:right="992" w:bottom="1417" w:left="1417" w:header="567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C34C6" w14:textId="77777777" w:rsidR="00F2647E" w:rsidRDefault="00F2647E">
      <w:pPr>
        <w:spacing w:line="240" w:lineRule="auto"/>
        <w:ind w:left="0" w:hanging="2"/>
      </w:pPr>
      <w:r>
        <w:separator/>
      </w:r>
    </w:p>
  </w:endnote>
  <w:endnote w:type="continuationSeparator" w:id="0">
    <w:p w14:paraId="376FF03A" w14:textId="77777777" w:rsidR="00F2647E" w:rsidRDefault="00F2647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F05E624-AB01-4675-B6B6-DAEBC93ED16D}"/>
    <w:embedBoldItalic r:id="rId2" w:fontKey="{2499CE73-D2F0-47BB-A45A-6729A4EAE7F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1E9E55AE-2619-4AD9-937D-152BE620B063}"/>
    <w:embedBold r:id="rId4" w:fontKey="{D26572EA-99FE-4DF2-8885-E0E4FF6A8C36}"/>
    <w:embedItalic r:id="rId5" w:fontKey="{EB48319A-150A-4BD8-BDEA-ADB5E15C3B31}"/>
    <w:embedBoldItalic r:id="rId6" w:fontKey="{563D5DEE-06BC-439C-845B-C477E26AD7E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450A566-9F0E-46E4-A864-ABAA25CA1A9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26CBAAC9-88C2-48FE-B787-7B099948D82D}"/>
    <w:embedItalic r:id="rId9" w:fontKey="{6182B556-F3C3-461C-9367-91E8155295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E805B" w14:textId="77777777" w:rsidR="008E72AA" w:rsidRDefault="00257E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6198">
      <w:rPr>
        <w:noProof/>
        <w:color w:val="000000"/>
      </w:rPr>
      <w:t>1</w:t>
    </w:r>
    <w:r>
      <w:rPr>
        <w:color w:val="000000"/>
      </w:rPr>
      <w:fldChar w:fldCharType="end"/>
    </w:r>
  </w:p>
  <w:p w14:paraId="5C3F17F2" w14:textId="77777777" w:rsidR="008E72AA" w:rsidRDefault="008E72A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A24BA" w14:textId="77777777" w:rsidR="00F2647E" w:rsidRDefault="00F2647E">
      <w:pPr>
        <w:spacing w:line="240" w:lineRule="auto"/>
        <w:ind w:left="0" w:hanging="2"/>
      </w:pPr>
      <w:r>
        <w:separator/>
      </w:r>
    </w:p>
  </w:footnote>
  <w:footnote w:type="continuationSeparator" w:id="0">
    <w:p w14:paraId="4B04E6A1" w14:textId="77777777" w:rsidR="00F2647E" w:rsidRDefault="00F2647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09B75" w14:textId="77777777" w:rsidR="008E72AA" w:rsidRDefault="00257EE7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2990"/>
        <w:tab w:val="left" w:pos="6348"/>
      </w:tabs>
      <w:spacing w:line="240" w:lineRule="auto"/>
      <w:ind w:left="0" w:hanging="2"/>
      <w:jc w:val="center"/>
      <w:rPr>
        <w:color w:val="000000"/>
      </w:rPr>
    </w:pPr>
    <w:r>
      <w:rPr>
        <w:rFonts w:ascii="Arial" w:eastAsia="Arial" w:hAnsi="Arial" w:cs="Arial"/>
        <w:color w:val="000000"/>
        <w:sz w:val="22"/>
        <w:szCs w:val="22"/>
      </w:rPr>
      <w:t xml:space="preserve">Poznámky </w:t>
    </w:r>
    <w:proofErr w:type="spellStart"/>
    <w:r>
      <w:rPr>
        <w:rFonts w:ascii="Arial" w:eastAsia="Arial" w:hAnsi="Arial" w:cs="Arial"/>
        <w:color w:val="000000"/>
        <w:sz w:val="22"/>
        <w:szCs w:val="22"/>
      </w:rPr>
      <w:t>Úč</w:t>
    </w:r>
    <w:proofErr w:type="spellEnd"/>
    <w:r>
      <w:rPr>
        <w:rFonts w:ascii="Arial" w:eastAsia="Arial" w:hAnsi="Arial" w:cs="Arial"/>
        <w:color w:val="000000"/>
        <w:sz w:val="22"/>
        <w:szCs w:val="22"/>
      </w:rPr>
      <w:t xml:space="preserve"> POD 3 – 01                           IČO: </w:t>
    </w:r>
    <w:r>
      <w:rPr>
        <w:rFonts w:ascii="Arial" w:eastAsia="Arial" w:hAnsi="Arial" w:cs="Arial"/>
        <w:sz w:val="22"/>
        <w:szCs w:val="22"/>
      </w:rPr>
      <w:t>53211006</w:t>
    </w:r>
    <w:r>
      <w:rPr>
        <w:rFonts w:ascii="Arial" w:eastAsia="Arial" w:hAnsi="Arial" w:cs="Arial"/>
        <w:color w:val="000000"/>
        <w:sz w:val="22"/>
        <w:szCs w:val="22"/>
      </w:rPr>
      <w:t xml:space="preserve">      DIČ:</w:t>
    </w:r>
    <w:r>
      <w:rPr>
        <w:rFonts w:ascii="Arial" w:eastAsia="Arial" w:hAnsi="Arial" w:cs="Arial"/>
        <w:sz w:val="22"/>
        <w:szCs w:val="22"/>
      </w:rPr>
      <w:t xml:space="preserve"> 2121319387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43DFD" w14:textId="77777777" w:rsidR="008E72AA" w:rsidRDefault="008E72A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f0"/>
      <w:tblW w:w="8794" w:type="dxa"/>
      <w:tblInd w:w="55" w:type="dxa"/>
      <w:tblLayout w:type="fixed"/>
      <w:tblLook w:val="0000" w:firstRow="0" w:lastRow="0" w:firstColumn="0" w:lastColumn="0" w:noHBand="0" w:noVBand="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8E72AA" w14:paraId="36FBAA6A" w14:textId="77777777">
      <w:trPr>
        <w:trHeight w:val="330"/>
      </w:trPr>
      <w:tc>
        <w:tcPr>
          <w:tcW w:w="278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92AF571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Poznámky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</w:rPr>
            <w:t>Úč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</w:tcPr>
        <w:p w14:paraId="4016C47F" w14:textId="77777777" w:rsidR="008E72AA" w:rsidRDefault="008E72AA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554" w:type="dxa"/>
          <w:tcBorders>
            <w:top w:val="nil"/>
            <w:left w:val="nil"/>
            <w:bottom w:val="nil"/>
            <w:right w:val="nil"/>
          </w:tcBorders>
        </w:tcPr>
        <w:p w14:paraId="447D0AD0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DIČ</w:t>
          </w:r>
        </w:p>
      </w:tc>
      <w:tc>
        <w:tcPr>
          <w:tcW w:w="3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C149CC4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 1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0DCEBE75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2 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4F6D4B45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3 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2EED7BD2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4 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67B3F463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5 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7DB376A4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6 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68DB7B5E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7 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4718C6D9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8 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1C915CC8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9 </w:t>
          </w:r>
        </w:p>
      </w:tc>
      <w:tc>
        <w:tcPr>
          <w:tcW w:w="320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0FA1385B" w14:textId="77777777" w:rsidR="008E72AA" w:rsidRDefault="00257EE7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0 </w:t>
          </w:r>
        </w:p>
      </w:tc>
    </w:tr>
  </w:tbl>
  <w:p w14:paraId="6FC5768D" w14:textId="77777777" w:rsidR="008E72AA" w:rsidRDefault="008E72A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55F20"/>
    <w:multiLevelType w:val="multilevel"/>
    <w:tmpl w:val="1ADE0E64"/>
    <w:lvl w:ilvl="0">
      <w:start w:val="1"/>
      <w:numFmt w:val="bullet"/>
      <w:pStyle w:val="Nadpis1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86537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2AA"/>
    <w:rsid w:val="000552E7"/>
    <w:rsid w:val="000A2922"/>
    <w:rsid w:val="001C3322"/>
    <w:rsid w:val="0021269F"/>
    <w:rsid w:val="00257EE7"/>
    <w:rsid w:val="00520A80"/>
    <w:rsid w:val="005C34E9"/>
    <w:rsid w:val="00725AB5"/>
    <w:rsid w:val="00746C5E"/>
    <w:rsid w:val="00826DD5"/>
    <w:rsid w:val="008A6D24"/>
    <w:rsid w:val="008D407C"/>
    <w:rsid w:val="008E72AA"/>
    <w:rsid w:val="009D5A7B"/>
    <w:rsid w:val="00A00901"/>
    <w:rsid w:val="00A41215"/>
    <w:rsid w:val="00B7709B"/>
    <w:rsid w:val="00BF6AE6"/>
    <w:rsid w:val="00C11E9D"/>
    <w:rsid w:val="00CF5A21"/>
    <w:rsid w:val="00D61530"/>
    <w:rsid w:val="00DE7FF6"/>
    <w:rsid w:val="00F2647E"/>
    <w:rsid w:val="00F933AC"/>
    <w:rsid w:val="00FF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B99C3"/>
  <w15:docId w15:val="{6DCF00DD-301A-48E5-9F60-7EC9D8C5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y"/>
    <w:next w:val="Nadpis2"/>
    <w:uiPriority w:val="9"/>
    <w:qFormat/>
    <w:pPr>
      <w:keepNext/>
      <w:numPr>
        <w:numId w:val="1"/>
      </w:numPr>
      <w:tabs>
        <w:tab w:val="num" w:pos="5220"/>
      </w:tabs>
      <w:spacing w:before="240" w:after="60"/>
      <w:ind w:left="4500" w:firstLine="360"/>
      <w:jc w:val="center"/>
    </w:pPr>
    <w:rPr>
      <w:b/>
      <w:bCs/>
      <w:kern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spacing w:before="100" w:beforeAutospacing="1" w:after="220"/>
      <w:jc w:val="center"/>
    </w:pPr>
    <w:rPr>
      <w:rFonts w:ascii="Arial Narrow" w:hAnsi="Arial Narrow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rPr>
      <w:b/>
      <w:bCs/>
      <w:w w:val="100"/>
      <w:kern w:val="32"/>
      <w:position w:val="-1"/>
      <w:sz w:val="24"/>
      <w:szCs w:val="24"/>
      <w:effect w:val="none"/>
      <w:vertAlign w:val="baseline"/>
      <w:cs w:val="0"/>
      <w:em w:val="none"/>
      <w:lang w:val="sk-SK" w:eastAsia="sk-SK"/>
    </w:rPr>
  </w:style>
  <w:style w:type="character" w:customStyle="1" w:styleId="Nadpis2Char">
    <w:name w:val="Nadpis 2 Char"/>
    <w:rPr>
      <w:rFonts w:ascii="Cambria" w:eastAsia="Times New Roman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Zkladntext">
    <w:name w:val="Základní text"/>
    <w:pPr>
      <w:suppressAutoHyphens/>
      <w:spacing w:after="24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Textpoznmkypodiarou">
    <w:name w:val="footnote text"/>
    <w:basedOn w:val="Normlny"/>
    <w:rPr>
      <w:sz w:val="20"/>
      <w:szCs w:val="20"/>
    </w:rPr>
  </w:style>
  <w:style w:type="character" w:customStyle="1" w:styleId="TextpoznmkypodiarouChar">
    <w:name w:val="Text poznámky pod čiarou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kaznapoznmkupodiarou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customStyle="1" w:styleId="PtaChar">
    <w:name w:val="Päta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slostrany">
    <w:name w:val="page number"/>
    <w:basedOn w:val="Predvolenpsmoodseku"/>
    <w:rPr>
      <w:w w:val="100"/>
      <w:position w:val="-1"/>
      <w:effect w:val="none"/>
      <w:vertAlign w:val="baseline"/>
      <w:cs w:val="0"/>
      <w:em w:val="none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ovChar">
    <w:name w:val="Názov Char"/>
    <w:rPr>
      <w:rFonts w:ascii="Arial Narrow" w:hAnsi="Arial Narrow" w:cs="Arial Narrow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sk-SK"/>
    </w:rPr>
  </w:style>
  <w:style w:type="paragraph" w:customStyle="1" w:styleId="TopHeader">
    <w:name w:val="Top Header"/>
    <w:basedOn w:val="Normlny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pPr>
      <w:tabs>
        <w:tab w:val="center" w:pos="4703"/>
        <w:tab w:val="right" w:pos="9406"/>
      </w:tabs>
    </w:pPr>
  </w:style>
  <w:style w:type="character" w:customStyle="1" w:styleId="HlavikaChar">
    <w:name w:val="Hlavička Char"/>
    <w:rPr>
      <w:w w:val="100"/>
      <w:position w:val="-1"/>
      <w:sz w:val="24"/>
      <w:szCs w:val="24"/>
      <w:effect w:val="none"/>
      <w:vertAlign w:val="baseline"/>
      <w:cs w:val="0"/>
      <w:em w:val="none"/>
      <w:lang w:val="sk-SK" w:eastAsia="sk-SK"/>
    </w:rPr>
  </w:style>
  <w:style w:type="paragraph" w:styleId="Zkladntext0">
    <w:name w:val="Body Text"/>
    <w:basedOn w:val="Normlny"/>
    <w:qFormat/>
    <w:pPr>
      <w:widowControl w:val="0"/>
      <w:ind w:left="668" w:hanging="567"/>
    </w:pPr>
    <w:rPr>
      <w:lang w:val="en-US" w:eastAsia="en-US"/>
    </w:rPr>
  </w:style>
  <w:style w:type="character" w:customStyle="1" w:styleId="ZkladntextChar">
    <w:name w:val="Základný text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table" w:customStyle="1" w:styleId="TableNormal2">
    <w:name w:val="Table Normal"/>
    <w:next w:val="TableNormal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2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0413E1F58E1E4188166EC76D47995E" ma:contentTypeVersion="14" ma:contentTypeDescription="Umožňuje vytvoriť nový dokument." ma:contentTypeScope="" ma:versionID="0fb3f1628cd49aad9e2c6017d2bbf21e">
  <xsd:schema xmlns:xsd="http://www.w3.org/2001/XMLSchema" xmlns:xs="http://www.w3.org/2001/XMLSchema" xmlns:p="http://schemas.microsoft.com/office/2006/metadata/properties" xmlns:ns2="7e128d0e-f320-4d22-9076-56b164f4161a" xmlns:ns3="21837628-b3e4-43df-8a39-8adcae374b3c" targetNamespace="http://schemas.microsoft.com/office/2006/metadata/properties" ma:root="true" ma:fieldsID="f13fd46ebc76251a8a5c1c91780f08bc" ns2:_="" ns3:_="">
    <xsd:import namespace="7e128d0e-f320-4d22-9076-56b164f4161a"/>
    <xsd:import namespace="21837628-b3e4-43df-8a39-8adcae374b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128d0e-f320-4d22-9076-56b164f416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a" ma:readOnly="false" ma:fieldId="{5cf76f15-5ced-4ddc-b409-7134ff3c332f}" ma:taxonomyMulti="true" ma:sspId="3408f8f0-b8dd-4f7b-bc2e-7416fff38c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37628-b3e4-43df-8a39-8adcae374b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ac0838a-8118-41e5-a46e-49bfaa6e632b}" ma:internalName="TaxCatchAll" ma:showField="CatchAllData" ma:web="21837628-b3e4-43df-8a39-8adcae374b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MPoaVaeJFWQepTf2aN7SBScCCw==">AMUW2mVvjYVo/CJOgcC/vAng0YrD62u+XiuOtS+xVAZ5m6aKlzmaX/+d2YZ1QvD4RFt0cKXbzL05SVLQ3R9TGtmyWUkjEQEk9dR7/JYRH4j6S4joFGqDUBc=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128d0e-f320-4d22-9076-56b164f4161a">
      <Terms xmlns="http://schemas.microsoft.com/office/infopath/2007/PartnerControls"/>
    </lcf76f155ced4ddcb4097134ff3c332f>
    <TaxCatchAll xmlns="21837628-b3e4-43df-8a39-8adcae374b3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C623BE-51A4-468E-A84C-1FCFD6AB9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128d0e-f320-4d22-9076-56b164f4161a"/>
    <ds:schemaRef ds:uri="21837628-b3e4-43df-8a39-8adcae374b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F91F8A3-4169-4735-9728-96E7DA906CA2}">
  <ds:schemaRefs>
    <ds:schemaRef ds:uri="http://schemas.microsoft.com/office/2006/metadata/properties"/>
    <ds:schemaRef ds:uri="http://schemas.microsoft.com/office/infopath/2007/PartnerControls"/>
    <ds:schemaRef ds:uri="7e128d0e-f320-4d22-9076-56b164f4161a"/>
    <ds:schemaRef ds:uri="21837628-b3e4-43df-8a39-8adcae374b3c"/>
  </ds:schemaRefs>
</ds:datastoreItem>
</file>

<file path=customXml/itemProps4.xml><?xml version="1.0" encoding="utf-8"?>
<ds:datastoreItem xmlns:ds="http://schemas.openxmlformats.org/officeDocument/2006/customXml" ds:itemID="{00E0ED02-C9B2-4291-9049-20B8AF077C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Martina Košovan</cp:lastModifiedBy>
  <cp:revision>9</cp:revision>
  <cp:lastPrinted>2026-04-30T11:50:00Z</cp:lastPrinted>
  <dcterms:created xsi:type="dcterms:W3CDTF">2020-03-30T14:28:00Z</dcterms:created>
  <dcterms:modified xsi:type="dcterms:W3CDTF">2026-04-30T11:51:00Z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0x010100A50413E1F58E1E4188166EC76D47995E</vt:lpwstr>
  </property>
</Properties>
</file>