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10194" w:type="dxa"/>
        <w:tblInd w:w="-151" w:type="dxa"/>
        <w:tblBorders>
          <w:top w:val="single" w:color="00000A" w:sz="4" w:space="0"/>
          <w:left w:val="single" w:color="00000A" w:sz="4" w:space="0"/>
          <w:bottom w:val="single" w:color="00000A" w:sz="4" w:space="0"/>
          <w:right w:val="single" w:color="00000A" w:sz="4" w:space="0"/>
          <w:insideH w:val="single" w:color="00000A" w:sz="4" w:space="0"/>
          <w:insideV w:val="single" w:color="00000A" w:sz="4" w:space="0"/>
        </w:tblBorders>
        <w:tblLayout w:type="autofit"/>
        <w:tblCellMar>
          <w:top w:w="0" w:type="dxa"/>
          <w:left w:w="63" w:type="dxa"/>
          <w:bottom w:w="0" w:type="dxa"/>
          <w:right w:w="108" w:type="dxa"/>
        </w:tblCellMar>
      </w:tblPr>
      <w:tblGrid>
        <w:gridCol w:w="2980"/>
        <w:gridCol w:w="2595"/>
        <w:gridCol w:w="336"/>
        <w:gridCol w:w="340"/>
        <w:gridCol w:w="337"/>
        <w:gridCol w:w="336"/>
        <w:gridCol w:w="341"/>
        <w:gridCol w:w="336"/>
        <w:gridCol w:w="341"/>
        <w:gridCol w:w="336"/>
        <w:gridCol w:w="567"/>
        <w:gridCol w:w="336"/>
        <w:gridCol w:w="337"/>
        <w:gridCol w:w="336"/>
        <w:gridCol w:w="340"/>
      </w:tblGrid>
      <w:tr w14:paraId="1267DEB7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c>
          <w:tcPr>
            <w:tcW w:w="298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56DBA7C4">
            <w:pPr>
              <w:keepNext/>
              <w:numPr>
                <w:ilvl w:val="0"/>
                <w:numId w:val="0"/>
              </w:numPr>
              <w:spacing w:before="60" w:after="60" w:line="240" w:lineRule="auto"/>
              <w:jc w:val="left"/>
              <w:outlineLvl w:val="2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  <w:lang w:eastAsia="sk-SK"/>
              </w:rPr>
              <w:t>Poznámky (Úč  NUJ 3 – 01)</w:t>
            </w:r>
          </w:p>
        </w:tc>
        <w:tc>
          <w:tcPr>
            <w:tcW w:w="259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2534B395">
            <w:pPr>
              <w:keepNext/>
              <w:numPr>
                <w:ilvl w:val="0"/>
                <w:numId w:val="0"/>
              </w:numPr>
              <w:spacing w:before="60" w:after="60" w:line="240" w:lineRule="auto"/>
              <w:jc w:val="left"/>
              <w:outlineLvl w:val="2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IČO </w:t>
            </w:r>
          </w:p>
        </w:tc>
        <w:tc>
          <w:tcPr>
            <w:tcW w:w="33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5E8211D7">
            <w:pPr>
              <w:keepNext/>
              <w:numPr>
                <w:ilvl w:val="0"/>
                <w:numId w:val="0"/>
              </w:numPr>
              <w:spacing w:before="60" w:after="60" w:line="240" w:lineRule="auto"/>
              <w:jc w:val="center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4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1D59DA47">
            <w:pPr>
              <w:keepNext/>
              <w:numPr>
                <w:ilvl w:val="0"/>
                <w:numId w:val="0"/>
              </w:numPr>
              <w:spacing w:before="60" w:after="60" w:line="240" w:lineRule="auto"/>
              <w:jc w:val="center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3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764B0BFC">
            <w:pPr>
              <w:keepNext/>
              <w:numPr>
                <w:ilvl w:val="0"/>
                <w:numId w:val="0"/>
              </w:numPr>
              <w:spacing w:before="60" w:after="60" w:line="240" w:lineRule="auto"/>
              <w:jc w:val="center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33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31E3674B">
            <w:pPr>
              <w:keepNext/>
              <w:numPr>
                <w:ilvl w:val="0"/>
                <w:numId w:val="0"/>
              </w:numPr>
              <w:spacing w:before="60" w:after="60" w:line="240" w:lineRule="auto"/>
              <w:jc w:val="center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34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7C45FEC5">
            <w:pPr>
              <w:keepNext/>
              <w:numPr>
                <w:ilvl w:val="0"/>
                <w:numId w:val="0"/>
              </w:numPr>
              <w:spacing w:before="60" w:after="60" w:line="240" w:lineRule="auto"/>
              <w:jc w:val="center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33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00CA3C1F">
            <w:pPr>
              <w:keepNext/>
              <w:numPr>
                <w:ilvl w:val="0"/>
                <w:numId w:val="0"/>
              </w:numPr>
              <w:spacing w:before="60" w:after="60" w:line="240" w:lineRule="auto"/>
              <w:jc w:val="center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34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0369B133">
            <w:pPr>
              <w:keepNext/>
              <w:numPr>
                <w:ilvl w:val="0"/>
                <w:numId w:val="0"/>
              </w:numPr>
              <w:spacing w:before="60" w:after="60" w:line="240" w:lineRule="auto"/>
              <w:jc w:val="center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3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53D567FA">
            <w:pPr>
              <w:keepNext/>
              <w:numPr>
                <w:ilvl w:val="0"/>
                <w:numId w:val="0"/>
              </w:numPr>
              <w:spacing w:before="60" w:after="60" w:line="240" w:lineRule="auto"/>
              <w:jc w:val="center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20E18D96">
            <w:pPr>
              <w:keepNext/>
              <w:numPr>
                <w:ilvl w:val="0"/>
                <w:numId w:val="0"/>
              </w:numPr>
              <w:spacing w:before="60" w:after="60" w:line="240" w:lineRule="auto"/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/SID</w:t>
            </w:r>
          </w:p>
        </w:tc>
        <w:tc>
          <w:tcPr>
            <w:tcW w:w="33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07FFC7AB">
            <w:pPr>
              <w:keepNext/>
              <w:numPr>
                <w:ilvl w:val="0"/>
                <w:numId w:val="0"/>
              </w:numPr>
              <w:spacing w:before="60" w:after="60" w:line="240" w:lineRule="auto"/>
              <w:jc w:val="center"/>
              <w:outlineLvl w:val="2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3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4E823F6D">
            <w:pPr>
              <w:keepNext/>
              <w:numPr>
                <w:ilvl w:val="0"/>
                <w:numId w:val="0"/>
              </w:numPr>
              <w:spacing w:before="60" w:after="60" w:line="240" w:lineRule="auto"/>
              <w:jc w:val="center"/>
              <w:outlineLvl w:val="2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3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2688AEEB">
            <w:pPr>
              <w:keepNext/>
              <w:numPr>
                <w:ilvl w:val="0"/>
                <w:numId w:val="0"/>
              </w:numPr>
              <w:spacing w:before="60" w:after="60" w:line="240" w:lineRule="auto"/>
              <w:jc w:val="center"/>
              <w:outlineLvl w:val="2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529BA840">
            <w:pPr>
              <w:keepNext/>
              <w:numPr>
                <w:ilvl w:val="0"/>
                <w:numId w:val="0"/>
              </w:numPr>
              <w:spacing w:before="60" w:after="60" w:line="240" w:lineRule="auto"/>
              <w:jc w:val="center"/>
              <w:outlineLvl w:val="2"/>
              <w:rPr>
                <w:b/>
                <w:bCs/>
                <w:sz w:val="16"/>
                <w:szCs w:val="16"/>
              </w:rPr>
            </w:pPr>
          </w:p>
        </w:tc>
      </w:tr>
    </w:tbl>
    <w:p w14:paraId="2C0DD3EB">
      <w:pPr>
        <w:keepNext/>
        <w:numPr>
          <w:ilvl w:val="0"/>
          <w:numId w:val="0"/>
        </w:numPr>
        <w:spacing w:before="0" w:after="0" w:line="240" w:lineRule="auto"/>
        <w:jc w:val="center"/>
        <w:outlineLvl w:val="2"/>
        <w:rPr>
          <w:b/>
          <w:bCs/>
          <w:sz w:val="24"/>
          <w:szCs w:val="24"/>
        </w:rPr>
      </w:pPr>
    </w:p>
    <w:p w14:paraId="7F3EA83C">
      <w:pPr>
        <w:keepNext/>
        <w:numPr>
          <w:ilvl w:val="0"/>
          <w:numId w:val="0"/>
        </w:numPr>
        <w:spacing w:before="0" w:after="0" w:line="240" w:lineRule="auto"/>
        <w:jc w:val="center"/>
        <w:outlineLvl w:val="2"/>
        <w:rPr>
          <w:b/>
          <w:bCs/>
          <w:sz w:val="24"/>
          <w:szCs w:val="24"/>
        </w:rPr>
      </w:pPr>
    </w:p>
    <w:p w14:paraId="6C789F05">
      <w:pPr>
        <w:keepNext/>
        <w:numPr>
          <w:ilvl w:val="0"/>
          <w:numId w:val="0"/>
        </w:numPr>
        <w:spacing w:before="0" w:after="0" w:line="240" w:lineRule="auto"/>
        <w:jc w:val="center"/>
        <w:outlineLvl w:val="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I.</w:t>
      </w:r>
    </w:p>
    <w:p w14:paraId="5F330E82">
      <w:pPr>
        <w:keepNext/>
        <w:numPr>
          <w:ilvl w:val="0"/>
          <w:numId w:val="0"/>
        </w:numPr>
        <w:spacing w:before="0" w:after="200" w:line="240" w:lineRule="auto"/>
        <w:jc w:val="center"/>
        <w:outlineLvl w:val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Všeobecné údaje</w:t>
      </w:r>
    </w:p>
    <w:p w14:paraId="2C1BAD1D">
      <w:pPr>
        <w:numPr>
          <w:ilvl w:val="0"/>
          <w:numId w:val="2"/>
        </w:numPr>
        <w:spacing w:before="0" w:after="120" w:line="240" w:lineRule="auto"/>
        <w:rPr>
          <w:sz w:val="18"/>
          <w:szCs w:val="18"/>
        </w:rPr>
      </w:pPr>
      <w:r>
        <w:rPr>
          <w:sz w:val="18"/>
          <w:szCs w:val="18"/>
        </w:rPr>
        <w:t>Údaje o zakladateľovi alebo zriaďovateľovi účtovnej jednotky:</w:t>
      </w:r>
    </w:p>
    <w:tbl>
      <w:tblPr>
        <w:tblStyle w:val="6"/>
        <w:tblW w:w="9781" w:type="dxa"/>
        <w:tblInd w:w="97" w:type="dxa"/>
        <w:tblBorders>
          <w:top w:val="single" w:color="00000A" w:sz="4" w:space="0"/>
          <w:left w:val="single" w:color="00000A" w:sz="4" w:space="0"/>
          <w:bottom w:val="single" w:color="00000A" w:sz="4" w:space="0"/>
          <w:right w:val="single" w:color="00000A" w:sz="4" w:space="0"/>
          <w:insideH w:val="single" w:color="00000A" w:sz="4" w:space="0"/>
          <w:insideV w:val="single" w:color="00000A" w:sz="4" w:space="0"/>
        </w:tblBorders>
        <w:tblLayout w:type="autofit"/>
        <w:tblCellMar>
          <w:top w:w="0" w:type="dxa"/>
          <w:left w:w="63" w:type="dxa"/>
          <w:bottom w:w="0" w:type="dxa"/>
          <w:right w:w="108" w:type="dxa"/>
        </w:tblCellMar>
      </w:tblPr>
      <w:tblGrid>
        <w:gridCol w:w="2977"/>
        <w:gridCol w:w="6804"/>
      </w:tblGrid>
      <w:tr w14:paraId="1576D9A5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977" w:type="dxa"/>
            <w:vMerge w:val="restart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775DCBD3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80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615D760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14:paraId="38CB9B9F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977" w:type="dxa"/>
            <w:vMerge w:val="continue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238CA45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80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5D26EA11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Záujmové združenie občanov</w:t>
            </w:r>
          </w:p>
        </w:tc>
      </w:tr>
      <w:tr w14:paraId="79A9A243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977" w:type="dxa"/>
            <w:vMerge w:val="continue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53061C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80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56FD60B9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</w:p>
        </w:tc>
      </w:tr>
      <w:tr w14:paraId="774D9229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178" w:hRule="atLeast"/>
        </w:trPr>
        <w:tc>
          <w:tcPr>
            <w:tcW w:w="297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6E962D5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Dátum</w:t>
            </w:r>
            <w:r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80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394CF739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5.12.2019</w:t>
            </w:r>
          </w:p>
        </w:tc>
      </w:tr>
    </w:tbl>
    <w:p w14:paraId="06733561">
      <w:pPr>
        <w:spacing w:before="0" w:after="0" w:line="240" w:lineRule="auto"/>
        <w:ind w:left="360" w:firstLine="0"/>
        <w:rPr>
          <w:sz w:val="18"/>
          <w:szCs w:val="18"/>
        </w:rPr>
      </w:pPr>
    </w:p>
    <w:p w14:paraId="6E38B2CE">
      <w:pPr>
        <w:spacing w:before="0" w:after="0" w:line="240" w:lineRule="auto"/>
        <w:ind w:left="360" w:firstLine="0"/>
        <w:rPr>
          <w:sz w:val="18"/>
          <w:szCs w:val="18"/>
        </w:rPr>
      </w:pPr>
      <w:r>
        <w:rPr>
          <w:sz w:val="18"/>
          <w:szCs w:val="18"/>
        </w:rPr>
        <w:t xml:space="preserve">Údaje uvedené v Poznámkach sú v mene EUR, ak nie je uvedené inak. </w:t>
      </w:r>
    </w:p>
    <w:p w14:paraId="25F657E8">
      <w:pPr>
        <w:spacing w:before="0" w:after="0" w:line="240" w:lineRule="auto"/>
        <w:ind w:left="360" w:firstLine="0"/>
        <w:rPr>
          <w:sz w:val="18"/>
          <w:szCs w:val="18"/>
        </w:rPr>
      </w:pPr>
    </w:p>
    <w:p w14:paraId="117F6521">
      <w:pPr>
        <w:numPr>
          <w:ilvl w:val="0"/>
          <w:numId w:val="2"/>
        </w:numPr>
        <w:spacing w:before="0" w:after="120" w:line="240" w:lineRule="auto"/>
        <w:rPr>
          <w:sz w:val="18"/>
          <w:szCs w:val="18"/>
        </w:rPr>
      </w:pPr>
      <w:r>
        <w:rPr>
          <w:sz w:val="18"/>
          <w:szCs w:val="18"/>
        </w:rPr>
        <w:t>Informácie o členoch štatutárnych orgánov, dozorných orgánov a iných orgánov účtovnej jednotky; uvádzajú sa mená a priezviská členov štatutárnych orgánov, dozorných orgánov a iných orgánov účtovnej jednotky.</w:t>
      </w:r>
    </w:p>
    <w:p w14:paraId="1B9895CB">
      <w:pPr>
        <w:pStyle w:val="241"/>
        <w:spacing w:before="0" w:after="0"/>
        <w:ind w:left="360" w:firstLine="0"/>
        <w:rPr>
          <w:sz w:val="18"/>
          <w:szCs w:val="18"/>
        </w:rPr>
      </w:pPr>
    </w:p>
    <w:tbl>
      <w:tblPr>
        <w:tblStyle w:val="6"/>
        <w:tblW w:w="9812" w:type="dxa"/>
        <w:jc w:val="right"/>
        <w:tblBorders>
          <w:top w:val="single" w:color="00000A" w:sz="4" w:space="0"/>
          <w:left w:val="single" w:color="00000A" w:sz="4" w:space="0"/>
          <w:bottom w:val="single" w:color="00000A" w:sz="4" w:space="0"/>
          <w:right w:val="single" w:color="00000A" w:sz="4" w:space="0"/>
          <w:insideH w:val="single" w:color="00000A" w:sz="4" w:space="0"/>
          <w:insideV w:val="single" w:color="00000A" w:sz="4" w:space="0"/>
        </w:tblBorders>
        <w:tblLayout w:type="autofit"/>
        <w:tblCellMar>
          <w:top w:w="0" w:type="dxa"/>
          <w:left w:w="63" w:type="dxa"/>
          <w:bottom w:w="0" w:type="dxa"/>
          <w:right w:w="108" w:type="dxa"/>
        </w:tblCellMar>
      </w:tblPr>
      <w:tblGrid>
        <w:gridCol w:w="2844"/>
        <w:gridCol w:w="6968"/>
      </w:tblGrid>
      <w:tr w14:paraId="5AAF3649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2844" w:type="dxa"/>
            <w:vMerge w:val="restart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71428825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Predsedníctvo združenia:</w:t>
            </w:r>
          </w:p>
          <w:p w14:paraId="500FD7AF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1F7FE65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Mgr. Beáta Reifová, predseda združenia</w:t>
            </w:r>
          </w:p>
        </w:tc>
      </w:tr>
      <w:tr w14:paraId="2CF5FCB0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2844" w:type="dxa"/>
            <w:vMerge w:val="continue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50E88379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3354D51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Mgr. art. Denis Farkaš, prvý podpredseda združenia</w:t>
            </w:r>
          </w:p>
        </w:tc>
      </w:tr>
      <w:tr w14:paraId="251B059B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2844" w:type="dxa"/>
            <w:vMerge w:val="continue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11FEEB77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2E90041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Mgr. Daniel Reif, druhý podpredseda združenia</w:t>
            </w:r>
          </w:p>
        </w:tc>
      </w:tr>
      <w:tr w14:paraId="40C456EB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284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6B7E6DFC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Dozorný orgán:</w:t>
            </w:r>
          </w:p>
          <w:p w14:paraId="61A5081E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(Revízor)</w:t>
            </w:r>
          </w:p>
        </w:tc>
        <w:tc>
          <w:tcPr>
            <w:tcW w:w="696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5B6287EE">
            <w:pPr>
              <w:spacing w:before="0" w:after="0" w:line="240" w:lineRule="auto"/>
              <w:jc w:val="left"/>
            </w:pPr>
            <w:r>
              <w:rPr>
                <w:color w:val="00000A"/>
                <w:sz w:val="16"/>
                <w:szCs w:val="16"/>
              </w:rPr>
              <w:t>Eva Šatanová</w:t>
            </w:r>
          </w:p>
        </w:tc>
      </w:tr>
    </w:tbl>
    <w:p w14:paraId="6B698A5B">
      <w:pPr>
        <w:spacing w:before="0" w:after="0" w:line="240" w:lineRule="auto"/>
        <w:rPr>
          <w:sz w:val="18"/>
          <w:szCs w:val="18"/>
        </w:rPr>
      </w:pPr>
    </w:p>
    <w:p w14:paraId="4009F4E8">
      <w:pPr>
        <w:numPr>
          <w:ilvl w:val="0"/>
          <w:numId w:val="2"/>
        </w:numPr>
        <w:spacing w:before="0" w:after="120" w:line="240" w:lineRule="auto"/>
        <w:rPr>
          <w:sz w:val="18"/>
          <w:szCs w:val="18"/>
        </w:rPr>
      </w:pPr>
      <w:r>
        <w:rPr>
          <w:sz w:val="18"/>
          <w:szCs w:val="18"/>
        </w:rPr>
        <w:t>Opis činnosti, na účel ktorej bola účtovná jednotka zriadená a opis druhu podnikateľskej činnosti, ak ju účtovná jednotka vykonáva.</w:t>
      </w:r>
    </w:p>
    <w:tbl>
      <w:tblPr>
        <w:tblStyle w:val="6"/>
        <w:tblW w:w="9802" w:type="dxa"/>
        <w:jc w:val="right"/>
        <w:tblBorders>
          <w:top w:val="single" w:color="00000A" w:sz="4" w:space="0"/>
          <w:left w:val="single" w:color="00000A" w:sz="4" w:space="0"/>
          <w:bottom w:val="single" w:color="00000A" w:sz="4" w:space="0"/>
          <w:right w:val="single" w:color="00000A" w:sz="4" w:space="0"/>
          <w:insideH w:val="single" w:color="00000A" w:sz="4" w:space="0"/>
          <w:insideV w:val="single" w:color="00000A" w:sz="4" w:space="0"/>
        </w:tblBorders>
        <w:tblLayout w:type="autofit"/>
        <w:tblCellMar>
          <w:top w:w="0" w:type="dxa"/>
          <w:left w:w="63" w:type="dxa"/>
          <w:bottom w:w="0" w:type="dxa"/>
          <w:right w:w="108" w:type="dxa"/>
        </w:tblCellMar>
      </w:tblPr>
      <w:tblGrid>
        <w:gridCol w:w="2831"/>
        <w:gridCol w:w="6971"/>
      </w:tblGrid>
      <w:tr w14:paraId="53849D96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2831" w:type="dxa"/>
            <w:vMerge w:val="restart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6F594738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Hlavná činnosť:</w:t>
            </w:r>
          </w:p>
        </w:tc>
        <w:tc>
          <w:tcPr>
            <w:tcW w:w="697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53AE039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Rozvoj a ochrana duchovných a kultúrnych hodnôt</w:t>
            </w:r>
          </w:p>
        </w:tc>
      </w:tr>
      <w:tr w14:paraId="06394F09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2831" w:type="dxa"/>
            <w:vMerge w:val="continue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59F4CBEE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97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2497F22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Vykonávanie aktivít na poli kultúry</w:t>
            </w:r>
          </w:p>
        </w:tc>
      </w:tr>
      <w:tr w14:paraId="5A694786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2831" w:type="dxa"/>
            <w:vMerge w:val="continue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54AA0D14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97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287CD7B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Výchovná a vzdelávacia činnosť pre mladých a talentovaných ľudí</w:t>
            </w:r>
          </w:p>
        </w:tc>
      </w:tr>
      <w:tr w14:paraId="724E6874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2831" w:type="dxa"/>
            <w:vMerge w:val="continue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3A5E98FE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97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01B8A76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Vzdelávacie aktivity realizované prostredníctvom workshopov</w:t>
            </w:r>
          </w:p>
        </w:tc>
      </w:tr>
      <w:tr w14:paraId="043527D0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2831" w:type="dxa"/>
            <w:vMerge w:val="continue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5CD48075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97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609BF68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Spolupráca s inými občianskymi združeniami</w:t>
            </w:r>
          </w:p>
        </w:tc>
      </w:tr>
      <w:tr w14:paraId="2C50E9D1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283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71C494BC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Podnikateľská činnosť:</w:t>
            </w:r>
          </w:p>
        </w:tc>
        <w:tc>
          <w:tcPr>
            <w:tcW w:w="697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0FF502F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nevykonáva</w:t>
            </w:r>
          </w:p>
        </w:tc>
      </w:tr>
    </w:tbl>
    <w:p w14:paraId="7F003B3E">
      <w:pPr>
        <w:spacing w:before="0" w:after="0" w:line="240" w:lineRule="auto"/>
        <w:rPr>
          <w:sz w:val="18"/>
          <w:szCs w:val="18"/>
        </w:rPr>
      </w:pPr>
    </w:p>
    <w:p w14:paraId="5F3B70D4">
      <w:pPr>
        <w:numPr>
          <w:ilvl w:val="0"/>
          <w:numId w:val="2"/>
        </w:numPr>
        <w:spacing w:before="0" w:after="12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účtovného obdobia. </w:t>
      </w:r>
    </w:p>
    <w:p w14:paraId="17A63081">
      <w:pPr>
        <w:spacing w:before="0" w:after="120" w:line="240" w:lineRule="auto"/>
        <w:ind w:firstLine="360"/>
        <w:rPr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 ods. 4  o počte zamestnancov a dobrovoľníkov:</w:t>
      </w:r>
    </w:p>
    <w:tbl>
      <w:tblPr>
        <w:tblStyle w:val="6"/>
        <w:tblW w:w="4850" w:type="pct"/>
        <w:tblInd w:w="97" w:type="dxa"/>
        <w:tblBorders>
          <w:top w:val="single" w:color="00000A" w:sz="4" w:space="0"/>
          <w:left w:val="single" w:color="00000A" w:sz="4" w:space="0"/>
          <w:bottom w:val="single" w:color="00000A" w:sz="4" w:space="0"/>
          <w:right w:val="single" w:color="00000A" w:sz="4" w:space="0"/>
          <w:insideH w:val="single" w:color="00000A" w:sz="4" w:space="0"/>
          <w:insideV w:val="single" w:color="00000A" w:sz="4" w:space="0"/>
        </w:tblBorders>
        <w:tblLayout w:type="autofit"/>
        <w:tblCellMar>
          <w:top w:w="0" w:type="dxa"/>
          <w:left w:w="63" w:type="dxa"/>
          <w:bottom w:w="0" w:type="dxa"/>
          <w:right w:w="108" w:type="dxa"/>
        </w:tblCellMar>
      </w:tblPr>
      <w:tblGrid>
        <w:gridCol w:w="4508"/>
        <w:gridCol w:w="2658"/>
        <w:gridCol w:w="2679"/>
      </w:tblGrid>
      <w:tr w14:paraId="4B0BD21C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05" w:hRule="atLeast"/>
        </w:trPr>
        <w:tc>
          <w:tcPr>
            <w:tcW w:w="443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</w:tcPr>
          <w:p w14:paraId="78287AC1">
            <w:pPr>
              <w:pStyle w:val="241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261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40549B27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63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63C737B9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14:paraId="73D21EE1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05" w:hRule="atLeast"/>
        </w:trPr>
        <w:tc>
          <w:tcPr>
            <w:tcW w:w="443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379BEE7E">
            <w:pPr>
              <w:pStyle w:val="241"/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261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1AEE3C52">
            <w:pPr>
              <w:pStyle w:val="241"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63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219E142B">
            <w:pPr>
              <w:pStyle w:val="241"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14:paraId="598277D2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05" w:hRule="atLeast"/>
        </w:trPr>
        <w:tc>
          <w:tcPr>
            <w:tcW w:w="443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6C2D97BF">
            <w:pPr>
              <w:pStyle w:val="241"/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261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231939D4">
            <w:pPr>
              <w:pStyle w:val="241"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63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69B4475C">
            <w:pPr>
              <w:pStyle w:val="241"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14:paraId="6B7043FB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05" w:hRule="atLeast"/>
        </w:trPr>
        <w:tc>
          <w:tcPr>
            <w:tcW w:w="443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0989B65C">
            <w:pPr>
              <w:pStyle w:val="241"/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61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6F533908">
            <w:pPr>
              <w:pStyle w:val="241"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63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7273E786">
            <w:pPr>
              <w:pStyle w:val="241"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14:paraId="3D5BDAE3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05" w:hRule="atLeast"/>
        </w:trPr>
        <w:tc>
          <w:tcPr>
            <w:tcW w:w="443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02CBD116">
            <w:pPr>
              <w:pStyle w:val="241"/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61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1820F47C">
            <w:pPr>
              <w:pStyle w:val="241"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63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42254D8F">
            <w:pPr>
              <w:pStyle w:val="241"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14:paraId="53E4ED79">
      <w:pPr>
        <w:spacing w:before="0" w:after="120" w:line="240" w:lineRule="auto"/>
        <w:rPr>
          <w:sz w:val="18"/>
          <w:szCs w:val="18"/>
        </w:rPr>
      </w:pPr>
    </w:p>
    <w:p w14:paraId="640F815E">
      <w:pPr>
        <w:spacing w:before="0" w:after="12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Občianske združenie FALANGIR nezamestnávalo v priebehu účtovného obdobia zamestnancov. </w:t>
      </w:r>
    </w:p>
    <w:p w14:paraId="7E47EBFC">
      <w:pPr>
        <w:numPr>
          <w:ilvl w:val="0"/>
          <w:numId w:val="2"/>
        </w:numPr>
        <w:spacing w:before="0" w:after="120" w:line="240" w:lineRule="auto"/>
        <w:rPr>
          <w:sz w:val="18"/>
          <w:szCs w:val="18"/>
        </w:rPr>
      </w:pPr>
      <w:r>
        <w:rPr>
          <w:sz w:val="18"/>
          <w:szCs w:val="18"/>
        </w:rPr>
        <w:t>Informácia o organizáciách v zriaďovateľskej pôsobnosti účtovnej jednotky.</w:t>
      </w:r>
    </w:p>
    <w:p w14:paraId="7B2051DC">
      <w:pPr>
        <w:spacing w:before="0" w:after="12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Občianske združenie FALANGIR nie je zriaďovateľom žiadnej inej účtovnej jednotky. </w:t>
      </w:r>
    </w:p>
    <w:p w14:paraId="7A15806F">
      <w:pPr>
        <w:numPr>
          <w:ilvl w:val="0"/>
          <w:numId w:val="2"/>
        </w:numPr>
        <w:spacing w:before="0" w:after="12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Údaje podľa čl. I, III a IV  sa uvádzajú v textovej podobe a tabuľkovej podobe. </w:t>
      </w:r>
    </w:p>
    <w:p w14:paraId="7F5DCC69">
      <w:pPr>
        <w:keepNext/>
        <w:numPr>
          <w:ilvl w:val="0"/>
          <w:numId w:val="0"/>
        </w:numPr>
        <w:spacing w:before="0" w:after="0" w:line="240" w:lineRule="auto"/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II</w:t>
      </w:r>
    </w:p>
    <w:p w14:paraId="12E3126B">
      <w:pPr>
        <w:keepNext/>
        <w:numPr>
          <w:ilvl w:val="0"/>
          <w:numId w:val="0"/>
        </w:numPr>
        <w:spacing w:before="0" w:after="200" w:line="240" w:lineRule="auto"/>
        <w:jc w:val="center"/>
        <w:outlineLvl w:val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účtovných zásadách a účtovných metódach</w:t>
      </w:r>
    </w:p>
    <w:p w14:paraId="7F4A60C0">
      <w:pPr>
        <w:numPr>
          <w:ilvl w:val="0"/>
          <w:numId w:val="3"/>
        </w:numPr>
        <w:spacing w:before="0" w:after="120" w:line="240" w:lineRule="auto"/>
        <w:rPr>
          <w:sz w:val="18"/>
          <w:szCs w:val="18"/>
        </w:rPr>
      </w:pPr>
      <w:r>
        <w:rPr>
          <w:sz w:val="18"/>
          <w:szCs w:val="18"/>
        </w:rPr>
        <w:t>Informácia, či je účtovná závierka zostavená za splnenia predpokladu, že účtovná jednotka bude nepretržite pokračovať vo svojej činnosti.</w:t>
      </w:r>
    </w:p>
    <w:p w14:paraId="5F0137A9">
      <w:pPr>
        <w:spacing w:before="0" w:after="120" w:line="240" w:lineRule="auto"/>
        <w:rPr>
          <w:sz w:val="18"/>
          <w:szCs w:val="18"/>
        </w:rPr>
      </w:pPr>
      <w:r>
        <w:rPr>
          <w:sz w:val="18"/>
          <w:szCs w:val="18"/>
        </w:rPr>
        <w:t>Účtovná jednotka predpokladá pokračovať vo svojej činnosti aj v nasledujúcom účtovnom období.</w:t>
      </w:r>
      <w:r>
        <w:rPr>
          <w:sz w:val="18"/>
          <w:szCs w:val="18"/>
        </w:rPr>
        <w:tab/>
      </w:r>
      <w:r>
        <w:rPr>
          <w:sz w:val="18"/>
          <w:szCs w:val="18"/>
        </w:rPr>
        <w:t xml:space="preserve"> </w:t>
      </w:r>
    </w:p>
    <w:p w14:paraId="4B44E019">
      <w:pPr>
        <w:numPr>
          <w:ilvl w:val="0"/>
          <w:numId w:val="3"/>
        </w:numPr>
        <w:spacing w:before="0" w:after="120" w:line="240" w:lineRule="auto"/>
        <w:rPr>
          <w:sz w:val="18"/>
          <w:szCs w:val="18"/>
        </w:rPr>
      </w:pPr>
      <w:r>
        <w:rPr>
          <w:sz w:val="18"/>
          <w:szCs w:val="18"/>
        </w:rPr>
        <w:t>Zmeny účtovných zásad a zmeny účtovných metód s uvedením dôvodu týchto zmien a vyčíslením ich vplyvu na finančnú hodnotu majetku, záväzkov, základného imania a výsledku hospodárenia účtovnej jednotky.</w:t>
      </w:r>
    </w:p>
    <w:p w14:paraId="4F59FBB5">
      <w:pPr>
        <w:spacing w:before="0" w:after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Občianske združenie FALANGIR nezmenilo v priebehu účtovného obdobia účtovné metódy a ani účtovné zásady. </w:t>
      </w:r>
    </w:p>
    <w:p w14:paraId="3A2D5905">
      <w:pPr>
        <w:spacing w:before="0" w:after="0" w:line="240" w:lineRule="auto"/>
        <w:rPr>
          <w:sz w:val="18"/>
          <w:szCs w:val="18"/>
        </w:rPr>
      </w:pPr>
    </w:p>
    <w:p w14:paraId="3E4834B0">
      <w:pPr>
        <w:spacing w:before="0" w:after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Nenastali žiadne iné zmeny účtovných zásad a účtovných metód. </w:t>
      </w:r>
    </w:p>
    <w:p w14:paraId="6381BA7E">
      <w:pPr>
        <w:spacing w:before="0" w:after="0" w:line="240" w:lineRule="auto"/>
        <w:rPr>
          <w:sz w:val="18"/>
          <w:szCs w:val="18"/>
        </w:rPr>
      </w:pPr>
    </w:p>
    <w:p w14:paraId="3803B7BA">
      <w:pPr>
        <w:numPr>
          <w:ilvl w:val="0"/>
          <w:numId w:val="3"/>
        </w:numPr>
        <w:spacing w:before="0" w:after="120" w:line="240" w:lineRule="auto"/>
        <w:rPr>
          <w:sz w:val="18"/>
          <w:szCs w:val="18"/>
        </w:rPr>
      </w:pPr>
      <w:r>
        <w:rPr>
          <w:sz w:val="18"/>
          <w:szCs w:val="18"/>
        </w:rPr>
        <w:t>Spôsob oceňovania jednotlivých položiek majetku a záväzkov v členení na</w:t>
      </w:r>
    </w:p>
    <w:tbl>
      <w:tblPr>
        <w:tblStyle w:val="6"/>
        <w:tblW w:w="9753" w:type="dxa"/>
        <w:jc w:val="right"/>
        <w:tblBorders>
          <w:top w:val="single" w:color="00000A" w:sz="4" w:space="0"/>
          <w:left w:val="single" w:color="00000A" w:sz="4" w:space="0"/>
          <w:bottom w:val="single" w:color="00000A" w:sz="4" w:space="0"/>
          <w:right w:val="single" w:color="00000A" w:sz="4" w:space="0"/>
          <w:insideH w:val="single" w:color="00000A" w:sz="4" w:space="0"/>
          <w:insideV w:val="single" w:color="00000A" w:sz="4" w:space="0"/>
        </w:tblBorders>
        <w:tblLayout w:type="autofit"/>
        <w:tblCellMar>
          <w:top w:w="0" w:type="dxa"/>
          <w:left w:w="63" w:type="dxa"/>
          <w:bottom w:w="0" w:type="dxa"/>
          <w:right w:w="108" w:type="dxa"/>
        </w:tblCellMar>
      </w:tblPr>
      <w:tblGrid>
        <w:gridCol w:w="6265"/>
        <w:gridCol w:w="3488"/>
      </w:tblGrid>
      <w:tr w14:paraId="7DDAD2AF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51" w:hRule="atLeast"/>
          <w:jc w:val="right"/>
        </w:trPr>
        <w:tc>
          <w:tcPr>
            <w:tcW w:w="626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3386E17C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Majetok a záväzky</w:t>
            </w:r>
          </w:p>
        </w:tc>
        <w:tc>
          <w:tcPr>
            <w:tcW w:w="348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7C94C88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Spôsob oceňovania</w:t>
            </w:r>
          </w:p>
        </w:tc>
      </w:tr>
      <w:tr w14:paraId="18D28DFA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51" w:hRule="atLeast"/>
          <w:jc w:val="right"/>
        </w:trPr>
        <w:tc>
          <w:tcPr>
            <w:tcW w:w="626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37BDB001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348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31D7AF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 w14:paraId="00D13B10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51" w:hRule="atLeast"/>
          <w:jc w:val="right"/>
        </w:trPr>
        <w:tc>
          <w:tcPr>
            <w:tcW w:w="626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346B24C8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348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4BC7F1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 w14:paraId="6644D5A6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51" w:hRule="atLeast"/>
          <w:jc w:val="right"/>
        </w:trPr>
        <w:tc>
          <w:tcPr>
            <w:tcW w:w="626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7BB9D38D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348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342445B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 w14:paraId="007A7176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51" w:hRule="atLeast"/>
          <w:jc w:val="right"/>
        </w:trPr>
        <w:tc>
          <w:tcPr>
            <w:tcW w:w="626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01C0D364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348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0584ACC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 w14:paraId="7900C204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51" w:hRule="atLeast"/>
          <w:jc w:val="right"/>
        </w:trPr>
        <w:tc>
          <w:tcPr>
            <w:tcW w:w="626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5E27C1D9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348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6133B46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 w14:paraId="06EFA7D7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51" w:hRule="atLeast"/>
          <w:jc w:val="right"/>
        </w:trPr>
        <w:tc>
          <w:tcPr>
            <w:tcW w:w="626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32C1CD4D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dlhodobý hmotný majetok obstaraný iným spôsobom - darom</w:t>
            </w:r>
          </w:p>
        </w:tc>
        <w:tc>
          <w:tcPr>
            <w:tcW w:w="348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469743D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 w14:paraId="0EA10078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51" w:hRule="atLeast"/>
          <w:jc w:val="right"/>
        </w:trPr>
        <w:tc>
          <w:tcPr>
            <w:tcW w:w="626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18D4A390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348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5D97C27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 w14:paraId="1660951F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51" w:hRule="atLeast"/>
          <w:jc w:val="right"/>
        </w:trPr>
        <w:tc>
          <w:tcPr>
            <w:tcW w:w="626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0880EBD6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348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4636703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Neboli obstarané</w:t>
            </w:r>
          </w:p>
        </w:tc>
      </w:tr>
      <w:tr w14:paraId="23EF93B2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51" w:hRule="atLeast"/>
          <w:jc w:val="right"/>
        </w:trPr>
        <w:tc>
          <w:tcPr>
            <w:tcW w:w="626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77D90F5A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348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49C78F6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Neboli vytvorené</w:t>
            </w:r>
          </w:p>
        </w:tc>
      </w:tr>
      <w:tr w14:paraId="45898D37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51" w:hRule="atLeast"/>
          <w:jc w:val="right"/>
        </w:trPr>
        <w:tc>
          <w:tcPr>
            <w:tcW w:w="626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35497424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348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22F8EC3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Neboli obstarané</w:t>
            </w:r>
          </w:p>
        </w:tc>
      </w:tr>
      <w:tr w14:paraId="41718AB2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51" w:hRule="atLeast"/>
          <w:jc w:val="right"/>
        </w:trPr>
        <w:tc>
          <w:tcPr>
            <w:tcW w:w="626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304AE984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348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4281897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Netýka sa</w:t>
            </w:r>
          </w:p>
        </w:tc>
      </w:tr>
      <w:tr w14:paraId="5BBF90EA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51" w:hRule="atLeast"/>
          <w:jc w:val="right"/>
        </w:trPr>
        <w:tc>
          <w:tcPr>
            <w:tcW w:w="626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48111E70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348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502E953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Netýka sa</w:t>
            </w:r>
          </w:p>
        </w:tc>
      </w:tr>
      <w:tr w14:paraId="7368A707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51" w:hRule="atLeast"/>
          <w:jc w:val="right"/>
        </w:trPr>
        <w:tc>
          <w:tcPr>
            <w:tcW w:w="626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2898C7C8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348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32CD1ED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Netýka sa</w:t>
            </w:r>
          </w:p>
        </w:tc>
      </w:tr>
      <w:tr w14:paraId="68F2C262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51" w:hRule="atLeast"/>
          <w:jc w:val="right"/>
        </w:trPr>
        <w:tc>
          <w:tcPr>
            <w:tcW w:w="626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6C05AE40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348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293ED0F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Netýka sa</w:t>
            </w:r>
          </w:p>
        </w:tc>
      </w:tr>
      <w:tr w14:paraId="2F67F885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51" w:hRule="atLeast"/>
          <w:jc w:val="right"/>
        </w:trPr>
        <w:tc>
          <w:tcPr>
            <w:tcW w:w="626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26672D27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348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5BF5B67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Netýka sa</w:t>
            </w:r>
          </w:p>
        </w:tc>
      </w:tr>
      <w:tr w14:paraId="5F649CAB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51" w:hRule="atLeast"/>
          <w:jc w:val="right"/>
        </w:trPr>
        <w:tc>
          <w:tcPr>
            <w:tcW w:w="626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6D1F746D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deriváty</w:t>
            </w:r>
          </w:p>
        </w:tc>
        <w:tc>
          <w:tcPr>
            <w:tcW w:w="348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4F7F067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Netýka sa</w:t>
            </w:r>
          </w:p>
        </w:tc>
      </w:tr>
      <w:tr w14:paraId="3F28CFBD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51" w:hRule="atLeast"/>
          <w:jc w:val="right"/>
        </w:trPr>
        <w:tc>
          <w:tcPr>
            <w:tcW w:w="626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201A4574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348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2BF4B56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Netýka sa</w:t>
            </w:r>
          </w:p>
        </w:tc>
      </w:tr>
      <w:tr w14:paraId="1FDEEDD7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51" w:hRule="atLeast"/>
          <w:jc w:val="right"/>
        </w:trPr>
        <w:tc>
          <w:tcPr>
            <w:tcW w:w="626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7A82664D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348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10599E8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Netýka sa</w:t>
            </w:r>
          </w:p>
        </w:tc>
      </w:tr>
    </w:tbl>
    <w:p w14:paraId="3C456F57">
      <w:pPr>
        <w:spacing w:before="0" w:after="0" w:line="240" w:lineRule="auto"/>
        <w:rPr>
          <w:sz w:val="18"/>
          <w:szCs w:val="18"/>
        </w:rPr>
      </w:pPr>
    </w:p>
    <w:p w14:paraId="3E827F6B">
      <w:pPr>
        <w:numPr>
          <w:ilvl w:val="0"/>
          <w:numId w:val="3"/>
        </w:numPr>
        <w:spacing w:before="0" w:after="12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Spôsob zostavenia odpisového plánu pre jednotlivé druhy dlhodobého hmotného majetku  a dlhodobého nehmotného majetku, pričom sa uvádza doba odpisovania, použité sadzby odpisov a odpisové metódy pri určení účtovných odpisov. </w:t>
      </w:r>
    </w:p>
    <w:p w14:paraId="7A0A4581">
      <w:pPr>
        <w:spacing w:before="0" w:after="120" w:line="240" w:lineRule="auto"/>
        <w:rPr>
          <w:sz w:val="18"/>
          <w:szCs w:val="18"/>
        </w:rPr>
      </w:pPr>
      <w:r>
        <w:rPr>
          <w:sz w:val="18"/>
          <w:szCs w:val="18"/>
        </w:rPr>
        <w:t>Netýka sa občianskeho združenia FALANGIR</w:t>
      </w:r>
    </w:p>
    <w:p w14:paraId="136F0F7B">
      <w:pPr>
        <w:numPr>
          <w:ilvl w:val="0"/>
          <w:numId w:val="3"/>
        </w:numPr>
        <w:spacing w:before="0" w:after="12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Zásady pre zohľadnenie zníženia hodnoty majetku – účtovná jednotka uplatňuje: </w:t>
      </w:r>
    </w:p>
    <w:p w14:paraId="7BD7534B">
      <w:pPr>
        <w:spacing w:before="0" w:after="120" w:line="240" w:lineRule="auto"/>
        <w:rPr>
          <w:sz w:val="18"/>
          <w:szCs w:val="18"/>
        </w:rPr>
      </w:pPr>
      <w:r>
        <w:rPr>
          <w:sz w:val="18"/>
          <w:szCs w:val="18"/>
        </w:rPr>
        <w:t>Netýka sa občianskeho združenia FALANGIR</w:t>
      </w:r>
    </w:p>
    <w:p w14:paraId="591B1878">
      <w:pPr>
        <w:spacing w:before="0" w:after="120" w:line="240" w:lineRule="auto"/>
        <w:rPr>
          <w:sz w:val="18"/>
          <w:szCs w:val="18"/>
        </w:rPr>
      </w:pPr>
    </w:p>
    <w:p w14:paraId="143CE33D">
      <w:pPr>
        <w:keepNext/>
        <w:numPr>
          <w:ilvl w:val="0"/>
          <w:numId w:val="0"/>
        </w:numPr>
        <w:spacing w:before="0" w:after="0" w:line="240" w:lineRule="auto"/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III</w:t>
      </w:r>
    </w:p>
    <w:p w14:paraId="5FA18625">
      <w:pPr>
        <w:keepNext/>
        <w:numPr>
          <w:ilvl w:val="0"/>
          <w:numId w:val="0"/>
        </w:numPr>
        <w:spacing w:before="0" w:after="120" w:line="240" w:lineRule="auto"/>
        <w:jc w:val="center"/>
        <w:outlineLvl w:val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dopĺňajú a vysvetľujú údaje v súvahe</w:t>
      </w:r>
    </w:p>
    <w:p w14:paraId="30669665">
      <w:pPr>
        <w:numPr>
          <w:ilvl w:val="0"/>
          <w:numId w:val="5"/>
        </w:numPr>
        <w:spacing w:before="0" w:after="120" w:line="240" w:lineRule="auto"/>
        <w:rPr>
          <w:sz w:val="18"/>
          <w:szCs w:val="18"/>
        </w:rPr>
      </w:pPr>
      <w:r>
        <w:rPr>
          <w:sz w:val="18"/>
          <w:szCs w:val="18"/>
        </w:rPr>
        <w:t>Údaje o dlhodobom nehmotnom majetku a dlhodobom hmotnom majetku za bežné účtovné obdobie:</w:t>
      </w:r>
    </w:p>
    <w:p w14:paraId="145251CF">
      <w:pPr>
        <w:numPr>
          <w:ilvl w:val="0"/>
          <w:numId w:val="6"/>
        </w:numPr>
        <w:spacing w:before="0" w:after="120" w:line="240" w:lineRule="auto"/>
        <w:rPr>
          <w:sz w:val="18"/>
          <w:szCs w:val="18"/>
        </w:rPr>
      </w:pPr>
      <w:r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14:paraId="33C2B8B7">
      <w:pPr>
        <w:numPr>
          <w:ilvl w:val="0"/>
          <w:numId w:val="6"/>
        </w:numPr>
        <w:spacing w:before="0" w:after="120" w:line="240" w:lineRule="auto"/>
        <w:rPr>
          <w:sz w:val="18"/>
          <w:szCs w:val="18"/>
        </w:rPr>
      </w:pPr>
      <w:r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14:paraId="6B2ADE99">
      <w:pPr>
        <w:numPr>
          <w:ilvl w:val="0"/>
          <w:numId w:val="6"/>
        </w:numPr>
        <w:spacing w:before="0" w:after="120" w:line="240" w:lineRule="auto"/>
        <w:rPr>
          <w:sz w:val="18"/>
          <w:szCs w:val="18"/>
        </w:rPr>
      </w:pPr>
      <w:r>
        <w:rPr>
          <w:sz w:val="18"/>
          <w:szCs w:val="18"/>
        </w:rPr>
        <w:t>prehľad o zostatkových cenách dlhodobého majetku na začiatku bežného účtovného obdobia a na konci bežného účtovného obdobia.</w:t>
      </w:r>
    </w:p>
    <w:p w14:paraId="3D05436F">
      <w:pPr>
        <w:spacing w:before="0" w:after="120" w:line="240" w:lineRule="auto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  o stave a pohybe dlhodobého nehmotného majetku a dlhodobého hmotného majetku:</w:t>
      </w:r>
    </w:p>
    <w:p w14:paraId="74E2F612">
      <w:pPr>
        <w:spacing w:before="0" w:after="120" w:line="240" w:lineRule="auto"/>
        <w:rPr>
          <w:sz w:val="18"/>
          <w:szCs w:val="18"/>
        </w:rPr>
      </w:pPr>
      <w:r>
        <w:rPr>
          <w:sz w:val="18"/>
          <w:szCs w:val="18"/>
        </w:rPr>
        <w:t>Netýka sa občianskeho združenia FALANGIR</w:t>
      </w:r>
    </w:p>
    <w:p w14:paraId="3C492C8D">
      <w:pPr>
        <w:spacing w:line="240" w:lineRule="auto"/>
        <w:rPr>
          <w:b/>
          <w:bCs/>
          <w:i/>
          <w:iCs/>
          <w:sz w:val="18"/>
          <w:szCs w:val="18"/>
        </w:rPr>
      </w:pPr>
    </w:p>
    <w:p w14:paraId="5056AD18">
      <w:pPr>
        <w:numPr>
          <w:ilvl w:val="0"/>
          <w:numId w:val="5"/>
        </w:numPr>
        <w:spacing w:before="0" w:after="120" w:line="240" w:lineRule="auto"/>
      </w:pPr>
      <w:r>
        <w:rPr>
          <w:sz w:val="18"/>
          <w:szCs w:val="18"/>
        </w:rPr>
        <w:t>Prehľad dlhodobého majetku, na ktorý je zriadené záložné právo a dlhodobého majetku, pri ktorom má účtovná jednotka obmedzené právo s ním nakladať:</w:t>
      </w:r>
    </w:p>
    <w:p w14:paraId="60706EE8">
      <w:pPr>
        <w:spacing w:before="0" w:after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Občianske združenie FALANGIR nedisponuje s dlhodobým majetkom, na ktorý je zriadené záložné právo, resp. pri ktorom má účtovná jednotka obmedzené právo s ním nakladať. </w:t>
      </w:r>
    </w:p>
    <w:p w14:paraId="3E5E471B">
      <w:pPr>
        <w:spacing w:before="0" w:after="0" w:line="240" w:lineRule="auto"/>
        <w:rPr>
          <w:sz w:val="18"/>
          <w:szCs w:val="18"/>
        </w:rPr>
      </w:pPr>
    </w:p>
    <w:p w14:paraId="338B69A2">
      <w:pPr>
        <w:numPr>
          <w:ilvl w:val="0"/>
          <w:numId w:val="5"/>
        </w:numPr>
        <w:spacing w:before="0" w:after="120" w:line="240" w:lineRule="auto"/>
        <w:rPr>
          <w:sz w:val="18"/>
          <w:szCs w:val="18"/>
        </w:rPr>
      </w:pPr>
      <w:r>
        <w:rPr>
          <w:sz w:val="18"/>
          <w:szCs w:val="18"/>
        </w:rPr>
        <w:t>Údaje o spôsobe a výške poistenia dlhodobého nehmotného majetku a dlhodobého hmotného majetku.</w:t>
      </w:r>
    </w:p>
    <w:p w14:paraId="541FDAED">
      <w:pPr>
        <w:spacing w:before="0" w:after="12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Občianske združenie FALANGIR plánuje realizovať svoju činnosť v prenajatých priestoroch, poistenie nehnuteľnosti bude súčasťou nájomného. </w:t>
      </w:r>
    </w:p>
    <w:p w14:paraId="5FAC1B5A">
      <w:pPr>
        <w:numPr>
          <w:ilvl w:val="0"/>
          <w:numId w:val="5"/>
        </w:numPr>
        <w:spacing w:before="0" w:after="120" w:line="240" w:lineRule="auto"/>
        <w:rPr>
          <w:sz w:val="18"/>
          <w:szCs w:val="18"/>
        </w:rPr>
      </w:pPr>
      <w:r>
        <w:rPr>
          <w:sz w:val="18"/>
          <w:szCs w:val="18"/>
        </w:rPr>
        <w:t>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</w:p>
    <w:p w14:paraId="150DCB01">
      <w:pPr>
        <w:spacing w:before="0" w:after="12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Občianske združenie FALANGIR neúčtuje o dlhodobom finančnom majetku. </w:t>
      </w:r>
    </w:p>
    <w:p w14:paraId="7033E59F">
      <w:pPr>
        <w:numPr>
          <w:ilvl w:val="0"/>
          <w:numId w:val="5"/>
        </w:numPr>
        <w:spacing w:before="0" w:after="120" w:line="240" w:lineRule="auto"/>
        <w:rPr>
          <w:sz w:val="18"/>
          <w:szCs w:val="18"/>
        </w:rPr>
      </w:pPr>
      <w:r>
        <w:rPr>
          <w:sz w:val="18"/>
          <w:szCs w:val="18"/>
        </w:rPr>
        <w:t>Informácia o výške tvorby, zníženia a zúčtovania opravných položiek k dlhodobému finančnému majetku a opis dôvodu ich tvorby, zníženia a zúčtovania.</w:t>
      </w:r>
    </w:p>
    <w:p w14:paraId="664AB2FD">
      <w:pPr>
        <w:spacing w:before="0" w:after="0" w:line="240" w:lineRule="auto"/>
        <w:rPr>
          <w:sz w:val="18"/>
          <w:szCs w:val="18"/>
        </w:rPr>
      </w:pPr>
      <w:r>
        <w:rPr>
          <w:sz w:val="18"/>
          <w:szCs w:val="18"/>
        </w:rPr>
        <w:t>Občianske združenie FALANGIR neúčtovalo o opravnej položke k dlhodobému finančnému majetku</w:t>
      </w:r>
    </w:p>
    <w:p w14:paraId="0EBF5382">
      <w:pPr>
        <w:spacing w:before="0" w:after="0" w:line="240" w:lineRule="auto"/>
        <w:rPr>
          <w:sz w:val="18"/>
          <w:szCs w:val="18"/>
        </w:rPr>
      </w:pPr>
    </w:p>
    <w:p w14:paraId="5DF790CF">
      <w:pPr>
        <w:numPr>
          <w:ilvl w:val="0"/>
          <w:numId w:val="5"/>
        </w:numPr>
        <w:spacing w:before="0" w:after="120" w:line="240" w:lineRule="auto"/>
        <w:rPr>
          <w:sz w:val="18"/>
          <w:szCs w:val="18"/>
        </w:rPr>
      </w:pPr>
      <w:r>
        <w:rPr>
          <w:sz w:val="18"/>
          <w:szCs w:val="18"/>
        </w:rPr>
        <w:t>Prehľad o významných položkách krátkodobého finančného majetku a  o ocenení krátkodobého finančného majetku  reálnou hodnotou ku dňu, ku ktorému sa zostavuje účtovná závierka, pričom sa uvádza vplyv takéhoto ocenenia na výsledok hospodárenia účtovnej jednotky.</w:t>
      </w:r>
    </w:p>
    <w:p w14:paraId="25849738">
      <w:pPr>
        <w:spacing w:before="0" w:after="120" w:line="240" w:lineRule="auto"/>
        <w:rPr>
          <w:sz w:val="18"/>
          <w:szCs w:val="18"/>
        </w:rPr>
      </w:pPr>
    </w:p>
    <w:p w14:paraId="5652495C">
      <w:pPr>
        <w:spacing w:before="0" w:after="120" w:line="240" w:lineRule="auto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6  o položkách krátkodobého finančného majetku</w:t>
      </w:r>
    </w:p>
    <w:tbl>
      <w:tblPr>
        <w:tblStyle w:val="6"/>
        <w:tblW w:w="10185" w:type="dxa"/>
        <w:tblInd w:w="-151" w:type="dxa"/>
        <w:tblBorders>
          <w:top w:val="single" w:color="00000A" w:sz="4" w:space="0"/>
          <w:left w:val="single" w:color="00000A" w:sz="4" w:space="0"/>
          <w:bottom w:val="single" w:color="00000A" w:sz="4" w:space="0"/>
          <w:right w:val="single" w:color="00000A" w:sz="4" w:space="0"/>
          <w:insideH w:val="single" w:color="00000A" w:sz="4" w:space="0"/>
          <w:insideV w:val="single" w:color="00000A" w:sz="4" w:space="0"/>
        </w:tblBorders>
        <w:tblLayout w:type="autofit"/>
        <w:tblCellMar>
          <w:top w:w="0" w:type="dxa"/>
          <w:left w:w="63" w:type="dxa"/>
          <w:bottom w:w="0" w:type="dxa"/>
          <w:right w:w="108" w:type="dxa"/>
        </w:tblCellMar>
      </w:tblPr>
      <w:tblGrid>
        <w:gridCol w:w="3260"/>
        <w:gridCol w:w="3449"/>
        <w:gridCol w:w="3476"/>
      </w:tblGrid>
      <w:tr w14:paraId="7A86FE5D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28" w:hRule="atLeast"/>
        </w:trPr>
        <w:tc>
          <w:tcPr>
            <w:tcW w:w="326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08421A0F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344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5DDF9D02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 konci bežného účtovného obdobia</w:t>
            </w:r>
          </w:p>
        </w:tc>
        <w:tc>
          <w:tcPr>
            <w:tcW w:w="347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40C50354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 konci bezprostredne predchádzajúceho účtovného obdobia</w:t>
            </w:r>
          </w:p>
        </w:tc>
      </w:tr>
      <w:tr w14:paraId="781DFAF6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28" w:hRule="atLeast"/>
        </w:trPr>
        <w:tc>
          <w:tcPr>
            <w:tcW w:w="326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32DC8E6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Pokladnica</w:t>
            </w:r>
          </w:p>
        </w:tc>
        <w:tc>
          <w:tcPr>
            <w:tcW w:w="344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5C8D8B29">
            <w:pPr>
              <w:spacing w:before="0" w:after="0" w:line="240" w:lineRule="auto"/>
              <w:jc w:val="right"/>
            </w:pPr>
            <w:r>
              <w:rPr>
                <w:rFonts w:hint="default"/>
                <w:sz w:val="16"/>
                <w:szCs w:val="16"/>
                <w:lang w:val="sk-SK"/>
              </w:rPr>
              <w:t>7,29</w:t>
            </w:r>
          </w:p>
        </w:tc>
        <w:tc>
          <w:tcPr>
            <w:tcW w:w="347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52C9556F">
            <w:pPr>
              <w:spacing w:before="0" w:after="0" w:line="240" w:lineRule="auto"/>
              <w:jc w:val="right"/>
            </w:pPr>
            <w:r>
              <w:rPr>
                <w:rFonts w:hint="default"/>
                <w:sz w:val="16"/>
                <w:szCs w:val="16"/>
                <w:lang w:val="sk-SK"/>
              </w:rPr>
              <w:t>7,29</w:t>
            </w:r>
          </w:p>
        </w:tc>
      </w:tr>
      <w:tr w14:paraId="144B3C09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28" w:hRule="atLeast"/>
        </w:trPr>
        <w:tc>
          <w:tcPr>
            <w:tcW w:w="326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6ADECFA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Ceniny</w:t>
            </w:r>
          </w:p>
        </w:tc>
        <w:tc>
          <w:tcPr>
            <w:tcW w:w="344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3D57157F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47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1AE32F5E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0,00</w:t>
            </w:r>
          </w:p>
        </w:tc>
      </w:tr>
      <w:tr w14:paraId="495C2A21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28" w:hRule="atLeast"/>
        </w:trPr>
        <w:tc>
          <w:tcPr>
            <w:tcW w:w="326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3FE2BEC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Bežné bankové účty</w:t>
            </w:r>
          </w:p>
        </w:tc>
        <w:tc>
          <w:tcPr>
            <w:tcW w:w="344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3E10C907">
            <w:pPr>
              <w:spacing w:before="0" w:after="0" w:line="240" w:lineRule="auto"/>
              <w:jc w:val="right"/>
            </w:pPr>
            <w:r>
              <w:rPr>
                <w:rFonts w:hint="default"/>
                <w:sz w:val="16"/>
                <w:szCs w:val="16"/>
                <w:lang w:val="sk-SK"/>
              </w:rPr>
              <w:t>4078,98</w:t>
            </w:r>
          </w:p>
        </w:tc>
        <w:tc>
          <w:tcPr>
            <w:tcW w:w="347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4697521C">
            <w:pPr>
              <w:spacing w:before="0" w:after="0" w:line="240" w:lineRule="auto"/>
              <w:jc w:val="right"/>
            </w:pPr>
            <w:r>
              <w:rPr>
                <w:rFonts w:hint="default"/>
                <w:sz w:val="16"/>
                <w:szCs w:val="16"/>
                <w:lang w:val="sk-SK"/>
              </w:rPr>
              <w:t>4735,35</w:t>
            </w:r>
          </w:p>
        </w:tc>
      </w:tr>
      <w:tr w14:paraId="7FF060EF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28" w:hRule="atLeast"/>
        </w:trPr>
        <w:tc>
          <w:tcPr>
            <w:tcW w:w="326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6C2802A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44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2F3948A7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47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5C69D4AB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0,00</w:t>
            </w:r>
          </w:p>
        </w:tc>
      </w:tr>
      <w:tr w14:paraId="75FF4305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28" w:hRule="atLeast"/>
        </w:trPr>
        <w:tc>
          <w:tcPr>
            <w:tcW w:w="326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19CCDD5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Peniaze na ceste</w:t>
            </w:r>
          </w:p>
        </w:tc>
        <w:tc>
          <w:tcPr>
            <w:tcW w:w="344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49E6B9F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47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4024B6CE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0,00</w:t>
            </w:r>
          </w:p>
        </w:tc>
      </w:tr>
      <w:tr w14:paraId="65D6FF22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28" w:hRule="atLeast"/>
        </w:trPr>
        <w:tc>
          <w:tcPr>
            <w:tcW w:w="326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3BC5C2E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344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68BB0D6B">
            <w:pPr>
              <w:spacing w:before="0" w:after="0" w:line="240" w:lineRule="auto"/>
              <w:jc w:val="right"/>
              <w:rPr>
                <w:rFonts w:hint="default"/>
                <w:lang w:val="sk-SK"/>
              </w:rPr>
            </w:pPr>
            <w:r>
              <w:rPr>
                <w:rFonts w:hint="default"/>
                <w:b/>
                <w:bCs/>
                <w:sz w:val="16"/>
                <w:szCs w:val="16"/>
                <w:lang w:val="sk-SK"/>
              </w:rPr>
              <w:t>4086,27</w:t>
            </w:r>
          </w:p>
        </w:tc>
        <w:tc>
          <w:tcPr>
            <w:tcW w:w="347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62553D8B">
            <w:pPr>
              <w:spacing w:before="0" w:after="0" w:line="240" w:lineRule="auto"/>
              <w:jc w:val="right"/>
            </w:pPr>
            <w:r>
              <w:rPr>
                <w:rFonts w:hint="default"/>
                <w:b/>
                <w:bCs/>
                <w:sz w:val="16"/>
                <w:szCs w:val="16"/>
                <w:lang w:val="sk-SK"/>
              </w:rPr>
              <w:t>4742,64</w:t>
            </w:r>
          </w:p>
        </w:tc>
      </w:tr>
    </w:tbl>
    <w:p w14:paraId="27EAE78F">
      <w:pPr>
        <w:spacing w:before="0" w:after="120" w:line="240" w:lineRule="auto"/>
        <w:ind w:left="360" w:firstLine="0"/>
        <w:rPr>
          <w:sz w:val="18"/>
          <w:szCs w:val="18"/>
        </w:rPr>
      </w:pPr>
    </w:p>
    <w:p w14:paraId="1C96F3F2">
      <w:pPr>
        <w:numPr>
          <w:ilvl w:val="0"/>
          <w:numId w:val="5"/>
        </w:numPr>
        <w:spacing w:before="0" w:after="120" w:line="240" w:lineRule="auto"/>
        <w:rPr>
          <w:sz w:val="18"/>
          <w:szCs w:val="18"/>
        </w:rPr>
      </w:pPr>
      <w:r>
        <w:rPr>
          <w:sz w:val="18"/>
          <w:szCs w:val="18"/>
        </w:rPr>
        <w:t>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 w14:paraId="74EE1906">
      <w:pPr>
        <w:spacing w:before="0" w:after="120" w:line="240" w:lineRule="auto"/>
        <w:rPr>
          <w:sz w:val="18"/>
          <w:szCs w:val="18"/>
        </w:rPr>
      </w:pPr>
      <w:r>
        <w:rPr>
          <w:sz w:val="18"/>
          <w:szCs w:val="18"/>
        </w:rPr>
        <w:t>Netýka sa občianskeho združenia FALANGIR</w:t>
      </w:r>
    </w:p>
    <w:p w14:paraId="65D8E70F">
      <w:pPr>
        <w:numPr>
          <w:ilvl w:val="0"/>
          <w:numId w:val="5"/>
        </w:numPr>
        <w:spacing w:before="0" w:after="120" w:line="240" w:lineRule="auto"/>
        <w:rPr>
          <w:sz w:val="18"/>
          <w:szCs w:val="18"/>
        </w:rPr>
      </w:pPr>
      <w:r>
        <w:rPr>
          <w:sz w:val="18"/>
          <w:szCs w:val="18"/>
        </w:rPr>
        <w:t>Opis významných pohľadávok v nadväznosti na položky súvahy a v členení na pohľadávky za hlavnú činnosť a podnikateľskú činnosť.</w:t>
      </w:r>
    </w:p>
    <w:tbl>
      <w:tblPr>
        <w:tblStyle w:val="6"/>
        <w:tblW w:w="5000" w:type="pct"/>
        <w:tblInd w:w="-151" w:type="dxa"/>
        <w:tblBorders>
          <w:top w:val="single" w:color="00000A" w:sz="4" w:space="0"/>
          <w:left w:val="single" w:color="00000A" w:sz="4" w:space="0"/>
          <w:bottom w:val="single" w:color="00000A" w:sz="4" w:space="0"/>
          <w:right w:val="single" w:color="00000A" w:sz="4" w:space="0"/>
          <w:insideH w:val="single" w:color="00000A" w:sz="4" w:space="0"/>
          <w:insideV w:val="single" w:color="00000A" w:sz="4" w:space="0"/>
        </w:tblBorders>
        <w:tblLayout w:type="autofit"/>
        <w:tblCellMar>
          <w:top w:w="0" w:type="dxa"/>
          <w:left w:w="63" w:type="dxa"/>
          <w:bottom w:w="0" w:type="dxa"/>
          <w:right w:w="108" w:type="dxa"/>
        </w:tblCellMar>
      </w:tblPr>
      <w:tblGrid>
        <w:gridCol w:w="3218"/>
        <w:gridCol w:w="4730"/>
        <w:gridCol w:w="2201"/>
      </w:tblGrid>
      <w:tr w14:paraId="03FD00D8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16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50A3F55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Významné pohľadávky</w:t>
            </w:r>
          </w:p>
        </w:tc>
        <w:tc>
          <w:tcPr>
            <w:tcW w:w="465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135E2C15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Opis </w:t>
            </w:r>
          </w:p>
        </w:tc>
        <w:tc>
          <w:tcPr>
            <w:tcW w:w="216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28160902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 w14:paraId="0E249F9F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16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55F0E95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n/a</w:t>
            </w:r>
          </w:p>
        </w:tc>
        <w:tc>
          <w:tcPr>
            <w:tcW w:w="465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68C4D52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16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6CE08CDC">
            <w:pPr>
              <w:spacing w:before="0" w:after="0" w:line="240" w:lineRule="auto"/>
              <w:jc w:val="right"/>
              <w:rPr>
                <w:highlight w:val="yellow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14:paraId="1337A349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16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58B09824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465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6A3A3C9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16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6DCCCC40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</w:tbl>
    <w:p w14:paraId="37907499">
      <w:pPr>
        <w:numPr>
          <w:ilvl w:val="0"/>
          <w:numId w:val="5"/>
        </w:numPr>
        <w:spacing w:before="0" w:after="120" w:line="240" w:lineRule="auto"/>
        <w:rPr>
          <w:sz w:val="18"/>
          <w:szCs w:val="18"/>
        </w:rPr>
      </w:pPr>
      <w:r>
        <w:rPr>
          <w:sz w:val="18"/>
          <w:szCs w:val="18"/>
        </w:rPr>
        <w:t>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 w14:paraId="3D18070B">
      <w:pPr>
        <w:spacing w:before="0" w:after="120" w:line="240" w:lineRule="auto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9  o vývoji opravných položiek k pohľadávkam</w:t>
      </w:r>
    </w:p>
    <w:p w14:paraId="7A3A48B1">
      <w:pPr>
        <w:spacing w:before="0" w:after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Občianske združenie FALANGIR neúčtovalo o opravných položkách k pohľadávkam v priebehu účtovného obdobia. </w:t>
      </w:r>
    </w:p>
    <w:p w14:paraId="5AA031E1">
      <w:pPr>
        <w:spacing w:before="0" w:after="0" w:line="240" w:lineRule="auto"/>
        <w:rPr>
          <w:sz w:val="18"/>
          <w:szCs w:val="18"/>
        </w:rPr>
      </w:pPr>
    </w:p>
    <w:p w14:paraId="142BB321">
      <w:pPr>
        <w:numPr>
          <w:ilvl w:val="0"/>
          <w:numId w:val="5"/>
        </w:numPr>
        <w:spacing w:before="0" w:after="120" w:line="240" w:lineRule="auto"/>
        <w:rPr>
          <w:sz w:val="18"/>
          <w:szCs w:val="18"/>
        </w:rPr>
      </w:pPr>
      <w:r>
        <w:rPr>
          <w:sz w:val="18"/>
          <w:szCs w:val="18"/>
        </w:rPr>
        <w:t>Prehľad  pohľadávok do lehoty splatnosti a po lehote splatnosti.</w:t>
      </w:r>
    </w:p>
    <w:p w14:paraId="52683DDC">
      <w:pPr>
        <w:spacing w:before="0" w:after="120" w:line="240" w:lineRule="auto"/>
        <w:rPr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Style w:val="6"/>
        <w:tblW w:w="5000" w:type="pct"/>
        <w:tblInd w:w="-151" w:type="dxa"/>
        <w:tblBorders>
          <w:top w:val="single" w:color="00000A" w:sz="4" w:space="0"/>
          <w:left w:val="single" w:color="00000A" w:sz="4" w:space="0"/>
          <w:bottom w:val="single" w:color="00000A" w:sz="4" w:space="0"/>
          <w:right w:val="single" w:color="00000A" w:sz="4" w:space="0"/>
          <w:insideH w:val="single" w:color="00000A" w:sz="4" w:space="0"/>
          <w:insideV w:val="single" w:color="00000A" w:sz="4" w:space="0"/>
        </w:tblBorders>
        <w:tblLayout w:type="autofit"/>
        <w:tblCellMar>
          <w:top w:w="0" w:type="dxa"/>
          <w:left w:w="63" w:type="dxa"/>
          <w:bottom w:w="0" w:type="dxa"/>
          <w:right w:w="108" w:type="dxa"/>
        </w:tblCellMar>
      </w:tblPr>
      <w:tblGrid>
        <w:gridCol w:w="3977"/>
        <w:gridCol w:w="2981"/>
        <w:gridCol w:w="3191"/>
      </w:tblGrid>
      <w:tr w14:paraId="0B86030E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910" w:type="dxa"/>
            <w:vMerge w:val="restart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</w:tcPr>
          <w:p w14:paraId="23E86CA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6068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511FF518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 w14:paraId="3E5B5FF1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910" w:type="dxa"/>
            <w:vMerge w:val="continue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</w:tcPr>
          <w:p w14:paraId="45F49735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93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5D9470A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313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155CC7E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14:paraId="05C407B4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391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297DE5B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293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67FF7994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3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72388617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0,00</w:t>
            </w:r>
          </w:p>
        </w:tc>
      </w:tr>
      <w:tr w14:paraId="7D84562A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91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179FBE7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293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62F5CCA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3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0C21EA9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14:paraId="00D0892A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91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2ADD5C97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Pohľadávky spolu</w:t>
            </w:r>
          </w:p>
        </w:tc>
        <w:tc>
          <w:tcPr>
            <w:tcW w:w="293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44CC4756">
            <w:pPr>
              <w:spacing w:before="0" w:after="0" w:line="240" w:lineRule="auto"/>
              <w:jc w:val="right"/>
              <w:rPr>
                <w:b/>
                <w:bCs/>
                <w:highlight w:val="yellow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13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3BA0DC8C">
            <w:pPr>
              <w:spacing w:before="0" w:after="0" w:line="240" w:lineRule="auto"/>
              <w:jc w:val="right"/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</w:tbl>
    <w:p w14:paraId="1DF40F59">
      <w:pPr>
        <w:spacing w:before="0" w:after="0" w:line="240" w:lineRule="auto"/>
        <w:rPr>
          <w:sz w:val="18"/>
          <w:szCs w:val="18"/>
        </w:rPr>
      </w:pPr>
    </w:p>
    <w:p w14:paraId="7C7B58F5">
      <w:pPr>
        <w:numPr>
          <w:ilvl w:val="0"/>
          <w:numId w:val="5"/>
        </w:numPr>
        <w:spacing w:before="0" w:after="120" w:line="240" w:lineRule="auto"/>
        <w:rPr>
          <w:sz w:val="18"/>
          <w:szCs w:val="18"/>
        </w:rPr>
      </w:pPr>
      <w:r>
        <w:rPr>
          <w:sz w:val="18"/>
          <w:szCs w:val="18"/>
        </w:rPr>
        <w:t>Prehľad významných položiek časového rozlíšenia nákladov budúcich období a príjmov budúcich období.</w:t>
      </w:r>
    </w:p>
    <w:tbl>
      <w:tblPr>
        <w:tblStyle w:val="6"/>
        <w:tblW w:w="5000" w:type="pct"/>
        <w:tblInd w:w="-151" w:type="dxa"/>
        <w:tblBorders>
          <w:top w:val="single" w:color="00000A" w:sz="4" w:space="0"/>
          <w:left w:val="single" w:color="00000A" w:sz="4" w:space="0"/>
          <w:bottom w:val="single" w:color="00000A" w:sz="4" w:space="0"/>
          <w:right w:val="single" w:color="00000A" w:sz="4" w:space="0"/>
          <w:insideH w:val="single" w:color="00000A" w:sz="4" w:space="0"/>
          <w:insideV w:val="single" w:color="00000A" w:sz="4" w:space="0"/>
        </w:tblBorders>
        <w:tblLayout w:type="autofit"/>
        <w:tblCellMar>
          <w:top w:w="0" w:type="dxa"/>
          <w:left w:w="63" w:type="dxa"/>
          <w:bottom w:w="0" w:type="dxa"/>
          <w:right w:w="108" w:type="dxa"/>
        </w:tblCellMar>
      </w:tblPr>
      <w:tblGrid>
        <w:gridCol w:w="2981"/>
        <w:gridCol w:w="4973"/>
        <w:gridCol w:w="2195"/>
      </w:tblGrid>
      <w:tr w14:paraId="03D97EAF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93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680D2D63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488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76CB02A7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</w:t>
            </w:r>
          </w:p>
        </w:tc>
        <w:tc>
          <w:tcPr>
            <w:tcW w:w="215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1535D495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 w14:paraId="16DAB688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93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2FA8570E">
            <w:pPr>
              <w:spacing w:before="0" w:after="0" w:line="240" w:lineRule="auto"/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488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1CDA98C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15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246C7A42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</w:p>
        </w:tc>
      </w:tr>
    </w:tbl>
    <w:p w14:paraId="5EDF4FC7">
      <w:pPr>
        <w:numPr>
          <w:ilvl w:val="0"/>
          <w:numId w:val="5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Opis a výška zmien vlastných zdrojov krytia neobežného majetku a obežného majetku podľa položiek súvahy za bežné účtovné obdobie, a to </w:t>
      </w:r>
    </w:p>
    <w:p w14:paraId="5B0DE1C6">
      <w:pPr>
        <w:numPr>
          <w:ilvl w:val="0"/>
          <w:numId w:val="7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 w14:paraId="613154DC">
      <w:p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Občianske združenie FALANGIR bolo zaregistrované Ministerstvom vnútra SR dňa 05.12.2019 pod registračným číslom VVS/1-900/90-57829. </w:t>
      </w:r>
    </w:p>
    <w:p w14:paraId="2AEF0A2A">
      <w:pPr>
        <w:numPr>
          <w:ilvl w:val="0"/>
          <w:numId w:val="7"/>
        </w:numPr>
        <w:spacing w:before="0" w:after="12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opis jednotlivých druhov fondov, ktoré tvorí účtovná jednotka, stav na začiatku bežného účtovného obdobia, prírastky, úbytky, presuny a zostatok na konci bežného účtovného obdobia. </w:t>
      </w:r>
    </w:p>
    <w:p w14:paraId="2A507EE9">
      <w:pPr>
        <w:spacing w:before="0" w:after="120" w:line="240" w:lineRule="auto"/>
      </w:pPr>
      <w:r>
        <w:rPr>
          <w:sz w:val="18"/>
          <w:szCs w:val="18"/>
        </w:rPr>
        <w:t>Občianske združenie FALANGIR neúčtovalo o opravách významných chýb minulého obdobia v priebehu účtovného obdobia 2023</w:t>
      </w:r>
    </w:p>
    <w:p w14:paraId="48D1EC56">
      <w:pPr>
        <w:spacing w:before="0" w:after="120" w:line="240" w:lineRule="auto"/>
        <w:rPr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12 o zmenách vlastných zdrojov krytia neobežného majetku a obežného majetku</w:t>
      </w:r>
      <w:r>
        <w:rPr>
          <w:i/>
          <w:iCs/>
          <w:sz w:val="18"/>
          <w:szCs w:val="18"/>
        </w:rPr>
        <w:t xml:space="preserve">    </w:t>
      </w:r>
    </w:p>
    <w:p w14:paraId="2C83ABF5">
      <w:pPr>
        <w:spacing w:before="0" w:after="120" w:line="240" w:lineRule="auto"/>
        <w:rPr>
          <w:i/>
          <w:iCs/>
          <w:sz w:val="18"/>
          <w:szCs w:val="18"/>
        </w:rPr>
      </w:pPr>
    </w:p>
    <w:tbl>
      <w:tblPr>
        <w:tblStyle w:val="6"/>
        <w:tblW w:w="4800" w:type="pct"/>
        <w:tblInd w:w="-151" w:type="dxa"/>
        <w:tblBorders>
          <w:top w:val="single" w:color="00000A" w:sz="4" w:space="0"/>
          <w:left w:val="single" w:color="00000A" w:sz="4" w:space="0"/>
          <w:bottom w:val="single" w:color="00000A" w:sz="4" w:space="0"/>
          <w:right w:val="single" w:color="00000A" w:sz="4" w:space="0"/>
          <w:insideH w:val="single" w:color="00000A" w:sz="4" w:space="0"/>
          <w:insideV w:val="single" w:color="00000A" w:sz="4" w:space="0"/>
        </w:tblBorders>
        <w:tblLayout w:type="autofit"/>
        <w:tblCellMar>
          <w:top w:w="0" w:type="dxa"/>
          <w:left w:w="63" w:type="dxa"/>
          <w:bottom w:w="0" w:type="dxa"/>
          <w:right w:w="108" w:type="dxa"/>
        </w:tblCellMar>
      </w:tblPr>
      <w:tblGrid>
        <w:gridCol w:w="3863"/>
        <w:gridCol w:w="1159"/>
        <w:gridCol w:w="1158"/>
        <w:gridCol w:w="1161"/>
        <w:gridCol w:w="1159"/>
        <w:gridCol w:w="1243"/>
      </w:tblGrid>
      <w:tr w14:paraId="00CD7B43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379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2AC9BB07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48C59371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3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0C877145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Prírastky</w:t>
            </w:r>
          </w:p>
          <w:p w14:paraId="64DB1133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(+)</w:t>
            </w:r>
          </w:p>
        </w:tc>
        <w:tc>
          <w:tcPr>
            <w:tcW w:w="114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7C8FF2A5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Úbytky</w:t>
            </w:r>
          </w:p>
          <w:p w14:paraId="09E56EDF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(-)</w:t>
            </w:r>
          </w:p>
        </w:tc>
        <w:tc>
          <w:tcPr>
            <w:tcW w:w="113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5C7199F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Presuny</w:t>
            </w:r>
          </w:p>
          <w:p w14:paraId="5C9DF478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(+, -)</w:t>
            </w:r>
          </w:p>
        </w:tc>
        <w:tc>
          <w:tcPr>
            <w:tcW w:w="122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7A8A3D23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14:paraId="716154F9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9577" w:type="dxa"/>
            <w:gridSpan w:val="6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10A91A88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</w:rPr>
              <w:t>Imanie a fondy</w:t>
            </w:r>
          </w:p>
        </w:tc>
      </w:tr>
      <w:tr w14:paraId="4227707B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379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60957D4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Základné imanie</w:t>
            </w:r>
          </w:p>
        </w:tc>
        <w:tc>
          <w:tcPr>
            <w:tcW w:w="113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69B1CC0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43F9E1C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09A2D08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66BD6CE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22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706448CE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14:paraId="7E52EA6D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379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4BA636F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 toho: </w:t>
            </w:r>
          </w:p>
          <w:p w14:paraId="7BB7B71C">
            <w:pPr>
              <w:numPr>
                <w:ilvl w:val="0"/>
                <w:numId w:val="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113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44100A3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2A845FC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0531F58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43234BC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22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5563777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14:paraId="0D848A8E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379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4B49C3D5">
            <w:pPr>
              <w:numPr>
                <w:ilvl w:val="0"/>
                <w:numId w:val="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vklady zakladateľov</w:t>
            </w:r>
          </w:p>
        </w:tc>
        <w:tc>
          <w:tcPr>
            <w:tcW w:w="113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4E3FEBA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57BC912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7E4027D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27D7B0B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22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751EA7C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14:paraId="6DF153D2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379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26089E6D">
            <w:pPr>
              <w:numPr>
                <w:ilvl w:val="0"/>
                <w:numId w:val="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prioritný majetok</w:t>
            </w:r>
          </w:p>
        </w:tc>
        <w:tc>
          <w:tcPr>
            <w:tcW w:w="113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1A22B7BE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4FA706E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56A82E5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3719C04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22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054A16C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14:paraId="3A969C77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379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25F42B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113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77417AF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6191805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59D3AA1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494ABC9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22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1C69D34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14:paraId="2DD2481A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379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0E636F6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 reprodukcie</w:t>
            </w:r>
          </w:p>
        </w:tc>
        <w:tc>
          <w:tcPr>
            <w:tcW w:w="113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14B625D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5EE5A26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481BB94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77FDCD6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22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660FDAB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14:paraId="28694BDB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379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3677F7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13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6CB22DF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6FAF704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2FCBF42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4A0605D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22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62F5E43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14:paraId="7E6C81FE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9577" w:type="dxa"/>
            <w:gridSpan w:val="6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42F932E8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Fondy zo zisku</w:t>
            </w:r>
          </w:p>
        </w:tc>
      </w:tr>
      <w:tr w14:paraId="5F1A2DA5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379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4719409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Rezervný fond</w:t>
            </w:r>
          </w:p>
        </w:tc>
        <w:tc>
          <w:tcPr>
            <w:tcW w:w="113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4EC6282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6CCE196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2000FC5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26AD251E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22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186F88A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14:paraId="68241BF1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379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6ED2B23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tvorené zo zisku</w:t>
            </w:r>
          </w:p>
        </w:tc>
        <w:tc>
          <w:tcPr>
            <w:tcW w:w="113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51F391A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74F3929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536AE71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2EAA73A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22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0BE3E12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14:paraId="1921C3B5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379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3FAFE3E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fondy</w:t>
            </w:r>
          </w:p>
        </w:tc>
        <w:tc>
          <w:tcPr>
            <w:tcW w:w="113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190582D5">
            <w:pPr>
              <w:spacing w:before="0" w:after="0" w:line="240" w:lineRule="auto"/>
              <w:jc w:val="right"/>
            </w:pPr>
          </w:p>
        </w:tc>
        <w:tc>
          <w:tcPr>
            <w:tcW w:w="113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4010406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200488E3">
            <w:pPr>
              <w:spacing w:before="0" w:after="0" w:line="240" w:lineRule="auto"/>
              <w:jc w:val="right"/>
            </w:pPr>
          </w:p>
        </w:tc>
        <w:tc>
          <w:tcPr>
            <w:tcW w:w="113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10D9A68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22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55DD205F">
            <w:pPr>
              <w:spacing w:before="0" w:after="0" w:line="240" w:lineRule="auto"/>
              <w:jc w:val="right"/>
            </w:pPr>
          </w:p>
        </w:tc>
      </w:tr>
      <w:tr w14:paraId="6D97709B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379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5F58EFA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113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4A80F80D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2468,59</w:t>
            </w:r>
          </w:p>
        </w:tc>
        <w:tc>
          <w:tcPr>
            <w:tcW w:w="113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17F50789">
            <w:pPr>
              <w:spacing w:before="0" w:after="0" w:line="240" w:lineRule="auto"/>
              <w:jc w:val="right"/>
            </w:pPr>
          </w:p>
        </w:tc>
        <w:tc>
          <w:tcPr>
            <w:tcW w:w="114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5E195D77">
            <w:pPr>
              <w:spacing w:before="0" w:after="0" w:line="240" w:lineRule="auto"/>
              <w:jc w:val="right"/>
            </w:pPr>
          </w:p>
        </w:tc>
        <w:tc>
          <w:tcPr>
            <w:tcW w:w="113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4572DB29">
            <w:pPr>
              <w:spacing w:before="0" w:after="0" w:line="240" w:lineRule="auto"/>
              <w:jc w:val="right"/>
            </w:pPr>
          </w:p>
        </w:tc>
        <w:tc>
          <w:tcPr>
            <w:tcW w:w="122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3536DAF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2468,59</w:t>
            </w:r>
          </w:p>
        </w:tc>
      </w:tr>
      <w:tr w14:paraId="16545C99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379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333C341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113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06232D02">
            <w:pPr>
              <w:spacing w:before="0" w:after="0" w:line="240" w:lineRule="auto"/>
              <w:jc w:val="right"/>
            </w:pPr>
            <w:r>
              <w:rPr>
                <w:rFonts w:hint="default"/>
                <w:sz w:val="16"/>
                <w:szCs w:val="16"/>
                <w:lang w:val="sk-SK"/>
              </w:rPr>
              <w:t>-1352,17</w:t>
            </w:r>
          </w:p>
        </w:tc>
        <w:tc>
          <w:tcPr>
            <w:tcW w:w="113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1D8C2A0E">
            <w:pPr>
              <w:spacing w:before="0" w:after="0" w:line="240" w:lineRule="auto"/>
              <w:jc w:val="right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-656,37</w:t>
            </w:r>
          </w:p>
        </w:tc>
        <w:tc>
          <w:tcPr>
            <w:tcW w:w="114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3DEAD70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71E9508D">
            <w:pPr>
              <w:spacing w:before="0" w:after="0" w:line="240" w:lineRule="auto"/>
              <w:jc w:val="right"/>
              <w:rPr>
                <w:rFonts w:hint="default"/>
                <w:lang w:val="sk-SK"/>
              </w:rPr>
            </w:pPr>
            <w:r>
              <w:rPr>
                <w:rFonts w:hint="default"/>
                <w:sz w:val="16"/>
                <w:szCs w:val="16"/>
                <w:lang w:val="sk-SK"/>
              </w:rPr>
              <w:t>-1352,17</w:t>
            </w:r>
          </w:p>
        </w:tc>
        <w:tc>
          <w:tcPr>
            <w:tcW w:w="122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55043662">
            <w:pPr>
              <w:spacing w:before="0" w:after="0" w:line="240" w:lineRule="auto"/>
              <w:jc w:val="right"/>
              <w:rPr>
                <w:rFonts w:hint="default"/>
                <w:lang w:val="sk-SK"/>
              </w:rPr>
            </w:pPr>
            <w:r>
              <w:rPr>
                <w:rFonts w:hint="default"/>
                <w:sz w:val="16"/>
                <w:szCs w:val="16"/>
                <w:lang w:val="sk-SK"/>
              </w:rPr>
              <w:t>-656,37</w:t>
            </w:r>
          </w:p>
        </w:tc>
      </w:tr>
      <w:tr w14:paraId="735A75C6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379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70E8911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13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025DD2C4">
            <w:pPr>
              <w:spacing w:before="0" w:after="0" w:line="240" w:lineRule="auto"/>
              <w:jc w:val="right"/>
            </w:pPr>
            <w:r>
              <w:rPr>
                <w:rFonts w:hint="default"/>
                <w:sz w:val="16"/>
                <w:szCs w:val="16"/>
                <w:lang w:val="sk-SK"/>
              </w:rPr>
              <w:t>1116,42</w:t>
            </w:r>
            <w:r>
              <w:rPr>
                <w:sz w:val="16"/>
                <w:szCs w:val="16"/>
              </w:rPr>
              <w:t>1</w:t>
            </w:r>
          </w:p>
        </w:tc>
        <w:tc>
          <w:tcPr>
            <w:tcW w:w="113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154759B2">
            <w:pPr>
              <w:spacing w:before="0" w:after="0" w:line="240" w:lineRule="auto"/>
              <w:jc w:val="right"/>
              <w:rPr>
                <w:rFonts w:hint="default"/>
                <w:lang w:val="sk-SK"/>
              </w:rPr>
            </w:pPr>
            <w:r>
              <w:rPr>
                <w:rFonts w:hint="default"/>
                <w:sz w:val="16"/>
                <w:szCs w:val="16"/>
                <w:lang w:val="sk-SK"/>
              </w:rPr>
              <w:t>-656,37</w:t>
            </w:r>
          </w:p>
        </w:tc>
        <w:tc>
          <w:tcPr>
            <w:tcW w:w="114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6F8002B3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19738980">
            <w:pPr>
              <w:spacing w:before="0" w:after="0" w:line="240" w:lineRule="auto"/>
              <w:jc w:val="right"/>
              <w:rPr>
                <w:rFonts w:hint="default"/>
                <w:lang w:val="sk-SK"/>
              </w:rPr>
            </w:pPr>
            <w:r>
              <w:rPr>
                <w:rFonts w:hint="default"/>
                <w:sz w:val="16"/>
                <w:szCs w:val="16"/>
                <w:lang w:val="sk-SK"/>
              </w:rPr>
              <w:t>-1352,17</w:t>
            </w:r>
          </w:p>
        </w:tc>
        <w:tc>
          <w:tcPr>
            <w:tcW w:w="122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65A7CD4E">
            <w:pPr>
              <w:spacing w:before="0" w:after="0" w:line="240" w:lineRule="auto"/>
              <w:jc w:val="right"/>
              <w:rPr>
                <w:rFonts w:hint="default"/>
                <w:lang w:val="sk-SK"/>
              </w:rPr>
            </w:pPr>
            <w:r>
              <w:rPr>
                <w:rFonts w:hint="default"/>
                <w:sz w:val="16"/>
                <w:szCs w:val="16"/>
                <w:lang w:val="sk-SK"/>
              </w:rPr>
              <w:t>1812,22</w:t>
            </w:r>
          </w:p>
        </w:tc>
      </w:tr>
    </w:tbl>
    <w:p w14:paraId="32A0B2E0">
      <w:pPr>
        <w:spacing w:before="0" w:after="0" w:line="240" w:lineRule="auto"/>
        <w:rPr>
          <w:sz w:val="18"/>
          <w:szCs w:val="18"/>
        </w:rPr>
      </w:pPr>
    </w:p>
    <w:p w14:paraId="7205D80A">
      <w:pPr>
        <w:numPr>
          <w:ilvl w:val="0"/>
          <w:numId w:val="5"/>
        </w:numPr>
        <w:spacing w:before="0" w:after="120" w:line="240" w:lineRule="auto"/>
        <w:ind w:left="357" w:hanging="357"/>
        <w:rPr>
          <w:sz w:val="18"/>
          <w:szCs w:val="18"/>
        </w:rPr>
      </w:pPr>
      <w:r>
        <w:rPr>
          <w:sz w:val="18"/>
          <w:szCs w:val="18"/>
        </w:rPr>
        <w:t>Informácia o rozdelení účtovného zisku alebo vysporiadaní účtovnej straty vykázanej v minulých účtovných obdobiach.</w:t>
      </w:r>
    </w:p>
    <w:p w14:paraId="4AA77576">
      <w:pPr>
        <w:spacing w:before="0" w:after="120" w:line="240" w:lineRule="auto"/>
        <w:rPr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13 o rozdelení účtovného zisku alebo vysporiadaní účtovnej straty</w:t>
      </w:r>
    </w:p>
    <w:tbl>
      <w:tblPr>
        <w:tblStyle w:val="6"/>
        <w:tblW w:w="3850" w:type="pct"/>
        <w:tblInd w:w="-151" w:type="dxa"/>
        <w:tblBorders>
          <w:top w:val="single" w:color="00000A" w:sz="4" w:space="0"/>
          <w:left w:val="single" w:color="00000A" w:sz="4" w:space="0"/>
          <w:bottom w:val="single" w:color="00000A" w:sz="4" w:space="0"/>
          <w:right w:val="single" w:color="00000A" w:sz="4" w:space="0"/>
          <w:insideH w:val="single" w:color="00000A" w:sz="4" w:space="0"/>
          <w:insideV w:val="single" w:color="00000A" w:sz="4" w:space="0"/>
        </w:tblBorders>
        <w:tblLayout w:type="autofit"/>
        <w:tblCellMar>
          <w:top w:w="0" w:type="dxa"/>
          <w:left w:w="63" w:type="dxa"/>
          <w:bottom w:w="0" w:type="dxa"/>
          <w:right w:w="108" w:type="dxa"/>
        </w:tblCellMar>
      </w:tblPr>
      <w:tblGrid>
        <w:gridCol w:w="5530"/>
        <w:gridCol w:w="2285"/>
      </w:tblGrid>
      <w:tr w14:paraId="66D00BCB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146" w:hRule="atLeast"/>
        </w:trPr>
        <w:tc>
          <w:tcPr>
            <w:tcW w:w="543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1467FA55">
            <w:pPr>
              <w:pStyle w:val="242"/>
            </w:pPr>
            <w:r>
              <w:rPr>
                <w:sz w:val="16"/>
                <w:szCs w:val="16"/>
              </w:rPr>
              <w:t>Názov položky</w:t>
            </w:r>
          </w:p>
        </w:tc>
        <w:tc>
          <w:tcPr>
            <w:tcW w:w="224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3011757D">
            <w:pPr>
              <w:pStyle w:val="242"/>
            </w:pPr>
            <w:r>
              <w:rPr>
                <w:sz w:val="16"/>
                <w:szCs w:val="16"/>
              </w:rPr>
              <w:t>Bezprostredne predchádzajúce účtovné obdobie</w:t>
            </w:r>
          </w:p>
        </w:tc>
      </w:tr>
      <w:tr w14:paraId="3E64C19B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146" w:hRule="atLeast"/>
        </w:trPr>
        <w:tc>
          <w:tcPr>
            <w:tcW w:w="543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56A58817">
            <w:pPr>
              <w:spacing w:before="0" w:after="0" w:line="240" w:lineRule="auto"/>
              <w:rPr>
                <w:rFonts w:hint="default"/>
                <w:lang w:val="sk-SK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Účtovn</w:t>
            </w:r>
            <w:r>
              <w:rPr>
                <w:rFonts w:hint="default"/>
                <w:b/>
                <w:bCs/>
                <w:color w:val="000000"/>
                <w:sz w:val="16"/>
                <w:szCs w:val="16"/>
                <w:lang w:val="sk-SK"/>
              </w:rPr>
              <w:t>á strata</w:t>
            </w:r>
          </w:p>
        </w:tc>
        <w:tc>
          <w:tcPr>
            <w:tcW w:w="224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769FEC84">
            <w:pPr>
              <w:spacing w:before="0" w:after="0" w:line="240" w:lineRule="auto"/>
              <w:jc w:val="center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-656,37</w:t>
            </w:r>
          </w:p>
        </w:tc>
      </w:tr>
      <w:tr w14:paraId="48E2DAF6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146" w:hRule="atLeast"/>
        </w:trPr>
        <w:tc>
          <w:tcPr>
            <w:tcW w:w="7682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213F7965">
            <w:pPr>
              <w:spacing w:before="0" w:after="0" w:line="240" w:lineRule="auto"/>
              <w:rPr>
                <w:rFonts w:hint="default"/>
                <w:lang w:val="sk-SK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Rozdelenie účtovnej strat</w:t>
            </w:r>
            <w:r>
              <w:rPr>
                <w:rFonts w:hint="default"/>
                <w:b/>
                <w:bCs/>
                <w:color w:val="000000"/>
                <w:sz w:val="16"/>
                <w:szCs w:val="16"/>
                <w:lang w:val="sk-SK"/>
              </w:rPr>
              <w:t>y</w:t>
            </w:r>
          </w:p>
        </w:tc>
      </w:tr>
      <w:tr w14:paraId="2214040E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146" w:hRule="atLeast"/>
        </w:trPr>
        <w:tc>
          <w:tcPr>
            <w:tcW w:w="543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7E706E30">
            <w:pPr>
              <w:spacing w:before="0" w:after="0" w:line="240" w:lineRule="auto"/>
            </w:pPr>
            <w:r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24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47E3295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14:paraId="653B123C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146" w:hRule="atLeast"/>
        </w:trPr>
        <w:tc>
          <w:tcPr>
            <w:tcW w:w="543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048ED3C8">
            <w:pPr>
              <w:spacing w:before="0" w:after="0" w:line="240" w:lineRule="auto"/>
            </w:pPr>
            <w:r>
              <w:rPr>
                <w:color w:val="000000"/>
                <w:sz w:val="16"/>
                <w:szCs w:val="16"/>
              </w:rPr>
              <w:t>Prídel do f</w:t>
            </w:r>
            <w:r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24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723E5105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14:paraId="07CD90B4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146" w:hRule="atLeast"/>
        </w:trPr>
        <w:tc>
          <w:tcPr>
            <w:tcW w:w="543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25AB59CB">
            <w:pPr>
              <w:spacing w:before="0" w:after="0" w:line="240" w:lineRule="auto"/>
            </w:pPr>
            <w:r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24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294A8D4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14:paraId="62B3D34B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146" w:hRule="atLeast"/>
        </w:trPr>
        <w:tc>
          <w:tcPr>
            <w:tcW w:w="543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65D69C6F">
            <w:pPr>
              <w:spacing w:before="0" w:after="0" w:line="240" w:lineRule="auto"/>
            </w:pPr>
            <w:r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24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192A6C03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14:paraId="2F089717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146" w:hRule="atLeast"/>
        </w:trPr>
        <w:tc>
          <w:tcPr>
            <w:tcW w:w="543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1113AB01">
            <w:pPr>
              <w:spacing w:before="0" w:after="0" w:line="240" w:lineRule="auto"/>
            </w:pPr>
            <w:r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24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084268A6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14:paraId="7E644C3C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146" w:hRule="atLeast"/>
        </w:trPr>
        <w:tc>
          <w:tcPr>
            <w:tcW w:w="543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29BD212B">
            <w:pPr>
              <w:spacing w:before="0" w:after="0" w:line="240" w:lineRule="auto"/>
            </w:pPr>
            <w:r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24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400B9CE6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14:paraId="3E6F0654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146" w:hRule="atLeast"/>
        </w:trPr>
        <w:tc>
          <w:tcPr>
            <w:tcW w:w="543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68190FDF">
            <w:pPr>
              <w:spacing w:before="0" w:after="0" w:line="240" w:lineRule="auto"/>
            </w:pPr>
            <w:r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24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76D877DE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</w:p>
        </w:tc>
      </w:tr>
      <w:tr w14:paraId="1C842FE9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146" w:hRule="atLeast"/>
        </w:trPr>
        <w:tc>
          <w:tcPr>
            <w:tcW w:w="543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0D836399">
            <w:pPr>
              <w:spacing w:before="0" w:after="0" w:line="240" w:lineRule="auto"/>
            </w:pPr>
            <w:r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24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4A76EDD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14:paraId="30E85491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146" w:hRule="atLeast"/>
        </w:trPr>
        <w:tc>
          <w:tcPr>
            <w:tcW w:w="543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18410BA4">
            <w:pPr>
              <w:spacing w:before="0" w:after="0" w:line="240" w:lineRule="auto"/>
            </w:pPr>
            <w:r>
              <w:rPr>
                <w:color w:val="000000"/>
                <w:sz w:val="16"/>
                <w:szCs w:val="16"/>
              </w:rPr>
              <w:t>Prevod  do n</w:t>
            </w:r>
            <w:r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24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62D0E362">
            <w:pPr>
              <w:spacing w:before="0" w:after="0" w:line="240" w:lineRule="auto"/>
              <w:jc w:val="center"/>
              <w:rPr>
                <w:rFonts w:hint="default"/>
                <w:lang w:val="sk-SK"/>
              </w:rPr>
            </w:pPr>
            <w:r>
              <w:rPr>
                <w:rFonts w:hint="default"/>
                <w:color w:val="000000"/>
                <w:sz w:val="16"/>
                <w:szCs w:val="16"/>
                <w:lang w:val="sk-SK"/>
              </w:rPr>
              <w:t>-656,37</w:t>
            </w:r>
          </w:p>
        </w:tc>
      </w:tr>
      <w:tr w14:paraId="77BA269F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146" w:hRule="atLeast"/>
        </w:trPr>
        <w:tc>
          <w:tcPr>
            <w:tcW w:w="543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5F13985E">
            <w:pPr>
              <w:spacing w:before="0" w:after="0" w:line="240" w:lineRule="auto"/>
            </w:pPr>
            <w:r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24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053C0A0C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</w:tbl>
    <w:p w14:paraId="5CE54310">
      <w:pPr>
        <w:numPr>
          <w:ilvl w:val="0"/>
          <w:numId w:val="5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Opis a výška cudzích zdrojov, a to</w:t>
      </w:r>
    </w:p>
    <w:p w14:paraId="55318C54">
      <w:pPr>
        <w:numPr>
          <w:ilvl w:val="0"/>
          <w:numId w:val="9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</w:t>
      </w:r>
    </w:p>
    <w:p w14:paraId="5669BAF3">
      <w:pPr>
        <w:spacing w:before="0" w:after="120" w:line="240" w:lineRule="auto"/>
        <w:ind w:left="360" w:firstLine="0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14 písm. a) o  tvorbe a použití rezerv</w:t>
      </w:r>
    </w:p>
    <w:tbl>
      <w:tblPr>
        <w:tblStyle w:val="6"/>
        <w:tblW w:w="5000" w:type="pct"/>
        <w:tblInd w:w="-43" w:type="dxa"/>
        <w:tblBorders>
          <w:top w:val="single" w:color="00000A" w:sz="4" w:space="0"/>
          <w:left w:val="single" w:color="00000A" w:sz="4" w:space="0"/>
          <w:bottom w:val="single" w:color="00000A" w:sz="4" w:space="0"/>
          <w:right w:val="single" w:color="00000A" w:sz="4" w:space="0"/>
          <w:insideH w:val="single" w:color="00000A" w:sz="4" w:space="0"/>
          <w:insideV w:val="single" w:color="00000A" w:sz="4" w:space="0"/>
        </w:tblBorders>
        <w:tblLayout w:type="autofit"/>
        <w:tblCellMar>
          <w:top w:w="0" w:type="dxa"/>
          <w:left w:w="63" w:type="dxa"/>
          <w:bottom w:w="0" w:type="dxa"/>
          <w:right w:w="108" w:type="dxa"/>
        </w:tblCellMar>
      </w:tblPr>
      <w:tblGrid>
        <w:gridCol w:w="3318"/>
        <w:gridCol w:w="1097"/>
        <w:gridCol w:w="1435"/>
        <w:gridCol w:w="1435"/>
        <w:gridCol w:w="1434"/>
        <w:gridCol w:w="1430"/>
      </w:tblGrid>
      <w:tr w14:paraId="46B0AA89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26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49F17FB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Druh rezervy</w:t>
            </w:r>
          </w:p>
        </w:tc>
        <w:tc>
          <w:tcPr>
            <w:tcW w:w="107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2DAAD278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012C459C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Tvorba rezerv</w:t>
            </w:r>
          </w:p>
        </w:tc>
        <w:tc>
          <w:tcPr>
            <w:tcW w:w="141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44DD4608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Použitie rezerv</w:t>
            </w:r>
          </w:p>
        </w:tc>
        <w:tc>
          <w:tcPr>
            <w:tcW w:w="141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388A06B2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Zrušenie alebo zníženie rezerv</w:t>
            </w:r>
          </w:p>
        </w:tc>
        <w:tc>
          <w:tcPr>
            <w:tcW w:w="140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03640C31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14:paraId="06FD8467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26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0C31E34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07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4E0E0DA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18359DB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710D7AA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7854AF8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0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1D98BD9E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14:paraId="39B31308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26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1FA9798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07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4CEB71D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72A78D1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4A54A0C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21E4F2D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0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2671F3B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14:paraId="032665EE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26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1AF63B42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Zákonné rezervy spolu</w:t>
            </w:r>
          </w:p>
        </w:tc>
        <w:tc>
          <w:tcPr>
            <w:tcW w:w="107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3DA53F25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41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052C3306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41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7F27AFB6">
            <w:pPr>
              <w:spacing w:before="0" w:after="0" w:line="240" w:lineRule="auto"/>
              <w:jc w:val="right"/>
              <w:rPr>
                <w:highlight w:val="yellow"/>
              </w:rPr>
            </w:pPr>
          </w:p>
        </w:tc>
        <w:tc>
          <w:tcPr>
            <w:tcW w:w="141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20CCFD15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40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6D3B18E8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</w:p>
        </w:tc>
      </w:tr>
      <w:tr w14:paraId="0118D727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26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0A3783C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Rezerva na štatutárny audit</w:t>
            </w:r>
          </w:p>
        </w:tc>
        <w:tc>
          <w:tcPr>
            <w:tcW w:w="107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0608592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1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231692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1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6455504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1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3654983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530712D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14:paraId="705933EC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26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0C38BA8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Rezerva na nevyčerpanú dovolenku vrát. odvodov</w:t>
            </w:r>
          </w:p>
        </w:tc>
        <w:tc>
          <w:tcPr>
            <w:tcW w:w="107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3742C8E4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1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72077BB2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1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20B502A4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1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75900B1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06A19BFB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0,00</w:t>
            </w:r>
          </w:p>
        </w:tc>
      </w:tr>
      <w:tr w14:paraId="73C4CED2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26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1597AD9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Ostatné rezervy spolu</w:t>
            </w:r>
          </w:p>
        </w:tc>
        <w:tc>
          <w:tcPr>
            <w:tcW w:w="107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39C9BB4F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1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5587677D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1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1160CDFA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1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0F06A54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72FD5AC7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0,00</w:t>
            </w:r>
          </w:p>
        </w:tc>
      </w:tr>
      <w:tr w14:paraId="7D0DA426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26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5AAB91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Rezervy spolu</w:t>
            </w:r>
          </w:p>
        </w:tc>
        <w:tc>
          <w:tcPr>
            <w:tcW w:w="107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35499942">
            <w:pPr>
              <w:spacing w:before="0"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1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591B1A60">
            <w:pPr>
              <w:spacing w:before="0"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1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1AB261DA">
            <w:pPr>
              <w:spacing w:before="0"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1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64A22A50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42ACFB59">
            <w:pPr>
              <w:spacing w:before="0"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</w:tbl>
    <w:p w14:paraId="6B751E86">
      <w:pPr>
        <w:numPr>
          <w:ilvl w:val="0"/>
          <w:numId w:val="9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údaje o významných položkách na účtoch 325 - Ostatné záväzky a 379 – Iné záväzky; uvádza sa začiatočný stav, prírastky, úbytky a konečný zostatok podľa jednotlivých druhov záväzkov,</w:t>
      </w:r>
    </w:p>
    <w:tbl>
      <w:tblPr>
        <w:tblStyle w:val="6"/>
        <w:tblW w:w="9921" w:type="dxa"/>
        <w:tblInd w:w="-43" w:type="dxa"/>
        <w:tblBorders>
          <w:top w:val="single" w:color="00000A" w:sz="4" w:space="0"/>
          <w:left w:val="single" w:color="00000A" w:sz="4" w:space="0"/>
          <w:bottom w:val="single" w:color="00000A" w:sz="4" w:space="0"/>
          <w:right w:val="single" w:color="00000A" w:sz="4" w:space="0"/>
          <w:insideH w:val="single" w:color="00000A" w:sz="4" w:space="0"/>
          <w:insideV w:val="single" w:color="00000A" w:sz="4" w:space="0"/>
        </w:tblBorders>
        <w:tblLayout w:type="autofit"/>
        <w:tblCellMar>
          <w:top w:w="0" w:type="dxa"/>
          <w:left w:w="63" w:type="dxa"/>
          <w:bottom w:w="0" w:type="dxa"/>
          <w:right w:w="108" w:type="dxa"/>
        </w:tblCellMar>
      </w:tblPr>
      <w:tblGrid>
        <w:gridCol w:w="4393"/>
        <w:gridCol w:w="1336"/>
        <w:gridCol w:w="1357"/>
        <w:gridCol w:w="1559"/>
        <w:gridCol w:w="1276"/>
      </w:tblGrid>
      <w:tr w14:paraId="231C80DB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39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42D9B51A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33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700CC792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35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133DD3D8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29750754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27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3CECDA32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Konečný zostatok</w:t>
            </w:r>
          </w:p>
        </w:tc>
      </w:tr>
      <w:tr w14:paraId="71DF01BD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39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4FDA9C1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n/a</w:t>
            </w:r>
          </w:p>
        </w:tc>
        <w:tc>
          <w:tcPr>
            <w:tcW w:w="133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098AF1E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35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47889DC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2F8F12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4CBECB1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14:paraId="6E4A3381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39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4E10A79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Iné záväzky spolu</w:t>
            </w:r>
          </w:p>
        </w:tc>
        <w:tc>
          <w:tcPr>
            <w:tcW w:w="133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73A9B516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35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1B10790C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5C249DED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76B5041D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</w:tbl>
    <w:p w14:paraId="5640672A">
      <w:pPr>
        <w:numPr>
          <w:ilvl w:val="0"/>
          <w:numId w:val="9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prehľad  o výške záväzkov do lehoty splatnosti a po lehote splatnosti,</w:t>
      </w:r>
    </w:p>
    <w:tbl>
      <w:tblPr>
        <w:tblStyle w:val="6"/>
        <w:tblW w:w="9921" w:type="dxa"/>
        <w:tblInd w:w="-43" w:type="dxa"/>
        <w:tblBorders>
          <w:top w:val="single" w:color="00000A" w:sz="4" w:space="0"/>
          <w:left w:val="single" w:color="00000A" w:sz="4" w:space="0"/>
          <w:bottom w:val="single" w:color="00000A" w:sz="4" w:space="0"/>
          <w:right w:val="single" w:color="00000A" w:sz="4" w:space="0"/>
          <w:insideH w:val="single" w:color="00000A" w:sz="4" w:space="0"/>
          <w:insideV w:val="single" w:color="00000A" w:sz="4" w:space="0"/>
        </w:tblBorders>
        <w:tblLayout w:type="autofit"/>
        <w:tblCellMar>
          <w:top w:w="0" w:type="dxa"/>
          <w:left w:w="63" w:type="dxa"/>
          <w:bottom w:w="0" w:type="dxa"/>
          <w:right w:w="108" w:type="dxa"/>
        </w:tblCellMar>
      </w:tblPr>
      <w:tblGrid>
        <w:gridCol w:w="4393"/>
        <w:gridCol w:w="2691"/>
        <w:gridCol w:w="2837"/>
      </w:tblGrid>
      <w:tr w14:paraId="01321457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393" w:type="dxa"/>
            <w:vMerge w:val="restart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</w:tcPr>
          <w:p w14:paraId="1543F07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5528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3B4596E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 w14:paraId="2ECFB52C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393" w:type="dxa"/>
            <w:vMerge w:val="continue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</w:tcPr>
          <w:p w14:paraId="77896E4A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69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22DB4B81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49CFE229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14:paraId="095B8388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39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48DAE01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do lehoty splatnosti</w:t>
            </w:r>
          </w:p>
        </w:tc>
        <w:tc>
          <w:tcPr>
            <w:tcW w:w="269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2484E337">
            <w:pPr>
              <w:spacing w:before="0" w:after="0" w:line="240" w:lineRule="auto"/>
              <w:jc w:val="right"/>
              <w:rPr>
                <w:highlight w:val="yellow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83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13BFE376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0,00</w:t>
            </w:r>
          </w:p>
        </w:tc>
      </w:tr>
      <w:tr w14:paraId="6B88DF46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39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3AA70FB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269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702C6BE6">
            <w:pPr>
              <w:spacing w:before="0" w:after="0" w:line="240" w:lineRule="auto"/>
              <w:jc w:val="right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83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1BD1A76E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14:paraId="5A37E84F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39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6F2F0FA8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Záväzky spolu</w:t>
            </w:r>
          </w:p>
        </w:tc>
        <w:tc>
          <w:tcPr>
            <w:tcW w:w="269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43580600">
            <w:pPr>
              <w:spacing w:before="0" w:after="0" w:line="240" w:lineRule="auto"/>
              <w:jc w:val="right"/>
              <w:rPr>
                <w:b/>
                <w:highlight w:val="yellow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83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7F040083">
            <w:pPr>
              <w:spacing w:before="0"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</w:tbl>
    <w:p w14:paraId="720838B4">
      <w:pPr>
        <w:spacing w:before="0" w:after="0" w:line="240" w:lineRule="auto"/>
        <w:ind w:left="363" w:firstLine="0"/>
        <w:rPr>
          <w:sz w:val="18"/>
          <w:szCs w:val="18"/>
        </w:rPr>
      </w:pPr>
    </w:p>
    <w:p w14:paraId="1585AD60">
      <w:pPr>
        <w:numPr>
          <w:ilvl w:val="0"/>
          <w:numId w:val="9"/>
        </w:numPr>
        <w:spacing w:before="0" w:after="0" w:line="240" w:lineRule="auto"/>
        <w:ind w:left="720" w:hanging="357"/>
        <w:rPr>
          <w:sz w:val="18"/>
          <w:szCs w:val="18"/>
        </w:rPr>
      </w:pPr>
      <w:r>
        <w:rPr>
          <w:sz w:val="18"/>
          <w:szCs w:val="18"/>
        </w:rPr>
        <w:t xml:space="preserve">prehľad o výške záväzkov podľa zostatkovej doby splatnosti v členení podľa položiek súvahy </w:t>
      </w:r>
    </w:p>
    <w:p w14:paraId="7A69741F">
      <w:pPr>
        <w:spacing w:before="0" w:after="0" w:line="240" w:lineRule="auto"/>
        <w:ind w:left="720" w:firstLine="0"/>
        <w:rPr>
          <w:sz w:val="18"/>
          <w:szCs w:val="18"/>
        </w:rPr>
      </w:pPr>
    </w:p>
    <w:p w14:paraId="2723A818">
      <w:pPr>
        <w:spacing w:before="0" w:after="120" w:line="240" w:lineRule="auto"/>
        <w:ind w:left="360" w:firstLine="0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14 písm. c) a d) o záväzkoch</w:t>
      </w:r>
    </w:p>
    <w:tbl>
      <w:tblPr>
        <w:tblStyle w:val="6"/>
        <w:tblW w:w="5000" w:type="pct"/>
        <w:tblInd w:w="-43" w:type="dxa"/>
        <w:tblBorders>
          <w:top w:val="single" w:color="00000A" w:sz="4" w:space="0"/>
          <w:left w:val="single" w:color="00000A" w:sz="4" w:space="0"/>
          <w:bottom w:val="single" w:color="00000A" w:sz="4" w:space="0"/>
          <w:right w:val="single" w:color="00000A" w:sz="4" w:space="0"/>
          <w:insideH w:val="single" w:color="00000A" w:sz="4" w:space="0"/>
          <w:insideV w:val="single" w:color="00000A" w:sz="4" w:space="0"/>
        </w:tblBorders>
        <w:tblLayout w:type="autofit"/>
        <w:tblCellMar>
          <w:top w:w="0" w:type="dxa"/>
          <w:left w:w="63" w:type="dxa"/>
          <w:bottom w:w="0" w:type="dxa"/>
          <w:right w:w="108" w:type="dxa"/>
        </w:tblCellMar>
      </w:tblPr>
      <w:tblGrid>
        <w:gridCol w:w="5066"/>
        <w:gridCol w:w="2539"/>
        <w:gridCol w:w="2544"/>
      </w:tblGrid>
      <w:tr w14:paraId="3642B5C3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981" w:type="dxa"/>
            <w:vMerge w:val="restart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1040A6B5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Druh záväzkov</w:t>
            </w:r>
          </w:p>
        </w:tc>
        <w:tc>
          <w:tcPr>
            <w:tcW w:w="4997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55009BD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 w14:paraId="6DA33F50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981" w:type="dxa"/>
            <w:vMerge w:val="continue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</w:tcPr>
          <w:p w14:paraId="759836D1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9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113BA1FC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50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03CBCE9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14:paraId="333DB590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98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2F9F1F2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249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1D87AF05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250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73AE1578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0,00</w:t>
            </w:r>
          </w:p>
        </w:tc>
      </w:tr>
      <w:tr w14:paraId="2ECC0955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98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0E13E08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49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3C7D21CA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250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03F92186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  <w:lang w:eastAsia="sk-SK"/>
              </w:rPr>
              <w:t>0,00</w:t>
            </w:r>
          </w:p>
        </w:tc>
      </w:tr>
      <w:tr w14:paraId="7FA28791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98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588E4D18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249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319C5396">
            <w:pPr>
              <w:spacing w:before="0" w:after="0" w:line="240" w:lineRule="auto"/>
              <w:jc w:val="right"/>
              <w:rPr>
                <w:b/>
                <w:highlight w:val="yellow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250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68A2B5DD">
            <w:pPr>
              <w:spacing w:before="0"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0,00</w:t>
            </w:r>
          </w:p>
        </w:tc>
      </w:tr>
      <w:tr w14:paraId="7610209A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98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73EE68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49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74F6D081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50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6E7AF96A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0,00</w:t>
            </w:r>
          </w:p>
        </w:tc>
      </w:tr>
      <w:tr w14:paraId="1F6F4881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98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696EF63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49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216128C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50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419F953E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14:paraId="26722089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98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542BAC1C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249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0E5122C3">
            <w:pPr>
              <w:spacing w:before="0" w:after="0" w:line="240" w:lineRule="auto"/>
              <w:jc w:val="right"/>
              <w:rPr>
                <w:b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250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2D1FB6AC">
            <w:pPr>
              <w:spacing w:before="0" w:after="0" w:line="240" w:lineRule="auto"/>
              <w:jc w:val="right"/>
              <w:rPr>
                <w:b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</w:tr>
      <w:tr w14:paraId="0400D924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98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3DABE0C4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Krátkodobé a dlhodobé záväzky spolu</w:t>
            </w:r>
          </w:p>
        </w:tc>
        <w:tc>
          <w:tcPr>
            <w:tcW w:w="249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6CBA8A33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250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3982FEF9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</w:tr>
    </w:tbl>
    <w:p w14:paraId="2507B297">
      <w:pPr>
        <w:numPr>
          <w:ilvl w:val="0"/>
          <w:numId w:val="9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14:paraId="72A964DA">
      <w:pPr>
        <w:spacing w:before="0" w:after="120" w:line="240" w:lineRule="auto"/>
        <w:ind w:left="360" w:firstLine="0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14 písm. e) o vývoji sociálneho fondu</w:t>
      </w:r>
    </w:p>
    <w:tbl>
      <w:tblPr>
        <w:tblStyle w:val="6"/>
        <w:tblW w:w="5000" w:type="pct"/>
        <w:tblInd w:w="-43" w:type="dxa"/>
        <w:tblBorders>
          <w:top w:val="single" w:color="00000A" w:sz="4" w:space="0"/>
          <w:left w:val="single" w:color="00000A" w:sz="4" w:space="0"/>
          <w:bottom w:val="single" w:color="00000A" w:sz="4" w:space="0"/>
          <w:right w:val="single" w:color="00000A" w:sz="4" w:space="0"/>
          <w:insideH w:val="single" w:color="00000A" w:sz="4" w:space="0"/>
          <w:insideV w:val="single" w:color="00000A" w:sz="4" w:space="0"/>
        </w:tblBorders>
        <w:tblLayout w:type="autofit"/>
        <w:tblCellMar>
          <w:top w:w="0" w:type="dxa"/>
          <w:left w:w="63" w:type="dxa"/>
          <w:bottom w:w="0" w:type="dxa"/>
          <w:right w:w="108" w:type="dxa"/>
        </w:tblCellMar>
      </w:tblPr>
      <w:tblGrid>
        <w:gridCol w:w="3784"/>
        <w:gridCol w:w="3201"/>
        <w:gridCol w:w="3164"/>
      </w:tblGrid>
      <w:tr w14:paraId="521C5648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72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7E3A399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Sociálny fond</w:t>
            </w:r>
          </w:p>
        </w:tc>
        <w:tc>
          <w:tcPr>
            <w:tcW w:w="314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39812377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311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2F52E305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14:paraId="676B17A7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72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5C2C5FD8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k prvému dňu účtovného obdobia</w:t>
            </w:r>
          </w:p>
        </w:tc>
        <w:tc>
          <w:tcPr>
            <w:tcW w:w="314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68930FA1">
            <w:pPr>
              <w:spacing w:before="0" w:after="0" w:line="240" w:lineRule="auto"/>
              <w:jc w:val="right"/>
              <w:rPr>
                <w:highlight w:val="yellow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11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2AFAECA8">
            <w:pPr>
              <w:spacing w:before="0" w:after="0" w:line="240" w:lineRule="auto"/>
              <w:jc w:val="right"/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14:paraId="64990432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72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65AB66F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Tvorba na ťarchu nákladov</w:t>
            </w:r>
          </w:p>
        </w:tc>
        <w:tc>
          <w:tcPr>
            <w:tcW w:w="314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035D354A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1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2D5DAB5B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0,00</w:t>
            </w:r>
          </w:p>
        </w:tc>
      </w:tr>
      <w:tr w14:paraId="014299A5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72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3DE479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Tvorba zo zisku</w:t>
            </w:r>
          </w:p>
        </w:tc>
        <w:tc>
          <w:tcPr>
            <w:tcW w:w="314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7733D28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1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0448277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14:paraId="5A8762F3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72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15A4783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Čerpanie</w:t>
            </w:r>
          </w:p>
        </w:tc>
        <w:tc>
          <w:tcPr>
            <w:tcW w:w="314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24D9BD46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1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27C33214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0,00</w:t>
            </w:r>
          </w:p>
        </w:tc>
      </w:tr>
      <w:tr w14:paraId="00FF8DD7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72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437658B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k poslednému dňu účtovného obdobia</w:t>
            </w:r>
          </w:p>
        </w:tc>
        <w:tc>
          <w:tcPr>
            <w:tcW w:w="314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38063D41">
            <w:pPr>
              <w:spacing w:before="0" w:after="0" w:line="240" w:lineRule="auto"/>
              <w:jc w:val="right"/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11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1BD3C950">
            <w:pPr>
              <w:spacing w:before="0"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</w:tbl>
    <w:p w14:paraId="7369341C">
      <w:pPr>
        <w:numPr>
          <w:ilvl w:val="0"/>
          <w:numId w:val="9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1B3FA2B5">
      <w:pPr>
        <w:numPr>
          <w:ilvl w:val="0"/>
          <w:numId w:val="9"/>
        </w:numPr>
        <w:spacing w:line="240" w:lineRule="auto"/>
      </w:pPr>
      <w:r>
        <w:rPr>
          <w:sz w:val="18"/>
          <w:szCs w:val="18"/>
        </w:rPr>
        <w:t>prehľad o významných položkách časového rozlíšenia výdavkov budúcich období.</w:t>
      </w:r>
    </w:p>
    <w:p w14:paraId="526EB81A">
      <w:pPr>
        <w:spacing w:before="0" w:after="0" w:line="240" w:lineRule="auto"/>
        <w:ind w:left="3" w:firstLine="0"/>
      </w:pPr>
      <w:r>
        <w:rPr>
          <w:sz w:val="18"/>
          <w:szCs w:val="18"/>
        </w:rPr>
        <w:t>Organizácia eviduje položky na tomto účte časového rozlíšenia:0</w:t>
      </w:r>
    </w:p>
    <w:p w14:paraId="320D2AF4">
      <w:pPr>
        <w:spacing w:before="0" w:after="0" w:line="240" w:lineRule="auto"/>
        <w:ind w:left="3" w:firstLine="0"/>
        <w:rPr>
          <w:sz w:val="18"/>
          <w:szCs w:val="18"/>
        </w:rPr>
      </w:pPr>
    </w:p>
    <w:p w14:paraId="38B863E1">
      <w:pPr>
        <w:numPr>
          <w:ilvl w:val="0"/>
          <w:numId w:val="5"/>
        </w:numPr>
        <w:spacing w:before="0" w:after="0" w:line="240" w:lineRule="auto"/>
        <w:ind w:left="360" w:hanging="357"/>
        <w:rPr>
          <w:sz w:val="18"/>
          <w:szCs w:val="18"/>
        </w:rPr>
      </w:pPr>
      <w:r>
        <w:rPr>
          <w:sz w:val="18"/>
          <w:szCs w:val="18"/>
        </w:rPr>
        <w:t xml:space="preserve">Prehľad o významných položkách výnosov budúcich období </w:t>
      </w:r>
    </w:p>
    <w:p w14:paraId="5AABA75A">
      <w:pPr>
        <w:spacing w:before="0" w:after="120" w:line="240" w:lineRule="auto"/>
        <w:rPr>
          <w:b/>
          <w:bCs/>
          <w:i/>
          <w:iCs/>
          <w:sz w:val="18"/>
          <w:szCs w:val="18"/>
        </w:rPr>
      </w:pPr>
    </w:p>
    <w:p w14:paraId="1883E2F1">
      <w:pPr>
        <w:spacing w:before="0" w:after="0" w:line="240" w:lineRule="auto"/>
        <w:rPr>
          <w:sz w:val="16"/>
          <w:szCs w:val="16"/>
        </w:rPr>
      </w:pPr>
      <w:bookmarkStart w:id="0" w:name="_GoBack"/>
      <w:bookmarkEnd w:id="0"/>
    </w:p>
    <w:p w14:paraId="7C51E496">
      <w:pPr>
        <w:numPr>
          <w:ilvl w:val="0"/>
          <w:numId w:val="5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Údaje o majetku prenajatom formou finančného prenájmu</w:t>
      </w:r>
    </w:p>
    <w:p w14:paraId="06D7EA3F">
      <w:pPr>
        <w:spacing w:before="0" w:after="12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Organizácia nemá prenajatý dlhodobý finančný majetok formou finančného lízingu. </w:t>
      </w:r>
    </w:p>
    <w:p w14:paraId="442A8DC7">
      <w:pPr>
        <w:keepNext/>
        <w:numPr>
          <w:ilvl w:val="0"/>
          <w:numId w:val="0"/>
        </w:numPr>
        <w:spacing w:before="0" w:after="0" w:line="240" w:lineRule="auto"/>
        <w:jc w:val="center"/>
        <w:outlineLvl w:val="0"/>
        <w:rPr>
          <w:b/>
          <w:bCs/>
        </w:rPr>
      </w:pPr>
    </w:p>
    <w:p w14:paraId="61AFB9AF">
      <w:pPr>
        <w:keepNext/>
        <w:numPr>
          <w:ilvl w:val="0"/>
          <w:numId w:val="0"/>
        </w:numPr>
        <w:spacing w:before="0" w:after="0" w:line="240" w:lineRule="auto"/>
        <w:jc w:val="center"/>
        <w:outlineLvl w:val="0"/>
        <w:rPr>
          <w:b/>
          <w:bCs/>
        </w:rPr>
      </w:pPr>
      <w:r>
        <w:rPr>
          <w:b/>
          <w:bCs/>
        </w:rPr>
        <w:t>Čl. IV</w:t>
      </w:r>
    </w:p>
    <w:p w14:paraId="44644254">
      <w:pPr>
        <w:keepNext/>
        <w:numPr>
          <w:ilvl w:val="0"/>
          <w:numId w:val="0"/>
        </w:numPr>
        <w:spacing w:before="0" w:after="120" w:line="240" w:lineRule="auto"/>
        <w:jc w:val="center"/>
        <w:outlineLvl w:val="1"/>
        <w:rPr>
          <w:b/>
          <w:bCs/>
        </w:rPr>
      </w:pPr>
      <w:r>
        <w:rPr>
          <w:b/>
          <w:bCs/>
        </w:rPr>
        <w:t>Informácie, ktoré dopĺňajú a vysvetľujú údaje vo výkaze ziskov a strát</w:t>
      </w:r>
    </w:p>
    <w:p w14:paraId="4C1A3919">
      <w:pPr>
        <w:keepNext/>
        <w:numPr>
          <w:ilvl w:val="0"/>
          <w:numId w:val="0"/>
        </w:numPr>
        <w:spacing w:before="0" w:after="120" w:line="240" w:lineRule="auto"/>
        <w:jc w:val="center"/>
        <w:outlineLvl w:val="1"/>
        <w:rPr>
          <w:b/>
          <w:bCs/>
        </w:rPr>
      </w:pPr>
    </w:p>
    <w:p w14:paraId="449499CC">
      <w:pPr>
        <w:numPr>
          <w:ilvl w:val="0"/>
          <w:numId w:val="10"/>
        </w:numPr>
        <w:spacing w:before="0" w:after="120" w:line="240" w:lineRule="auto"/>
        <w:ind w:left="360" w:hanging="357"/>
        <w:rPr>
          <w:sz w:val="18"/>
          <w:szCs w:val="18"/>
        </w:rPr>
      </w:pPr>
      <w:r>
        <w:rPr>
          <w:sz w:val="18"/>
          <w:szCs w:val="18"/>
        </w:rPr>
        <w:t>Prehľad tržieb za vlastné výkony a tovar s uvedením ich opisu a vyčíslením hodnoty tržieb podľa jednotlivých hlavných druhov výrobkov,  služieb hlavnej činnosti a podnikateľskej činnosti účtovnej jednotky.</w:t>
      </w:r>
    </w:p>
    <w:tbl>
      <w:tblPr>
        <w:tblStyle w:val="6"/>
        <w:tblW w:w="5000" w:type="pct"/>
        <w:jc w:val="right"/>
        <w:tblBorders>
          <w:top w:val="single" w:color="00000A" w:sz="6" w:space="0"/>
          <w:left w:val="single" w:color="00000A" w:sz="6" w:space="0"/>
          <w:bottom w:val="single" w:color="00000A" w:sz="6" w:space="0"/>
          <w:right w:val="single" w:color="00000A" w:sz="6" w:space="0"/>
          <w:insideH w:val="single" w:color="00000A" w:sz="6" w:space="0"/>
          <w:insideV w:val="single" w:color="00000A" w:sz="6" w:space="0"/>
        </w:tblBorders>
        <w:tblLayout w:type="autofit"/>
        <w:tblCellMar>
          <w:top w:w="0" w:type="dxa"/>
          <w:left w:w="-7" w:type="dxa"/>
          <w:bottom w:w="0" w:type="dxa"/>
          <w:right w:w="30" w:type="dxa"/>
        </w:tblCellMar>
      </w:tblPr>
      <w:tblGrid>
        <w:gridCol w:w="4040"/>
        <w:gridCol w:w="2984"/>
        <w:gridCol w:w="2992"/>
      </w:tblGrid>
      <w:tr w14:paraId="0BE3D098"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30" w:type="dxa"/>
          </w:tblCellMar>
        </w:tblPrEx>
        <w:trPr>
          <w:trHeight w:val="284" w:hRule="atLeast"/>
          <w:jc w:val="right"/>
        </w:trPr>
        <w:tc>
          <w:tcPr>
            <w:tcW w:w="402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  <w:insideH w:val="single" w:sz="6" w:space="0"/>
              <w:insideV w:val="single" w:sz="6" w:space="0"/>
            </w:tcBorders>
            <w:shd w:val="clear" w:color="auto" w:fill="auto"/>
            <w:tcMar>
              <w:left w:w="-7" w:type="dxa"/>
            </w:tcMar>
            <w:vAlign w:val="center"/>
          </w:tcPr>
          <w:p w14:paraId="4BAC03A9">
            <w:pPr>
              <w:pStyle w:val="4"/>
              <w:spacing w:before="0" w:after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Prehľad tržieb za vlastné výkony a služby, z toho</w:t>
            </w:r>
          </w:p>
        </w:tc>
        <w:tc>
          <w:tcPr>
            <w:tcW w:w="2973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  <w:insideH w:val="single" w:sz="6" w:space="0"/>
              <w:insideV w:val="single" w:sz="6" w:space="0"/>
            </w:tcBorders>
            <w:shd w:val="clear" w:color="auto" w:fill="auto"/>
            <w:tcMar>
              <w:left w:w="-7" w:type="dxa"/>
            </w:tcMar>
            <w:vAlign w:val="center"/>
          </w:tcPr>
          <w:p w14:paraId="71A7F977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298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  <w:insideH w:val="single" w:sz="6" w:space="0"/>
              <w:insideV w:val="single" w:sz="6" w:space="0"/>
            </w:tcBorders>
            <w:shd w:val="clear" w:color="auto" w:fill="auto"/>
            <w:tcMar>
              <w:left w:w="-7" w:type="dxa"/>
            </w:tcMar>
            <w:vAlign w:val="center"/>
          </w:tcPr>
          <w:p w14:paraId="58BEC0B2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Podnikateľská činnosť</w:t>
            </w:r>
          </w:p>
        </w:tc>
      </w:tr>
      <w:tr w14:paraId="43251F93"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30" w:type="dxa"/>
          </w:tblCellMar>
        </w:tblPrEx>
        <w:trPr>
          <w:trHeight w:val="284" w:hRule="atLeast"/>
          <w:jc w:val="right"/>
        </w:trPr>
        <w:tc>
          <w:tcPr>
            <w:tcW w:w="402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  <w:insideH w:val="single" w:sz="6" w:space="0"/>
              <w:insideV w:val="single" w:sz="6" w:space="0"/>
            </w:tcBorders>
            <w:shd w:val="clear" w:color="auto" w:fill="auto"/>
            <w:tcMar>
              <w:left w:w="-7" w:type="dxa"/>
            </w:tcMar>
            <w:vAlign w:val="center"/>
          </w:tcPr>
          <w:p w14:paraId="11B2EDCD">
            <w:pPr>
              <w:spacing w:before="0" w:after="0" w:line="240" w:lineRule="auto"/>
              <w:jc w:val="center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6301,90</w:t>
            </w:r>
          </w:p>
        </w:tc>
        <w:tc>
          <w:tcPr>
            <w:tcW w:w="2973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  <w:insideH w:val="single" w:sz="6" w:space="0"/>
              <w:insideV w:val="single" w:sz="6" w:space="0"/>
            </w:tcBorders>
            <w:shd w:val="clear" w:color="auto" w:fill="auto"/>
            <w:tcMar>
              <w:left w:w="-7" w:type="dxa"/>
            </w:tcMar>
            <w:vAlign w:val="center"/>
          </w:tcPr>
          <w:p w14:paraId="4F076286">
            <w:pPr>
              <w:spacing w:before="0" w:after="0" w:line="240" w:lineRule="auto"/>
              <w:jc w:val="center"/>
              <w:rPr>
                <w:rFonts w:hint="default"/>
                <w:lang w:val="sk-SK"/>
              </w:rPr>
            </w:pPr>
            <w:r>
              <w:rPr>
                <w:rFonts w:hint="default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298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  <w:insideH w:val="single" w:sz="6" w:space="0"/>
              <w:insideV w:val="single" w:sz="6" w:space="0"/>
            </w:tcBorders>
            <w:shd w:val="clear" w:color="auto" w:fill="auto"/>
            <w:tcMar>
              <w:left w:w="-7" w:type="dxa"/>
            </w:tcMar>
            <w:vAlign w:val="center"/>
          </w:tcPr>
          <w:p w14:paraId="03D35D1E">
            <w:pPr>
              <w:spacing w:before="0" w:after="0" w:line="240" w:lineRule="auto"/>
              <w:jc w:val="center"/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</w:tbl>
    <w:p w14:paraId="334BC92E">
      <w:pPr>
        <w:spacing w:before="0" w:after="0" w:line="240" w:lineRule="auto"/>
        <w:ind w:left="6" w:firstLine="0"/>
        <w:rPr>
          <w:sz w:val="18"/>
          <w:szCs w:val="18"/>
        </w:rPr>
      </w:pPr>
    </w:p>
    <w:p w14:paraId="1D21809B">
      <w:pPr>
        <w:spacing w:before="0" w:after="0" w:line="240" w:lineRule="auto"/>
        <w:ind w:left="6" w:firstLine="0"/>
        <w:rPr>
          <w:sz w:val="18"/>
          <w:szCs w:val="18"/>
        </w:rPr>
      </w:pPr>
    </w:p>
    <w:p w14:paraId="79C83B8D">
      <w:pPr>
        <w:numPr>
          <w:ilvl w:val="0"/>
          <w:numId w:val="10"/>
        </w:numPr>
        <w:spacing w:before="0" w:after="120" w:line="240" w:lineRule="auto"/>
        <w:ind w:left="360" w:hanging="357"/>
        <w:rPr>
          <w:sz w:val="18"/>
          <w:szCs w:val="18"/>
        </w:rPr>
      </w:pPr>
      <w:r>
        <w:rPr>
          <w:sz w:val="18"/>
          <w:szCs w:val="18"/>
        </w:rPr>
        <w:t xml:space="preserve">Opis a vyčíslenie hodnoty významných položiek prijatých darov, osobitných výnosov, zákonných poplatkov a iných ostatných výnosov. </w:t>
      </w:r>
    </w:p>
    <w:tbl>
      <w:tblPr>
        <w:tblStyle w:val="6"/>
        <w:tblW w:w="4900" w:type="pct"/>
        <w:tblInd w:w="-43" w:type="dxa"/>
        <w:tblBorders>
          <w:top w:val="single" w:color="00000A" w:sz="4" w:space="0"/>
          <w:left w:val="single" w:color="00000A" w:sz="4" w:space="0"/>
          <w:bottom w:val="single" w:color="00000A" w:sz="4" w:space="0"/>
          <w:right w:val="single" w:color="00000A" w:sz="4" w:space="0"/>
          <w:insideH w:val="single" w:color="00000A" w:sz="4" w:space="0"/>
          <w:insideV w:val="single" w:color="00000A" w:sz="4" w:space="0"/>
        </w:tblBorders>
        <w:tblLayout w:type="autofit"/>
        <w:tblCellMar>
          <w:top w:w="0" w:type="dxa"/>
          <w:left w:w="63" w:type="dxa"/>
          <w:bottom w:w="0" w:type="dxa"/>
          <w:right w:w="108" w:type="dxa"/>
        </w:tblCellMar>
      </w:tblPr>
      <w:tblGrid>
        <w:gridCol w:w="6835"/>
        <w:gridCol w:w="3111"/>
      </w:tblGrid>
      <w:tr w14:paraId="566E76F3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71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625660B2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305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5DE002FA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 w14:paraId="283A11B8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71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2C688DD0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Sponzorské príspevky</w:t>
            </w:r>
          </w:p>
        </w:tc>
        <w:tc>
          <w:tcPr>
            <w:tcW w:w="305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0DDB4282">
            <w:pPr>
              <w:spacing w:before="0" w:after="0" w:line="240" w:lineRule="auto"/>
              <w:jc w:val="center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1000,00</w:t>
            </w:r>
          </w:p>
        </w:tc>
      </w:tr>
      <w:tr w14:paraId="024375D0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71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1B0760C3">
            <w:pPr>
              <w:spacing w:before="0" w:after="0" w:line="240" w:lineRule="auto"/>
              <w:jc w:val="left"/>
              <w:rPr>
                <w:rFonts w:hint="default"/>
                <w:sz w:val="16"/>
                <w:szCs w:val="16"/>
                <w:lang w:val="sk-SK"/>
              </w:rPr>
            </w:pPr>
          </w:p>
        </w:tc>
        <w:tc>
          <w:tcPr>
            <w:tcW w:w="305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6AE1E15A">
            <w:pPr>
              <w:spacing w:before="0" w:after="0" w:line="240" w:lineRule="auto"/>
              <w:jc w:val="center"/>
              <w:rPr>
                <w:rFonts w:hint="default"/>
                <w:sz w:val="16"/>
                <w:szCs w:val="16"/>
                <w:lang w:val="sk-SK"/>
              </w:rPr>
            </w:pPr>
          </w:p>
        </w:tc>
      </w:tr>
    </w:tbl>
    <w:p w14:paraId="73B2E303">
      <w:pPr>
        <w:spacing w:before="0" w:after="0" w:line="240" w:lineRule="auto"/>
        <w:ind w:left="6" w:firstLine="0"/>
        <w:rPr>
          <w:sz w:val="18"/>
          <w:szCs w:val="18"/>
        </w:rPr>
      </w:pPr>
    </w:p>
    <w:p w14:paraId="41E0430E">
      <w:pPr>
        <w:spacing w:before="0" w:after="0" w:line="240" w:lineRule="auto"/>
        <w:ind w:left="6" w:firstLine="0"/>
        <w:rPr>
          <w:sz w:val="18"/>
          <w:szCs w:val="18"/>
        </w:rPr>
      </w:pPr>
    </w:p>
    <w:p w14:paraId="7C6B8F7C">
      <w:pPr>
        <w:numPr>
          <w:ilvl w:val="0"/>
          <w:numId w:val="10"/>
        </w:numPr>
        <w:spacing w:before="0" w:after="120" w:line="240" w:lineRule="auto"/>
        <w:ind w:left="360" w:hanging="357"/>
        <w:rPr>
          <w:sz w:val="18"/>
          <w:szCs w:val="18"/>
        </w:rPr>
      </w:pPr>
      <w:r>
        <w:rPr>
          <w:sz w:val="18"/>
          <w:szCs w:val="18"/>
        </w:rPr>
        <w:t>Prehľad  dotácií a grantov, ktoré účtovná jednotka prijala v priebehu bežného účtovného obdobia.</w:t>
      </w:r>
    </w:p>
    <w:tbl>
      <w:tblPr>
        <w:tblStyle w:val="6"/>
        <w:tblW w:w="4900" w:type="pct"/>
        <w:tblInd w:w="-43" w:type="dxa"/>
        <w:tblBorders>
          <w:top w:val="single" w:color="00000A" w:sz="4" w:space="0"/>
          <w:left w:val="single" w:color="00000A" w:sz="4" w:space="0"/>
          <w:bottom w:val="single" w:color="00000A" w:sz="4" w:space="0"/>
          <w:right w:val="single" w:color="00000A" w:sz="4" w:space="0"/>
          <w:insideH w:val="single" w:color="00000A" w:sz="4" w:space="0"/>
          <w:insideV w:val="single" w:color="00000A" w:sz="4" w:space="0"/>
        </w:tblBorders>
        <w:tblLayout w:type="autofit"/>
        <w:tblCellMar>
          <w:top w:w="0" w:type="dxa"/>
          <w:left w:w="63" w:type="dxa"/>
          <w:bottom w:w="0" w:type="dxa"/>
          <w:right w:w="108" w:type="dxa"/>
        </w:tblCellMar>
      </w:tblPr>
      <w:tblGrid>
        <w:gridCol w:w="6835"/>
        <w:gridCol w:w="3111"/>
      </w:tblGrid>
      <w:tr w14:paraId="5612D35D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71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0DF7B2B8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Prehľad dotácií a grantov</w:t>
            </w:r>
          </w:p>
        </w:tc>
        <w:tc>
          <w:tcPr>
            <w:tcW w:w="305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3CAFE7D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 w14:paraId="0E659FEB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71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50879667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Mesto MA</w:t>
            </w:r>
          </w:p>
        </w:tc>
        <w:tc>
          <w:tcPr>
            <w:tcW w:w="305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6810825F">
            <w:pPr>
              <w:spacing w:before="0" w:after="0" w:line="240" w:lineRule="auto"/>
              <w:jc w:val="center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3102,00</w:t>
            </w:r>
          </w:p>
        </w:tc>
      </w:tr>
      <w:tr w14:paraId="0EC13C2F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71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04BDB9B8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BSK</w:t>
            </w:r>
          </w:p>
        </w:tc>
        <w:tc>
          <w:tcPr>
            <w:tcW w:w="305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593B334A">
            <w:pPr>
              <w:spacing w:before="0" w:after="0" w:line="240" w:lineRule="auto"/>
              <w:jc w:val="center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1000,00</w:t>
            </w:r>
          </w:p>
        </w:tc>
      </w:tr>
    </w:tbl>
    <w:p w14:paraId="4A6D602C">
      <w:pPr>
        <w:spacing w:before="0" w:after="0" w:line="240" w:lineRule="auto"/>
        <w:ind w:left="6" w:firstLine="0"/>
        <w:rPr>
          <w:sz w:val="18"/>
          <w:szCs w:val="18"/>
        </w:rPr>
      </w:pPr>
    </w:p>
    <w:tbl>
      <w:tblPr>
        <w:tblStyle w:val="6"/>
        <w:tblW w:w="4899" w:type="pct"/>
        <w:tblInd w:w="-43" w:type="dxa"/>
        <w:tblBorders>
          <w:top w:val="single" w:color="00000A" w:sz="4" w:space="0"/>
          <w:left w:val="single" w:color="00000A" w:sz="4" w:space="0"/>
          <w:bottom w:val="single" w:color="00000A" w:sz="4" w:space="0"/>
          <w:right w:val="single" w:color="00000A" w:sz="4" w:space="0"/>
          <w:insideH w:val="single" w:color="00000A" w:sz="4" w:space="0"/>
          <w:insideV w:val="single" w:color="00000A" w:sz="4" w:space="0"/>
        </w:tblBorders>
        <w:tblLayout w:type="autofit"/>
        <w:tblCellMar>
          <w:top w:w="0" w:type="dxa"/>
          <w:left w:w="63" w:type="dxa"/>
          <w:bottom w:w="0" w:type="dxa"/>
          <w:right w:w="108" w:type="dxa"/>
        </w:tblCellMar>
      </w:tblPr>
      <w:tblGrid>
        <w:gridCol w:w="6833"/>
        <w:gridCol w:w="3111"/>
      </w:tblGrid>
      <w:tr w14:paraId="67B16B89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</w:tblPrEx>
        <w:trPr>
          <w:trHeight w:val="284" w:hRule="atLeast"/>
        </w:trPr>
        <w:tc>
          <w:tcPr>
            <w:tcW w:w="683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5CD02E07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Fond na podporu umenia</w:t>
            </w:r>
          </w:p>
        </w:tc>
        <w:tc>
          <w:tcPr>
            <w:tcW w:w="311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07DF7B79">
            <w:pPr>
              <w:spacing w:before="0" w:after="0" w:line="240" w:lineRule="auto"/>
              <w:jc w:val="center"/>
            </w:pPr>
          </w:p>
        </w:tc>
      </w:tr>
      <w:tr w14:paraId="26E0555C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83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1FEF7315">
            <w:pPr>
              <w:spacing w:before="0" w:after="0" w:line="240" w:lineRule="auto"/>
              <w:jc w:val="left"/>
            </w:pPr>
            <w:r>
              <w:rPr>
                <w:rFonts w:hint="default"/>
                <w:sz w:val="16"/>
                <w:szCs w:val="16"/>
                <w:lang w:val="sk-SK"/>
              </w:rPr>
              <w:t>MAS</w:t>
            </w:r>
          </w:p>
        </w:tc>
        <w:tc>
          <w:tcPr>
            <w:tcW w:w="311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34199C51">
            <w:pPr>
              <w:spacing w:before="0" w:after="0" w:line="240" w:lineRule="auto"/>
              <w:jc w:val="center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350,00</w:t>
            </w:r>
          </w:p>
        </w:tc>
      </w:tr>
      <w:tr w14:paraId="6640FF1C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83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72273116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2%</w:t>
            </w:r>
          </w:p>
        </w:tc>
        <w:tc>
          <w:tcPr>
            <w:tcW w:w="311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2415A938">
            <w:pPr>
              <w:spacing w:before="0" w:after="0" w:line="240" w:lineRule="auto"/>
              <w:jc w:val="center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2587,96</w:t>
            </w:r>
          </w:p>
        </w:tc>
      </w:tr>
    </w:tbl>
    <w:p w14:paraId="233C9E70">
      <w:pPr>
        <w:numPr>
          <w:ilvl w:val="0"/>
          <w:numId w:val="10"/>
        </w:numPr>
        <w:spacing w:before="0" w:after="120" w:line="240" w:lineRule="auto"/>
        <w:ind w:left="360" w:hanging="357"/>
        <w:rPr>
          <w:sz w:val="18"/>
          <w:szCs w:val="18"/>
        </w:rPr>
      </w:pPr>
      <w:r>
        <w:rPr>
          <w:sz w:val="18"/>
          <w:szCs w:val="18"/>
        </w:rPr>
        <w:t>Opis a suma významných položiek finančných výnosov; uvádza sa aj celková suma kurzových ziskov, pričom  osobitne sa uvádza hodnota kurzových ziskov účtovaná ku dňu, ku ktorému sa zostavuje účtovná závierka.</w:t>
      </w:r>
    </w:p>
    <w:p w14:paraId="55F33DBA">
      <w:pPr>
        <w:spacing w:before="0" w:after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Organizácia nevykazuje významné položky finančných výnosov. </w:t>
      </w:r>
    </w:p>
    <w:p w14:paraId="520F4611">
      <w:pPr>
        <w:spacing w:before="0" w:after="0" w:line="240" w:lineRule="auto"/>
        <w:rPr>
          <w:sz w:val="18"/>
          <w:szCs w:val="18"/>
        </w:rPr>
      </w:pPr>
    </w:p>
    <w:p w14:paraId="3A0B94D7">
      <w:pPr>
        <w:numPr>
          <w:ilvl w:val="0"/>
          <w:numId w:val="10"/>
        </w:numPr>
        <w:spacing w:before="0" w:after="120" w:line="240" w:lineRule="auto"/>
        <w:ind w:left="360" w:hanging="357"/>
        <w:rPr>
          <w:sz w:val="18"/>
          <w:szCs w:val="18"/>
        </w:rPr>
      </w:pPr>
      <w:r>
        <w:rPr>
          <w:sz w:val="18"/>
          <w:szCs w:val="18"/>
        </w:rPr>
        <w:t xml:space="preserve">Opis a vyčíslenie hodnoty významných položiek nákladov, nákladov na ostatné služby, osobitných nákladov a iných ostatných nákladov. </w:t>
      </w:r>
    </w:p>
    <w:tbl>
      <w:tblPr>
        <w:tblStyle w:val="6"/>
        <w:tblW w:w="4900" w:type="pct"/>
        <w:tblInd w:w="-43" w:type="dxa"/>
        <w:tblBorders>
          <w:top w:val="single" w:color="00000A" w:sz="4" w:space="0"/>
          <w:left w:val="single" w:color="00000A" w:sz="4" w:space="0"/>
          <w:bottom w:val="single" w:color="00000A" w:sz="4" w:space="0"/>
          <w:right w:val="single" w:color="00000A" w:sz="4" w:space="0"/>
          <w:insideH w:val="single" w:color="00000A" w:sz="4" w:space="0"/>
          <w:insideV w:val="single" w:color="00000A" w:sz="4" w:space="0"/>
        </w:tblBorders>
        <w:tblLayout w:type="autofit"/>
        <w:tblCellMar>
          <w:top w:w="0" w:type="dxa"/>
          <w:left w:w="63" w:type="dxa"/>
          <w:bottom w:w="0" w:type="dxa"/>
          <w:right w:w="108" w:type="dxa"/>
        </w:tblCellMar>
      </w:tblPr>
      <w:tblGrid>
        <w:gridCol w:w="6835"/>
        <w:gridCol w:w="3111"/>
      </w:tblGrid>
      <w:tr w14:paraId="64F88FFF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71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4D27652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Ostatné služby spolu</w:t>
            </w:r>
          </w:p>
        </w:tc>
        <w:tc>
          <w:tcPr>
            <w:tcW w:w="305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715BC3B0">
            <w:pPr>
              <w:spacing w:before="0" w:after="0" w:line="240" w:lineRule="auto"/>
              <w:jc w:val="center"/>
              <w:rPr>
                <w:rFonts w:hint="default"/>
                <w:lang w:val="sk-SK"/>
              </w:rPr>
            </w:pPr>
          </w:p>
        </w:tc>
      </w:tr>
      <w:tr w14:paraId="6934B4D4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71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38FF8262">
            <w:pPr>
              <w:spacing w:before="0" w:after="0" w:line="240" w:lineRule="auto"/>
              <w:jc w:val="left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Poplatky banke</w:t>
            </w:r>
          </w:p>
        </w:tc>
        <w:tc>
          <w:tcPr>
            <w:tcW w:w="305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75515346">
            <w:pPr>
              <w:spacing w:before="0" w:after="0" w:line="240" w:lineRule="auto"/>
              <w:jc w:val="center"/>
              <w:rPr>
                <w:rFonts w:hint="default"/>
                <w:lang w:val="sk-SK"/>
              </w:rPr>
            </w:pPr>
            <w:r>
              <w:rPr>
                <w:rFonts w:hint="default"/>
                <w:i/>
                <w:sz w:val="16"/>
                <w:szCs w:val="16"/>
                <w:lang w:val="sk-SK"/>
              </w:rPr>
              <w:t>107,25</w:t>
            </w:r>
          </w:p>
        </w:tc>
      </w:tr>
      <w:tr w14:paraId="4EA0BA2D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71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1F5249C8">
            <w:pPr>
              <w:spacing w:before="0" w:after="0" w:line="240" w:lineRule="auto"/>
              <w:jc w:val="left"/>
              <w:rPr>
                <w:rFonts w:hint="default"/>
                <w:lang w:val="sk-SK"/>
              </w:rPr>
            </w:pPr>
            <w:r>
              <w:rPr>
                <w:rFonts w:hint="default"/>
                <w:i/>
                <w:sz w:val="16"/>
                <w:szCs w:val="16"/>
                <w:lang w:val="sk-SK"/>
              </w:rPr>
              <w:t>služby</w:t>
            </w:r>
          </w:p>
        </w:tc>
        <w:tc>
          <w:tcPr>
            <w:tcW w:w="305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7B8C6E93">
            <w:pPr>
              <w:spacing w:before="0" w:after="0" w:line="240" w:lineRule="auto"/>
              <w:jc w:val="center"/>
              <w:rPr>
                <w:rFonts w:hint="default"/>
                <w:lang w:val="sk-SK"/>
              </w:rPr>
            </w:pPr>
            <w:r>
              <w:rPr>
                <w:rFonts w:hint="default"/>
                <w:i/>
                <w:sz w:val="16"/>
                <w:szCs w:val="16"/>
                <w:lang w:val="sk-SK"/>
              </w:rPr>
              <w:t>13116,38</w:t>
            </w:r>
          </w:p>
        </w:tc>
      </w:tr>
      <w:tr w14:paraId="7F52DA4E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71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352E9E53">
            <w:pPr>
              <w:spacing w:before="0" w:after="0" w:line="240" w:lineRule="auto"/>
              <w:jc w:val="left"/>
              <w:rPr>
                <w:rFonts w:hint="default"/>
                <w:lang w:val="sk-SK"/>
              </w:rPr>
            </w:pPr>
            <w:r>
              <w:rPr>
                <w:rFonts w:hint="default"/>
                <w:i/>
                <w:sz w:val="16"/>
                <w:szCs w:val="16"/>
                <w:lang w:val="sk-SK"/>
              </w:rPr>
              <w:t>Repre,drobný nákup</w:t>
            </w:r>
          </w:p>
        </w:tc>
        <w:tc>
          <w:tcPr>
            <w:tcW w:w="305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4B244673">
            <w:pPr>
              <w:spacing w:before="0" w:after="0" w:line="240" w:lineRule="auto"/>
              <w:jc w:val="center"/>
              <w:rPr>
                <w:rFonts w:hint="default"/>
                <w:lang w:val="sk-SK"/>
              </w:rPr>
            </w:pPr>
            <w:r>
              <w:rPr>
                <w:rFonts w:hint="default"/>
                <w:i/>
                <w:sz w:val="16"/>
                <w:szCs w:val="16"/>
                <w:lang w:val="sk-SK"/>
              </w:rPr>
              <w:t>1774,60</w:t>
            </w:r>
          </w:p>
        </w:tc>
      </w:tr>
      <w:tr w14:paraId="457A7C9D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71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0826A6D4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Iné ostatné náklady spolu</w:t>
            </w:r>
          </w:p>
        </w:tc>
        <w:tc>
          <w:tcPr>
            <w:tcW w:w="305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3FE96DDE">
            <w:pPr>
              <w:spacing w:before="0" w:after="0" w:line="240" w:lineRule="auto"/>
              <w:jc w:val="center"/>
              <w:rPr>
                <w:rFonts w:hint="default"/>
                <w:lang w:val="sk-SK"/>
              </w:rPr>
            </w:pPr>
            <w:r>
              <w:rPr>
                <w:rFonts w:hint="default"/>
                <w:b/>
                <w:sz w:val="16"/>
                <w:szCs w:val="16"/>
                <w:lang w:val="sk-SK"/>
              </w:rPr>
              <w:t>14998,23</w:t>
            </w:r>
          </w:p>
        </w:tc>
      </w:tr>
    </w:tbl>
    <w:p w14:paraId="7DC5F357">
      <w:pPr>
        <w:spacing w:before="0" w:after="0" w:line="240" w:lineRule="auto"/>
        <w:ind w:left="6" w:firstLine="0"/>
        <w:rPr>
          <w:sz w:val="18"/>
          <w:szCs w:val="18"/>
        </w:rPr>
      </w:pPr>
    </w:p>
    <w:p w14:paraId="24CE9815">
      <w:pPr>
        <w:numPr>
          <w:ilvl w:val="0"/>
          <w:numId w:val="10"/>
        </w:numPr>
        <w:spacing w:before="0" w:after="120" w:line="240" w:lineRule="auto"/>
        <w:ind w:left="360" w:hanging="357"/>
        <w:rPr>
          <w:sz w:val="18"/>
          <w:szCs w:val="18"/>
        </w:rPr>
      </w:pPr>
      <w:r>
        <w:rPr>
          <w:sz w:val="18"/>
          <w:szCs w:val="18"/>
        </w:rPr>
        <w:t>Prehľad o účele a výške použitia podielu zaplatenej dane za bežné účtovné obdobie.</w:t>
      </w:r>
    </w:p>
    <w:p w14:paraId="24809471">
      <w:pPr>
        <w:spacing w:before="0" w:after="120" w:line="240" w:lineRule="auto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Tabuľka k čl. IV  ods. 6 o účele a výške použitia podielu zaplatenej dane    </w:t>
      </w:r>
    </w:p>
    <w:tbl>
      <w:tblPr>
        <w:tblStyle w:val="6"/>
        <w:tblW w:w="4900" w:type="pct"/>
        <w:tblInd w:w="-43" w:type="dxa"/>
        <w:tblBorders>
          <w:top w:val="single" w:color="00000A" w:sz="4" w:space="0"/>
          <w:left w:val="single" w:color="00000A" w:sz="4" w:space="0"/>
          <w:bottom w:val="single" w:color="00000A" w:sz="4" w:space="0"/>
          <w:right w:val="single" w:color="00000A" w:sz="4" w:space="0"/>
          <w:insideH w:val="single" w:color="00000A" w:sz="4" w:space="0"/>
          <w:insideV w:val="single" w:color="00000A" w:sz="4" w:space="0"/>
        </w:tblBorders>
        <w:tblLayout w:type="autofit"/>
        <w:tblCellMar>
          <w:top w:w="0" w:type="dxa"/>
          <w:left w:w="63" w:type="dxa"/>
          <w:bottom w:w="0" w:type="dxa"/>
          <w:right w:w="108" w:type="dxa"/>
        </w:tblCellMar>
      </w:tblPr>
      <w:tblGrid>
        <w:gridCol w:w="4885"/>
        <w:gridCol w:w="2775"/>
        <w:gridCol w:w="2286"/>
      </w:tblGrid>
      <w:tr w14:paraId="74C5087B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80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29B49303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Účel použitia podielu zaplatenej dane</w:t>
            </w:r>
          </w:p>
        </w:tc>
        <w:tc>
          <w:tcPr>
            <w:tcW w:w="272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43CBEC7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224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62912129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Použitá suma bežného účtovného obdobia</w:t>
            </w:r>
          </w:p>
        </w:tc>
      </w:tr>
      <w:tr w14:paraId="3BC61E61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80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2E746A53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Materiál a služby</w:t>
            </w:r>
          </w:p>
        </w:tc>
        <w:tc>
          <w:tcPr>
            <w:tcW w:w="272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6C16DB5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24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4C7F1F29">
            <w:pPr>
              <w:spacing w:before="0" w:after="0" w:line="240" w:lineRule="auto"/>
              <w:jc w:val="right"/>
            </w:pPr>
            <w:r>
              <w:rPr>
                <w:rFonts w:hint="default"/>
                <w:sz w:val="16"/>
                <w:szCs w:val="16"/>
                <w:lang w:val="sk-SK"/>
              </w:rPr>
              <w:t>2587,96</w:t>
            </w:r>
          </w:p>
        </w:tc>
      </w:tr>
      <w:tr w14:paraId="71DF5FF6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80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193AF00B">
            <w:pPr>
              <w:spacing w:before="0" w:after="0" w:line="240" w:lineRule="auto"/>
              <w:jc w:val="left"/>
            </w:pPr>
          </w:p>
        </w:tc>
        <w:tc>
          <w:tcPr>
            <w:tcW w:w="272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30ED79E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24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1BB02F9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14:paraId="29CBD8AC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7531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370E823A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224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56383A90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</w:tbl>
    <w:p w14:paraId="7ADB5288">
      <w:pPr>
        <w:spacing w:before="0" w:after="0" w:line="240" w:lineRule="auto"/>
        <w:ind w:left="6" w:firstLine="0"/>
        <w:rPr>
          <w:sz w:val="18"/>
          <w:szCs w:val="18"/>
        </w:rPr>
      </w:pPr>
    </w:p>
    <w:p w14:paraId="11DD7F92">
      <w:pPr>
        <w:numPr>
          <w:ilvl w:val="0"/>
          <w:numId w:val="10"/>
        </w:numPr>
        <w:spacing w:before="0" w:after="120" w:line="240" w:lineRule="auto"/>
        <w:ind w:left="360" w:hanging="357"/>
        <w:rPr>
          <w:sz w:val="18"/>
          <w:szCs w:val="18"/>
        </w:rPr>
      </w:pPr>
      <w:r>
        <w:rPr>
          <w:sz w:val="18"/>
          <w:szCs w:val="18"/>
        </w:rPr>
        <w:t>Opis a suma významných položiek finančných nákladov; uvádza sa aj celková suma kurzových strát, pričom osobitne sa uvádza hodnota kurzových strát účtovaná ku dňu, ku ktorému sa zostavuje účtovná závierka.</w:t>
      </w:r>
    </w:p>
    <w:p w14:paraId="03570EB3">
      <w:pPr>
        <w:spacing w:before="0" w:after="0" w:line="240" w:lineRule="auto"/>
        <w:ind w:left="6" w:firstLine="0"/>
        <w:rPr>
          <w:sz w:val="18"/>
          <w:szCs w:val="18"/>
        </w:rPr>
      </w:pPr>
      <w:r>
        <w:rPr>
          <w:sz w:val="18"/>
          <w:szCs w:val="18"/>
        </w:rPr>
        <w:t xml:space="preserve">Organizácia nevykazuje významné položky finančných nákladov. </w:t>
      </w:r>
    </w:p>
    <w:p w14:paraId="73900A1D">
      <w:pPr>
        <w:spacing w:before="0" w:after="0" w:line="240" w:lineRule="auto"/>
        <w:ind w:left="6" w:firstLine="0"/>
        <w:rPr>
          <w:sz w:val="18"/>
          <w:szCs w:val="18"/>
        </w:rPr>
      </w:pPr>
    </w:p>
    <w:p w14:paraId="5C216B02">
      <w:pPr>
        <w:numPr>
          <w:ilvl w:val="0"/>
          <w:numId w:val="10"/>
        </w:numPr>
        <w:spacing w:before="0" w:after="120" w:line="240" w:lineRule="auto"/>
        <w:ind w:left="360" w:hanging="357"/>
        <w:rPr>
          <w:sz w:val="18"/>
          <w:szCs w:val="18"/>
        </w:rPr>
      </w:pPr>
      <w:r>
        <w:rPr>
          <w:sz w:val="18"/>
          <w:szCs w:val="18"/>
        </w:rPr>
        <w:t>V účtovnej jednotke, ktorá má povinnosť overenia účtovnej závierky audítorom, sa uvedie vymedzenie a suma nákladov za účtovné obdobie v členení na náklady za</w:t>
      </w:r>
    </w:p>
    <w:p w14:paraId="293E5B43">
      <w:pPr>
        <w:numPr>
          <w:ilvl w:val="0"/>
          <w:numId w:val="11"/>
        </w:numPr>
        <w:spacing w:before="0" w:after="0" w:line="240" w:lineRule="auto"/>
        <w:ind w:left="720" w:hanging="357"/>
        <w:rPr>
          <w:sz w:val="18"/>
          <w:szCs w:val="18"/>
        </w:rPr>
      </w:pPr>
      <w:r>
        <w:rPr>
          <w:sz w:val="18"/>
          <w:szCs w:val="18"/>
        </w:rPr>
        <w:t>overenie účtovnej závierky,</w:t>
      </w:r>
    </w:p>
    <w:p w14:paraId="74E6AEFE">
      <w:pPr>
        <w:numPr>
          <w:ilvl w:val="0"/>
          <w:numId w:val="11"/>
        </w:numPr>
        <w:spacing w:before="0" w:after="0" w:line="240" w:lineRule="auto"/>
        <w:ind w:left="720" w:hanging="357"/>
        <w:rPr>
          <w:sz w:val="18"/>
          <w:szCs w:val="18"/>
        </w:rPr>
      </w:pPr>
      <w:r>
        <w:rPr>
          <w:sz w:val="18"/>
          <w:szCs w:val="18"/>
        </w:rPr>
        <w:t>uisťovacie audítorské služby s výnimkou overenia účtovnej závierky,</w:t>
      </w:r>
    </w:p>
    <w:p w14:paraId="71B9B8E5">
      <w:pPr>
        <w:numPr>
          <w:ilvl w:val="0"/>
          <w:numId w:val="11"/>
        </w:numPr>
        <w:spacing w:before="0" w:after="0" w:line="240" w:lineRule="auto"/>
        <w:ind w:left="720" w:hanging="357"/>
        <w:rPr>
          <w:sz w:val="18"/>
          <w:szCs w:val="18"/>
        </w:rPr>
      </w:pPr>
      <w:r>
        <w:rPr>
          <w:sz w:val="18"/>
          <w:szCs w:val="18"/>
        </w:rPr>
        <w:t>súvisiace audítorské služby,</w:t>
      </w:r>
    </w:p>
    <w:p w14:paraId="59BA9F06">
      <w:pPr>
        <w:numPr>
          <w:ilvl w:val="0"/>
          <w:numId w:val="11"/>
        </w:numPr>
        <w:spacing w:before="0" w:after="0" w:line="240" w:lineRule="auto"/>
        <w:ind w:left="720" w:hanging="357"/>
        <w:rPr>
          <w:sz w:val="18"/>
          <w:szCs w:val="18"/>
        </w:rPr>
      </w:pPr>
      <w:r>
        <w:rPr>
          <w:sz w:val="18"/>
          <w:szCs w:val="18"/>
        </w:rPr>
        <w:t>daňové poradenstvo,</w:t>
      </w:r>
    </w:p>
    <w:p w14:paraId="23EC3B61">
      <w:pPr>
        <w:numPr>
          <w:ilvl w:val="0"/>
          <w:numId w:val="11"/>
        </w:numPr>
        <w:spacing w:before="0" w:after="120" w:line="240" w:lineRule="auto"/>
        <w:ind w:left="720" w:hanging="357"/>
        <w:rPr>
          <w:sz w:val="18"/>
          <w:szCs w:val="18"/>
        </w:rPr>
      </w:pPr>
      <w:r>
        <w:rPr>
          <w:sz w:val="18"/>
          <w:szCs w:val="18"/>
        </w:rPr>
        <w:t>ostatné neaudítorské služby.</w:t>
      </w:r>
    </w:p>
    <w:p w14:paraId="474A262D">
      <w:pPr>
        <w:spacing w:before="0" w:after="120" w:line="240" w:lineRule="auto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IV  ods. 8 o nákladoch vynaložených v súvislosti s auditom účtovnej závierky</w:t>
      </w:r>
    </w:p>
    <w:tbl>
      <w:tblPr>
        <w:tblStyle w:val="6"/>
        <w:tblW w:w="4900" w:type="pct"/>
        <w:tblInd w:w="-43" w:type="dxa"/>
        <w:tblBorders>
          <w:top w:val="single" w:color="00000A" w:sz="4" w:space="0"/>
          <w:left w:val="single" w:color="00000A" w:sz="4" w:space="0"/>
          <w:bottom w:val="single" w:color="00000A" w:sz="4" w:space="0"/>
          <w:right w:val="single" w:color="00000A" w:sz="4" w:space="0"/>
          <w:insideH w:val="single" w:color="00000A" w:sz="4" w:space="0"/>
          <w:insideV w:val="single" w:color="00000A" w:sz="4" w:space="0"/>
        </w:tblBorders>
        <w:tblLayout w:type="autofit"/>
        <w:tblCellMar>
          <w:top w:w="0" w:type="dxa"/>
          <w:left w:w="63" w:type="dxa"/>
          <w:bottom w:w="0" w:type="dxa"/>
          <w:right w:w="108" w:type="dxa"/>
        </w:tblCellMar>
      </w:tblPr>
      <w:tblGrid>
        <w:gridCol w:w="6722"/>
        <w:gridCol w:w="3224"/>
      </w:tblGrid>
      <w:tr w14:paraId="7DDEFB17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60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4415CBC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Jednotlivé druhy nákladov za</w:t>
            </w:r>
          </w:p>
        </w:tc>
        <w:tc>
          <w:tcPr>
            <w:tcW w:w="316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7AC044AF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Suma</w:t>
            </w:r>
          </w:p>
        </w:tc>
      </w:tr>
      <w:tr w14:paraId="504DC467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60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0FDED97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316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498D252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14:paraId="51A3D9A3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63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60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58668C8C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316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63" w:type="dxa"/>
            </w:tcMar>
            <w:vAlign w:val="center"/>
          </w:tcPr>
          <w:p w14:paraId="1DFA5A2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</w:tbl>
    <w:p w14:paraId="30E50D1D">
      <w:pPr>
        <w:spacing w:before="0" w:after="0" w:line="240" w:lineRule="auto"/>
        <w:rPr>
          <w:sz w:val="18"/>
          <w:szCs w:val="18"/>
        </w:rPr>
      </w:pPr>
    </w:p>
    <w:p w14:paraId="2A3D421D">
      <w:pPr>
        <w:keepNext/>
        <w:numPr>
          <w:ilvl w:val="0"/>
          <w:numId w:val="0"/>
        </w:numPr>
        <w:spacing w:before="0" w:after="0" w:line="240" w:lineRule="auto"/>
        <w:jc w:val="center"/>
        <w:outlineLvl w:val="0"/>
        <w:rPr>
          <w:b/>
          <w:bCs/>
        </w:rPr>
      </w:pPr>
      <w:r>
        <w:rPr>
          <w:b/>
          <w:bCs/>
        </w:rPr>
        <w:t>Čl. V</w:t>
      </w:r>
    </w:p>
    <w:p w14:paraId="44D9423F">
      <w:pPr>
        <w:keepNext/>
        <w:numPr>
          <w:ilvl w:val="0"/>
          <w:numId w:val="0"/>
        </w:numPr>
        <w:spacing w:before="0" w:after="120" w:line="240" w:lineRule="auto"/>
        <w:jc w:val="center"/>
        <w:outlineLvl w:val="1"/>
      </w:pPr>
      <w:r>
        <w:rPr>
          <w:b/>
          <w:bCs/>
        </w:rPr>
        <w:t>Opis údajov na podsúvahových účtoch</w:t>
      </w:r>
    </w:p>
    <w:p w14:paraId="4AE01FF2">
      <w:pPr>
        <w:spacing w:before="0" w:after="0" w:line="240" w:lineRule="auto"/>
        <w:rPr>
          <w:sz w:val="18"/>
          <w:szCs w:val="18"/>
        </w:rPr>
      </w:pPr>
    </w:p>
    <w:p w14:paraId="4E1225AC">
      <w:pPr>
        <w:keepNext/>
        <w:numPr>
          <w:ilvl w:val="0"/>
          <w:numId w:val="0"/>
        </w:numPr>
        <w:spacing w:before="0" w:after="0" w:line="240" w:lineRule="auto"/>
        <w:jc w:val="center"/>
        <w:outlineLvl w:val="0"/>
        <w:rPr>
          <w:b/>
          <w:bCs/>
        </w:rPr>
      </w:pPr>
      <w:r>
        <w:rPr>
          <w:b/>
          <w:bCs/>
        </w:rPr>
        <w:t>Čl. VI</w:t>
      </w:r>
    </w:p>
    <w:p w14:paraId="7C28D602">
      <w:pPr>
        <w:keepNext/>
        <w:numPr>
          <w:ilvl w:val="0"/>
          <w:numId w:val="0"/>
        </w:numPr>
        <w:spacing w:before="0" w:after="120" w:line="240" w:lineRule="auto"/>
        <w:jc w:val="center"/>
        <w:outlineLvl w:val="1"/>
        <w:rPr>
          <w:b/>
          <w:bCs/>
        </w:rPr>
      </w:pPr>
      <w:r>
        <w:rPr>
          <w:b/>
          <w:bCs/>
        </w:rPr>
        <w:t>Ďalšie informácie</w:t>
      </w:r>
    </w:p>
    <w:p w14:paraId="58E425D3">
      <w:pPr>
        <w:pStyle w:val="241"/>
        <w:numPr>
          <w:ilvl w:val="0"/>
          <w:numId w:val="12"/>
        </w:numPr>
        <w:rPr>
          <w:sz w:val="18"/>
          <w:szCs w:val="18"/>
        </w:rPr>
      </w:pPr>
      <w:r>
        <w:rPr>
          <w:sz w:val="18"/>
          <w:szCs w:val="18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4ACAE71B">
      <w:pPr>
        <w:pStyle w:val="241"/>
        <w:rPr>
          <w:sz w:val="18"/>
          <w:szCs w:val="18"/>
        </w:rPr>
      </w:pPr>
      <w:r>
        <w:rPr>
          <w:sz w:val="18"/>
          <w:szCs w:val="18"/>
        </w:rPr>
        <w:t>Účtovná jednotka nemá iné aktíva alebo pasíva, ktoré by nevykazovala v súvahe.</w:t>
      </w:r>
    </w:p>
    <w:p w14:paraId="736ED73A">
      <w:pPr>
        <w:pStyle w:val="241"/>
        <w:spacing w:before="0" w:after="0"/>
        <w:rPr>
          <w:sz w:val="18"/>
          <w:szCs w:val="18"/>
        </w:rPr>
      </w:pPr>
    </w:p>
    <w:p w14:paraId="5C081DD4">
      <w:pPr>
        <w:pStyle w:val="241"/>
        <w:numPr>
          <w:ilvl w:val="0"/>
          <w:numId w:val="12"/>
        </w:numPr>
        <w:spacing w:before="0" w:after="120"/>
        <w:ind w:left="357" w:hanging="357"/>
        <w:rPr>
          <w:sz w:val="18"/>
          <w:szCs w:val="18"/>
        </w:rPr>
      </w:pPr>
      <w:r>
        <w:rPr>
          <w:sz w:val="18"/>
          <w:szCs w:val="18"/>
        </w:rPr>
        <w:t>Opis a hodnota iných pasív vyplývajúcich zo súdnych rozhodnutí, z poskytnutých záruk, zo všeobecne záväzných právnych predpisov, z ručenia podľa jednotlivých druhov ručenia;  takýmito inými pasívami sú:</w:t>
      </w:r>
    </w:p>
    <w:p w14:paraId="066E633E">
      <w:pPr>
        <w:pStyle w:val="241"/>
        <w:numPr>
          <w:ilvl w:val="0"/>
          <w:numId w:val="13"/>
        </w:numPr>
        <w:spacing w:before="0" w:after="120"/>
        <w:rPr>
          <w:sz w:val="18"/>
          <w:szCs w:val="18"/>
        </w:rPr>
      </w:pPr>
      <w:r>
        <w:rPr>
          <w:sz w:val="18"/>
          <w:szCs w:val="18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58D925CA">
      <w:pPr>
        <w:pStyle w:val="241"/>
        <w:numPr>
          <w:ilvl w:val="0"/>
          <w:numId w:val="13"/>
        </w:numPr>
        <w:spacing w:before="0" w:after="120"/>
        <w:rPr>
          <w:sz w:val="18"/>
          <w:szCs w:val="18"/>
        </w:rPr>
      </w:pPr>
      <w:r>
        <w:rPr>
          <w:sz w:val="18"/>
          <w:szCs w:val="18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15075D25">
      <w:pPr>
        <w:pStyle w:val="241"/>
        <w:rPr>
          <w:sz w:val="18"/>
          <w:szCs w:val="18"/>
        </w:rPr>
      </w:pPr>
      <w:r>
        <w:rPr>
          <w:sz w:val="18"/>
          <w:szCs w:val="18"/>
        </w:rPr>
        <w:t>Účtovná jednotka nemá iné aktíva alebo pasíva, ktoré by nevykazovala v súvahe.</w:t>
      </w:r>
    </w:p>
    <w:p w14:paraId="3E7ACC56">
      <w:pPr>
        <w:pStyle w:val="241"/>
        <w:spacing w:before="0" w:after="0"/>
        <w:rPr>
          <w:sz w:val="18"/>
          <w:szCs w:val="18"/>
        </w:rPr>
      </w:pPr>
    </w:p>
    <w:p w14:paraId="7A1A1269">
      <w:pPr>
        <w:pStyle w:val="241"/>
        <w:numPr>
          <w:ilvl w:val="0"/>
          <w:numId w:val="12"/>
        </w:numPr>
        <w:spacing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179622F1">
      <w:pPr>
        <w:pStyle w:val="241"/>
        <w:numPr>
          <w:ilvl w:val="0"/>
          <w:numId w:val="14"/>
        </w:numPr>
        <w:spacing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povinnosť z devízových termínovaných obchodov a iných finančných derivátov,</w:t>
      </w:r>
    </w:p>
    <w:p w14:paraId="29942C0C">
      <w:pPr>
        <w:pStyle w:val="241"/>
        <w:numPr>
          <w:ilvl w:val="0"/>
          <w:numId w:val="14"/>
        </w:numPr>
        <w:spacing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povinnosť z opčných obchodov,</w:t>
      </w:r>
    </w:p>
    <w:p w14:paraId="463E34A3">
      <w:pPr>
        <w:pStyle w:val="241"/>
        <w:numPr>
          <w:ilvl w:val="0"/>
          <w:numId w:val="14"/>
        </w:numPr>
        <w:spacing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zákonná povinnosť alebo zmluvná povinnosť odobrať určité produkty alebo služby, napríklad z dodávateľských alebo odberateľských zmlúv,</w:t>
      </w:r>
    </w:p>
    <w:p w14:paraId="4A4C7DF2">
      <w:pPr>
        <w:pStyle w:val="241"/>
        <w:numPr>
          <w:ilvl w:val="0"/>
          <w:numId w:val="14"/>
        </w:numPr>
        <w:spacing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povinnosť z leasingových, nájomných, servisných, poistných, koncesionárskych, licenčných zmlúv a podobných zmlúv,</w:t>
      </w:r>
    </w:p>
    <w:p w14:paraId="6A4CAE0A">
      <w:pPr>
        <w:pStyle w:val="241"/>
        <w:numPr>
          <w:ilvl w:val="0"/>
          <w:numId w:val="14"/>
        </w:numPr>
        <w:spacing w:before="0" w:after="120"/>
        <w:ind w:left="720" w:hanging="357"/>
        <w:rPr>
          <w:sz w:val="18"/>
          <w:szCs w:val="18"/>
        </w:rPr>
      </w:pPr>
      <w:r>
        <w:rPr>
          <w:sz w:val="18"/>
          <w:szCs w:val="18"/>
        </w:rPr>
        <w:t xml:space="preserve">iné povinnosti. </w:t>
      </w:r>
    </w:p>
    <w:p w14:paraId="152BCF76">
      <w:pPr>
        <w:pStyle w:val="241"/>
        <w:rPr>
          <w:sz w:val="18"/>
          <w:szCs w:val="18"/>
        </w:rPr>
      </w:pPr>
      <w:r>
        <w:rPr>
          <w:sz w:val="18"/>
          <w:szCs w:val="18"/>
        </w:rPr>
        <w:t>Účtovná jednotka nemá ostatné finančné povinnosti, ktoré by nevykazovala v súvahe.</w:t>
      </w:r>
    </w:p>
    <w:p w14:paraId="5676DDB0">
      <w:pPr>
        <w:pStyle w:val="241"/>
        <w:spacing w:before="0" w:after="0"/>
        <w:rPr>
          <w:sz w:val="18"/>
          <w:szCs w:val="18"/>
        </w:rPr>
      </w:pPr>
    </w:p>
    <w:p w14:paraId="67D7066B">
      <w:pPr>
        <w:numPr>
          <w:ilvl w:val="0"/>
          <w:numId w:val="12"/>
        </w:numPr>
        <w:spacing w:before="0" w:after="120" w:line="240" w:lineRule="auto"/>
        <w:ind w:left="360" w:hanging="357"/>
        <w:rPr>
          <w:sz w:val="18"/>
          <w:szCs w:val="18"/>
        </w:rPr>
      </w:pPr>
      <w:r>
        <w:rPr>
          <w:sz w:val="18"/>
          <w:szCs w:val="18"/>
        </w:rPr>
        <w:t>Prehľad nehnuteľných kultúrnych pamiatok, ktoré sú v správe alebo vo vlastníctve účtovnej jednotky.</w:t>
      </w:r>
    </w:p>
    <w:p w14:paraId="53EB8E16">
      <w:pPr>
        <w:pStyle w:val="241"/>
        <w:rPr>
          <w:sz w:val="18"/>
          <w:szCs w:val="18"/>
        </w:rPr>
      </w:pPr>
      <w:r>
        <w:rPr>
          <w:sz w:val="18"/>
          <w:szCs w:val="18"/>
        </w:rPr>
        <w:t>Účtovná jednotka nemá vo vlastníctve ani v správe žiadne kultúrne pamiatky.</w:t>
      </w:r>
    </w:p>
    <w:p w14:paraId="71375C6A">
      <w:pPr>
        <w:numPr>
          <w:ilvl w:val="0"/>
          <w:numId w:val="12"/>
        </w:numPr>
        <w:spacing w:before="0" w:after="120" w:line="240" w:lineRule="auto"/>
        <w:ind w:left="360" w:hanging="357"/>
        <w:rPr>
          <w:sz w:val="18"/>
          <w:szCs w:val="18"/>
        </w:rPr>
      </w:pPr>
      <w:r>
        <w:rPr>
          <w:sz w:val="18"/>
          <w:szCs w:val="18"/>
        </w:rPr>
        <w:t>Informácie o významných skutočnostiach, ktoré nastali medzi dňom, ku ktorému sa zostavuje účtovná závierka a dňom jej zostavenia.</w:t>
      </w:r>
    </w:p>
    <w:p w14:paraId="3F1A4F5C">
      <w:pPr>
        <w:pStyle w:val="241"/>
        <w:spacing w:before="0" w:after="120"/>
        <w:ind w:left="3" w:firstLine="0"/>
      </w:pPr>
      <w:r>
        <w:rPr>
          <w:sz w:val="18"/>
          <w:szCs w:val="18"/>
        </w:rPr>
        <w:t>Medzi dňom zostavenia účtovnej závierky a dňom, ku ktorému sa účtovná závierka zostavuje, nenastali žiadne iné významné skutočnosti, ktoré by mali významný vplyv na údaje vykázané v účtovnej závierke.</w:t>
      </w:r>
    </w:p>
    <w:p w14:paraId="298DFBA5">
      <w:pPr>
        <w:pStyle w:val="241"/>
        <w:spacing w:before="0" w:after="0"/>
        <w:ind w:left="3" w:firstLine="0"/>
        <w:rPr>
          <w:sz w:val="18"/>
          <w:szCs w:val="18"/>
        </w:rPr>
      </w:pPr>
    </w:p>
    <w:p w14:paraId="3F262E05">
      <w:pPr>
        <w:spacing w:before="0" w:after="120" w:line="240" w:lineRule="auto"/>
        <w:ind w:left="3" w:firstLine="0"/>
      </w:pPr>
    </w:p>
    <w:sectPr>
      <w:footerReference r:id="rId5" w:type="default"/>
      <w:pgSz w:w="11906" w:h="16838"/>
      <w:pgMar w:top="1304" w:right="964" w:bottom="1021" w:left="964" w:header="0" w:footer="454" w:gutter="0"/>
      <w:pgNumType w:fmt="decimal" w:start="7"/>
      <w:cols w:space="720" w:num="1"/>
      <w:formProt w:val="0"/>
      <w:docGrid w:linePitch="272" w:charSpace="204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roman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EE"/>
    <w:family w:val="roman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Liberation Sans">
    <w:panose1 w:val="020B0604020202020204"/>
    <w:charset w:val="EE"/>
    <w:family w:val="roman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FADD43">
    <w:pPr>
      <w:pStyle w:val="10"/>
      <w:spacing w:before="120" w:after="120"/>
      <w:jc w:val="right"/>
    </w:pPr>
    <w:r>
      <w:fldChar w:fldCharType="begin"/>
    </w:r>
    <w:r>
      <w:instrText xml:space="preserve">PAGE</w:instrText>
    </w:r>
    <w:r>
      <w:fldChar w:fldCharType="separate"/>
    </w:r>
    <w:r>
      <w:t>9</w:t>
    </w:r>
    <w:r>
      <w:fldChar w:fldCharType="end"/>
    </w:r>
  </w:p>
  <w:p w14:paraId="285F2ABA">
    <w:pPr>
      <w:pStyle w:val="10"/>
      <w:spacing w:before="120" w:after="12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</w:pPr>
      <w:r>
        <w:separator/>
      </w:r>
    </w:p>
  </w:footnote>
  <w:footnote w:type="continuationSeparator" w:id="1">
    <w:p>
      <w:pPr>
        <w:spacing w:before="0" w:after="0"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9341B"/>
    <w:multiLevelType w:val="multilevel"/>
    <w:tmpl w:val="9239341B"/>
    <w:lvl w:ilvl="0" w:tentative="0">
      <w:start w:val="1"/>
      <w:numFmt w:val="decimal"/>
      <w:lvlText w:val="(%1)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B5E306ED"/>
    <w:multiLevelType w:val="multilevel"/>
    <w:tmpl w:val="B5E306ED"/>
    <w:lvl w:ilvl="0" w:tentative="0">
      <w:start w:val="1"/>
      <w:numFmt w:val="decimal"/>
      <w:lvlText w:val="(%1)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BF205925"/>
    <w:multiLevelType w:val="multilevel"/>
    <w:tmpl w:val="BF205925"/>
    <w:lvl w:ilvl="0" w:tentative="0">
      <w:start w:val="1"/>
      <w:numFmt w:val="upperLetter"/>
      <w:lvlText w:val="%1."/>
      <w:lvlJc w:val="left"/>
      <w:pPr>
        <w:tabs>
          <w:tab w:val="left" w:pos="360"/>
        </w:tabs>
        <w:ind w:left="360" w:hanging="360"/>
      </w:pPr>
      <w:rPr>
        <w:b/>
        <w:bCs/>
        <w:i w:val="0"/>
        <w:iCs w:val="0"/>
      </w:rPr>
    </w:lvl>
    <w:lvl w:ilvl="1" w:tentative="0">
      <w:start w:val="1"/>
      <w:numFmt w:val="lowerLetter"/>
      <w:lvlText w:val="%2)"/>
      <w:lvlJc w:val="left"/>
      <w:pPr>
        <w:tabs>
          <w:tab w:val="left" w:pos="720"/>
        </w:tabs>
        <w:ind w:left="720" w:hanging="360"/>
      </w:pPr>
      <w:rPr>
        <w:b w:val="0"/>
        <w:bCs w:val="0"/>
        <w:i w:val="0"/>
        <w:iCs w:val="0"/>
        <w:sz w:val="16"/>
      </w:rPr>
    </w:lvl>
    <w:lvl w:ilvl="2" w:tentative="0">
      <w:start w:val="1"/>
      <w:numFmt w:val="decimal"/>
      <w:lvlText w:val="%3."/>
      <w:lvlJc w:val="left"/>
      <w:pPr>
        <w:tabs>
          <w:tab w:val="left" w:pos="1080"/>
        </w:tabs>
        <w:ind w:left="1080" w:hanging="360"/>
      </w:pPr>
      <w:rPr>
        <w:b w:val="0"/>
        <w:bCs w:val="0"/>
        <w:i w:val="0"/>
        <w:iCs w:val="0"/>
        <w:sz w:val="18"/>
      </w:rPr>
    </w:lvl>
    <w:lvl w:ilvl="3" w:tentative="0">
      <w:start w:val="1"/>
      <w:numFmt w:val="none"/>
      <w:suff w:val="nothing"/>
      <w:lvlText w:val=""/>
      <w:lvlJc w:val="left"/>
      <w:pPr>
        <w:ind w:left="1440" w:hanging="360"/>
      </w:pPr>
    </w:lvl>
    <w:lvl w:ilvl="4" w:tentative="0">
      <w:start w:val="1"/>
      <w:numFmt w:val="none"/>
      <w:suff w:val="nothing"/>
      <w:lvlText w:val=""/>
      <w:lvlJc w:val="left"/>
      <w:pPr>
        <w:ind w:left="1800" w:hanging="360"/>
      </w:pPr>
    </w:lvl>
    <w:lvl w:ilvl="5" w:tentative="0">
      <w:start w:val="1"/>
      <w:numFmt w:val="none"/>
      <w:suff w:val="nothing"/>
      <w:lvlText w:val=""/>
      <w:lvlJc w:val="left"/>
      <w:pPr>
        <w:ind w:left="2160" w:hanging="360"/>
      </w:pPr>
    </w:lvl>
    <w:lvl w:ilvl="6" w:tentative="0">
      <w:start w:val="1"/>
      <w:numFmt w:val="none"/>
      <w:suff w:val="nothing"/>
      <w:lvlText w:val=""/>
      <w:lvlJc w:val="left"/>
      <w:pPr>
        <w:ind w:left="2520" w:hanging="360"/>
      </w:pPr>
    </w:lvl>
    <w:lvl w:ilvl="7" w:tentative="0">
      <w:start w:val="1"/>
      <w:numFmt w:val="none"/>
      <w:suff w:val="nothing"/>
      <w:lvlText w:val=""/>
      <w:lvlJc w:val="left"/>
      <w:pPr>
        <w:ind w:left="2880" w:hanging="360"/>
      </w:pPr>
    </w:lvl>
    <w:lvl w:ilvl="8" w:tentative="0">
      <w:start w:val="1"/>
      <w:numFmt w:val="none"/>
      <w:suff w:val="nothing"/>
      <w:lvlText w:val=""/>
      <w:lvlJc w:val="left"/>
      <w:pPr>
        <w:ind w:left="3240" w:hanging="360"/>
      </w:pPr>
    </w:lvl>
  </w:abstractNum>
  <w:abstractNum w:abstractNumId="3">
    <w:nsid w:val="C8879AEF"/>
    <w:multiLevelType w:val="multilevel"/>
    <w:tmpl w:val="C8879AEF"/>
    <w:lvl w:ilvl="0" w:tentative="0">
      <w:start w:val="1"/>
      <w:numFmt w:val="lowerLetter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CF092B84"/>
    <w:multiLevelType w:val="multilevel"/>
    <w:tmpl w:val="CF092B84"/>
    <w:lvl w:ilvl="0" w:tentative="0">
      <w:start w:val="1"/>
      <w:numFmt w:val="decimal"/>
      <w:lvlText w:val="(%1)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053208E"/>
    <w:multiLevelType w:val="multilevel"/>
    <w:tmpl w:val="0053208E"/>
    <w:lvl w:ilvl="0" w:tentative="0">
      <w:start w:val="1"/>
      <w:numFmt w:val="upperRoman"/>
      <w:pStyle w:val="2"/>
      <w:suff w:val="nothing"/>
      <w:lvlText w:val="Čl. %1."/>
      <w:lvlJc w:val="center"/>
      <w:pPr>
        <w:ind w:left="0" w:firstLine="0"/>
      </w:pPr>
      <w:rPr>
        <w:rFonts w:cs="Arial"/>
        <w:b/>
        <w:bCs/>
        <w:i w:val="0"/>
        <w:iCs w:val="0"/>
        <w:sz w:val="24"/>
        <w:szCs w:val="24"/>
      </w:rPr>
    </w:lvl>
    <w:lvl w:ilvl="1" w:tentative="0">
      <w:start w:val="1"/>
      <w:numFmt w:val="none"/>
      <w:suff w:val="nothing"/>
      <w:lvlText w:val=""/>
      <w:lvlJc w:val="left"/>
      <w:pPr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>
    <w:nsid w:val="0248C179"/>
    <w:multiLevelType w:val="multilevel"/>
    <w:tmpl w:val="0248C179"/>
    <w:lvl w:ilvl="0" w:tentative="0">
      <w:start w:val="1"/>
      <w:numFmt w:val="lowerLetter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3D62ECE"/>
    <w:multiLevelType w:val="multilevel"/>
    <w:tmpl w:val="03D62ECE"/>
    <w:lvl w:ilvl="0" w:tentative="0">
      <w:start w:val="1"/>
      <w:numFmt w:val="lowerLetter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B654F3"/>
    <w:multiLevelType w:val="multilevel"/>
    <w:tmpl w:val="25B654F3"/>
    <w:lvl w:ilvl="0" w:tentative="0">
      <w:start w:val="1"/>
      <w:numFmt w:val="lowerLetter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8F537B"/>
    <w:multiLevelType w:val="multilevel"/>
    <w:tmpl w:val="2A8F537B"/>
    <w:lvl w:ilvl="0" w:tentative="0">
      <w:start w:val="1"/>
      <w:numFmt w:val="lowerLetter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4DC07F"/>
    <w:multiLevelType w:val="multilevel"/>
    <w:tmpl w:val="4D4DC07F"/>
    <w:lvl w:ilvl="0" w:tentative="0">
      <w:start w:val="1"/>
      <w:numFmt w:val="lowerLetter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ADCABA"/>
    <w:multiLevelType w:val="multilevel"/>
    <w:tmpl w:val="59ADCABA"/>
    <w:lvl w:ilvl="0" w:tentative="0">
      <w:start w:val="1"/>
      <w:numFmt w:val="decimal"/>
      <w:lvlText w:val="(%1)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A241D34"/>
    <w:multiLevelType w:val="multilevel"/>
    <w:tmpl w:val="5A241D34"/>
    <w:lvl w:ilvl="0" w:tentative="0">
      <w:start w:val="1"/>
      <w:numFmt w:val="decimal"/>
      <w:lvlText w:val="(%1)"/>
      <w:lvlJc w:val="left"/>
      <w:pPr>
        <w:ind w:left="360" w:hanging="360"/>
      </w:pPr>
      <w:rPr>
        <w:sz w:val="18"/>
        <w:szCs w:val="16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2183CF9"/>
    <w:multiLevelType w:val="multilevel"/>
    <w:tmpl w:val="72183CF9"/>
    <w:lvl w:ilvl="0" w:tentative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 w:cs="Symbol"/>
        <w:sz w:val="16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 w:cs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 w:cs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 w:cs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 w:cs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 w:cs="Wingdings"/>
      </w:rPr>
    </w:lvl>
  </w:abstractNum>
  <w:num w:numId="1">
    <w:abstractNumId w:val="5"/>
  </w:num>
  <w:num w:numId="2">
    <w:abstractNumId w:val="4"/>
  </w:num>
  <w:num w:numId="3">
    <w:abstractNumId w:val="11"/>
  </w:num>
  <w:num w:numId="4">
    <w:abstractNumId w:val="2"/>
  </w:num>
  <w:num w:numId="5">
    <w:abstractNumId w:val="1"/>
  </w:num>
  <w:num w:numId="6">
    <w:abstractNumId w:val="7"/>
  </w:num>
  <w:num w:numId="7">
    <w:abstractNumId w:val="8"/>
  </w:num>
  <w:num w:numId="8">
    <w:abstractNumId w:val="13"/>
  </w:num>
  <w:num w:numId="9">
    <w:abstractNumId w:val="6"/>
  </w:num>
  <w:num w:numId="10">
    <w:abstractNumId w:val="0"/>
  </w:num>
  <w:num w:numId="11">
    <w:abstractNumId w:val="9"/>
  </w:num>
  <w:num w:numId="12">
    <w:abstractNumId w:val="12"/>
  </w:num>
  <w:num w:numId="13">
    <w:abstractNumId w:val="3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708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13526EC9"/>
    <w:rsid w:val="180C6C07"/>
    <w:rsid w:val="300D0F31"/>
    <w:rsid w:val="4175703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nhideWhenUsed="0" w:uiPriority="9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/>
      <w:bidi w:val="0"/>
      <w:spacing w:before="120" w:after="120" w:line="360" w:lineRule="auto"/>
      <w:jc w:val="both"/>
    </w:pPr>
    <w:rPr>
      <w:rFonts w:ascii="Arial Narrow" w:hAnsi="Arial Narrow" w:eastAsia="Times New Roman" w:cs="Arial Narrow"/>
      <w:color w:val="00000A"/>
      <w:sz w:val="20"/>
      <w:szCs w:val="20"/>
      <w:lang w:val="sk-SK" w:eastAsia="cs-CZ" w:bidi="ar-SA"/>
    </w:rPr>
  </w:style>
  <w:style w:type="paragraph" w:styleId="2">
    <w:name w:val="heading 1"/>
    <w:basedOn w:val="1"/>
    <w:link w:val="16"/>
    <w:qFormat/>
    <w:uiPriority w:val="99"/>
    <w:pPr>
      <w:keepNext/>
      <w:numPr>
        <w:ilvl w:val="0"/>
        <w:numId w:val="1"/>
      </w:numPr>
      <w:spacing w:line="240" w:lineRule="auto"/>
      <w:jc w:val="center"/>
      <w:outlineLvl w:val="0"/>
    </w:pPr>
    <w:rPr>
      <w:rFonts w:ascii="Cambria" w:hAnsi="Cambria" w:cs="Cambria"/>
      <w:b/>
      <w:bCs/>
      <w:sz w:val="32"/>
      <w:szCs w:val="32"/>
    </w:rPr>
  </w:style>
  <w:style w:type="paragraph" w:styleId="3">
    <w:name w:val="heading 2"/>
    <w:basedOn w:val="1"/>
    <w:link w:val="17"/>
    <w:qFormat/>
    <w:uiPriority w:val="99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4">
    <w:name w:val="heading 3"/>
    <w:basedOn w:val="1"/>
    <w:link w:val="18"/>
    <w:qFormat/>
    <w:uiPriority w:val="99"/>
    <w:pPr>
      <w:keepNext/>
      <w:spacing w:before="240" w:after="60" w:line="240" w:lineRule="auto"/>
      <w:jc w:val="left"/>
      <w:outlineLvl w:val="2"/>
    </w:pPr>
    <w:rPr>
      <w:rFonts w:ascii="Arial" w:hAnsi="Arial" w:cs="Arial"/>
      <w:b/>
      <w:bCs/>
      <w:sz w:val="26"/>
      <w:szCs w:val="26"/>
      <w:lang w:val="cs-CZ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alloon Text"/>
    <w:basedOn w:val="1"/>
    <w:link w:val="23"/>
    <w:semiHidden/>
    <w:qFormat/>
    <w:uiPriority w:val="9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8">
    <w:name w:val="Body Text"/>
    <w:basedOn w:val="1"/>
    <w:link w:val="21"/>
    <w:qFormat/>
    <w:uiPriority w:val="99"/>
    <w:pPr>
      <w:spacing w:before="0" w:after="0" w:line="240" w:lineRule="auto"/>
    </w:pPr>
    <w:rPr>
      <w:rFonts w:ascii="Arial" w:hAnsi="Arial" w:cs="Arial"/>
      <w:sz w:val="24"/>
      <w:szCs w:val="24"/>
      <w:lang w:val="de-DE"/>
    </w:rPr>
  </w:style>
  <w:style w:type="paragraph" w:styleId="9">
    <w:name w:val="caption"/>
    <w:basedOn w:val="1"/>
    <w:qFormat/>
    <w:uiPriority w:val="0"/>
    <w:pPr>
      <w:suppressLineNumbers/>
    </w:pPr>
    <w:rPr>
      <w:rFonts w:cs="Arial"/>
      <w:i/>
      <w:iCs/>
      <w:sz w:val="24"/>
      <w:szCs w:val="24"/>
    </w:rPr>
  </w:style>
  <w:style w:type="paragraph" w:styleId="10">
    <w:name w:val="footer"/>
    <w:basedOn w:val="1"/>
    <w:link w:val="20"/>
    <w:qFormat/>
    <w:uiPriority w:val="99"/>
    <w:pPr>
      <w:tabs>
        <w:tab w:val="center" w:pos="4536"/>
        <w:tab w:val="right" w:pos="9072"/>
      </w:tabs>
    </w:pPr>
    <w:rPr>
      <w:rFonts w:ascii="Arial" w:hAnsi="Arial" w:cs="Arial"/>
      <w:sz w:val="24"/>
      <w:szCs w:val="24"/>
    </w:rPr>
  </w:style>
  <w:style w:type="paragraph" w:styleId="11">
    <w:name w:val="header"/>
    <w:basedOn w:val="1"/>
    <w:link w:val="22"/>
    <w:uiPriority w:val="99"/>
    <w:pPr>
      <w:tabs>
        <w:tab w:val="center" w:pos="4536"/>
        <w:tab w:val="right" w:pos="9072"/>
      </w:tabs>
    </w:pPr>
  </w:style>
  <w:style w:type="paragraph" w:styleId="12">
    <w:name w:val="List"/>
    <w:basedOn w:val="8"/>
    <w:qFormat/>
    <w:uiPriority w:val="0"/>
  </w:style>
  <w:style w:type="character" w:styleId="13">
    <w:name w:val="page number"/>
    <w:basedOn w:val="5"/>
    <w:qFormat/>
    <w:uiPriority w:val="99"/>
  </w:style>
  <w:style w:type="character" w:styleId="14">
    <w:name w:val="Strong"/>
    <w:basedOn w:val="5"/>
    <w:qFormat/>
    <w:uiPriority w:val="99"/>
    <w:rPr>
      <w:b/>
      <w:bCs/>
    </w:rPr>
  </w:style>
  <w:style w:type="table" w:styleId="15">
    <w:name w:val="Table Grid"/>
    <w:basedOn w:val="6"/>
    <w:uiPriority w:val="99"/>
    <w:rPr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6">
    <w:name w:val="Nadpis 1 Char"/>
    <w:basedOn w:val="5"/>
    <w:link w:val="2"/>
    <w:qFormat/>
    <w:uiPriority w:val="99"/>
    <w:rPr>
      <w:rFonts w:ascii="Cambria" w:hAnsi="Cambria" w:cs="Cambria"/>
      <w:b/>
      <w:bCs/>
      <w:sz w:val="32"/>
      <w:szCs w:val="32"/>
      <w:lang w:eastAsia="cs-CZ"/>
    </w:rPr>
  </w:style>
  <w:style w:type="character" w:customStyle="1" w:styleId="17">
    <w:name w:val="Nadpis 2 Char"/>
    <w:basedOn w:val="5"/>
    <w:link w:val="3"/>
    <w:semiHidden/>
    <w:qFormat/>
    <w:uiPriority w:val="99"/>
    <w:rPr>
      <w:rFonts w:ascii="Cambria" w:hAnsi="Cambria" w:cs="Cambria"/>
      <w:b/>
      <w:bCs/>
      <w:i/>
      <w:iCs/>
      <w:sz w:val="28"/>
      <w:szCs w:val="28"/>
      <w:lang w:eastAsia="cs-CZ"/>
    </w:rPr>
  </w:style>
  <w:style w:type="character" w:customStyle="1" w:styleId="18">
    <w:name w:val="Nadpis 3 Char"/>
    <w:basedOn w:val="5"/>
    <w:link w:val="4"/>
    <w:qFormat/>
    <w:uiPriority w:val="99"/>
    <w:rPr>
      <w:rFonts w:ascii="Arial" w:hAnsi="Arial" w:cs="Arial"/>
      <w:b/>
      <w:bCs/>
      <w:sz w:val="26"/>
      <w:szCs w:val="26"/>
      <w:lang w:val="cs-CZ" w:eastAsia="cs-CZ"/>
    </w:rPr>
  </w:style>
  <w:style w:type="character" w:customStyle="1" w:styleId="19">
    <w:name w:val="Štýl Štýl § názov Char + 115 pt + Antique Olive Nie je Tučné"/>
    <w:qFormat/>
    <w:uiPriority w:val="99"/>
    <w:rPr>
      <w:rFonts w:ascii="Arial" w:hAnsi="Arial" w:cs="Arial"/>
      <w:b/>
      <w:bCs/>
      <w:sz w:val="20"/>
      <w:szCs w:val="20"/>
      <w:lang w:val="sk-SK" w:eastAsia="sk-SK"/>
    </w:rPr>
  </w:style>
  <w:style w:type="character" w:customStyle="1" w:styleId="20">
    <w:name w:val="Päta Char"/>
    <w:basedOn w:val="5"/>
    <w:link w:val="10"/>
    <w:qFormat/>
    <w:uiPriority w:val="99"/>
    <w:rPr>
      <w:rFonts w:ascii="Arial" w:hAnsi="Arial" w:cs="Arial"/>
      <w:sz w:val="24"/>
      <w:szCs w:val="24"/>
      <w:lang w:eastAsia="cs-CZ"/>
    </w:rPr>
  </w:style>
  <w:style w:type="character" w:customStyle="1" w:styleId="21">
    <w:name w:val="Základný text Char"/>
    <w:basedOn w:val="5"/>
    <w:link w:val="8"/>
    <w:qFormat/>
    <w:uiPriority w:val="99"/>
    <w:rPr>
      <w:rFonts w:ascii="Arial" w:hAnsi="Arial" w:cs="Arial"/>
      <w:sz w:val="24"/>
      <w:szCs w:val="24"/>
      <w:lang w:val="de-DE" w:eastAsia="cs-CZ"/>
    </w:rPr>
  </w:style>
  <w:style w:type="character" w:customStyle="1" w:styleId="22">
    <w:name w:val="Hlavička Char"/>
    <w:basedOn w:val="5"/>
    <w:link w:val="11"/>
    <w:qFormat/>
    <w:uiPriority w:val="99"/>
    <w:rPr>
      <w:rFonts w:ascii="Arial Narrow" w:hAnsi="Arial Narrow" w:cs="Arial Narrow"/>
      <w:sz w:val="24"/>
      <w:szCs w:val="24"/>
      <w:lang w:eastAsia="cs-CZ"/>
    </w:rPr>
  </w:style>
  <w:style w:type="character" w:customStyle="1" w:styleId="23">
    <w:name w:val="Text bubliny Char"/>
    <w:basedOn w:val="5"/>
    <w:link w:val="7"/>
    <w:semiHidden/>
    <w:qFormat/>
    <w:uiPriority w:val="99"/>
    <w:rPr>
      <w:rFonts w:ascii="Tahoma" w:hAnsi="Tahoma" w:cs="Tahoma"/>
      <w:sz w:val="16"/>
      <w:szCs w:val="16"/>
      <w:lang w:eastAsia="cs-CZ"/>
    </w:rPr>
  </w:style>
  <w:style w:type="character" w:customStyle="1" w:styleId="24">
    <w:name w:val="ListLabel 1"/>
    <w:qFormat/>
    <w:uiPriority w:val="0"/>
    <w:rPr>
      <w:rFonts w:cs="Arial"/>
      <w:b/>
      <w:bCs/>
      <w:sz w:val="24"/>
      <w:szCs w:val="24"/>
    </w:rPr>
  </w:style>
  <w:style w:type="character" w:customStyle="1" w:styleId="25">
    <w:name w:val="ListLabel 2"/>
    <w:qFormat/>
    <w:uiPriority w:val="0"/>
  </w:style>
  <w:style w:type="character" w:customStyle="1" w:styleId="26">
    <w:name w:val="ListLabel 3"/>
    <w:qFormat/>
    <w:uiPriority w:val="0"/>
    <w:rPr>
      <w:rFonts w:cs="Arial"/>
      <w:b/>
      <w:bCs/>
      <w:sz w:val="24"/>
      <w:szCs w:val="24"/>
    </w:rPr>
  </w:style>
  <w:style w:type="character" w:customStyle="1" w:styleId="27">
    <w:name w:val="ListLabel 4"/>
    <w:qFormat/>
    <w:uiPriority w:val="0"/>
  </w:style>
  <w:style w:type="character" w:customStyle="1" w:styleId="28">
    <w:name w:val="ListLabel 5"/>
    <w:qFormat/>
    <w:uiPriority w:val="0"/>
    <w:rPr>
      <w:b/>
      <w:bCs/>
    </w:rPr>
  </w:style>
  <w:style w:type="character" w:customStyle="1" w:styleId="29">
    <w:name w:val="ListLabel 6"/>
    <w:qFormat/>
    <w:uiPriority w:val="0"/>
    <w:rPr>
      <w:rFonts w:cs="Arial Narrow"/>
      <w:color w:val="00000A"/>
      <w:spacing w:val="0"/>
      <w:w w:val="100"/>
      <w:position w:val="0"/>
      <w:sz w:val="24"/>
      <w:szCs w:val="24"/>
      <w:u w:val="none"/>
      <w:vertAlign w:val="baseline"/>
    </w:rPr>
  </w:style>
  <w:style w:type="character" w:customStyle="1" w:styleId="30">
    <w:name w:val="ListLabel 7"/>
    <w:qFormat/>
    <w:uiPriority w:val="0"/>
    <w:rPr>
      <w:rFonts w:cs="Arial Narrow"/>
      <w:color w:val="00000A"/>
      <w:spacing w:val="0"/>
      <w:w w:val="100"/>
      <w:position w:val="0"/>
      <w:sz w:val="24"/>
      <w:szCs w:val="24"/>
      <w:u w:val="none"/>
      <w:vertAlign w:val="baseline"/>
    </w:rPr>
  </w:style>
  <w:style w:type="character" w:customStyle="1" w:styleId="31">
    <w:name w:val="ListLabel 8"/>
    <w:qFormat/>
    <w:uiPriority w:val="0"/>
    <w:rPr>
      <w:b/>
      <w:bCs/>
    </w:rPr>
  </w:style>
  <w:style w:type="character" w:customStyle="1" w:styleId="32">
    <w:name w:val="ListLabel 9"/>
    <w:qFormat/>
    <w:uiPriority w:val="0"/>
    <w:rPr>
      <w:sz w:val="16"/>
    </w:rPr>
  </w:style>
  <w:style w:type="character" w:customStyle="1" w:styleId="33">
    <w:name w:val="ListLabel 10"/>
    <w:qFormat/>
    <w:uiPriority w:val="0"/>
    <w:rPr>
      <w:sz w:val="18"/>
    </w:rPr>
  </w:style>
  <w:style w:type="character" w:customStyle="1" w:styleId="34">
    <w:name w:val="ListLabel 11"/>
    <w:qFormat/>
    <w:uiPriority w:val="0"/>
    <w:rPr>
      <w:rFonts w:cs="Symbol"/>
      <w:b/>
      <w:sz w:val="16"/>
    </w:rPr>
  </w:style>
  <w:style w:type="character" w:customStyle="1" w:styleId="35">
    <w:name w:val="ListLabel 12"/>
    <w:qFormat/>
    <w:uiPriority w:val="0"/>
    <w:rPr>
      <w:rFonts w:cs="Courier New"/>
    </w:rPr>
  </w:style>
  <w:style w:type="character" w:customStyle="1" w:styleId="36">
    <w:name w:val="ListLabel 13"/>
    <w:qFormat/>
    <w:uiPriority w:val="0"/>
    <w:rPr>
      <w:rFonts w:cs="Wingdings"/>
    </w:rPr>
  </w:style>
  <w:style w:type="character" w:customStyle="1" w:styleId="37">
    <w:name w:val="ListLabel 14"/>
    <w:qFormat/>
    <w:uiPriority w:val="0"/>
    <w:rPr>
      <w:rFonts w:cs="Symbol"/>
    </w:rPr>
  </w:style>
  <w:style w:type="character" w:customStyle="1" w:styleId="38">
    <w:name w:val="ListLabel 15"/>
    <w:qFormat/>
    <w:uiPriority w:val="0"/>
    <w:rPr>
      <w:rFonts w:cs="Courier New"/>
    </w:rPr>
  </w:style>
  <w:style w:type="character" w:customStyle="1" w:styleId="39">
    <w:name w:val="ListLabel 16"/>
    <w:qFormat/>
    <w:uiPriority w:val="0"/>
    <w:rPr>
      <w:rFonts w:cs="Wingdings"/>
    </w:rPr>
  </w:style>
  <w:style w:type="character" w:customStyle="1" w:styleId="40">
    <w:name w:val="ListLabel 17"/>
    <w:qFormat/>
    <w:uiPriority w:val="0"/>
    <w:rPr>
      <w:rFonts w:cs="Symbol"/>
    </w:rPr>
  </w:style>
  <w:style w:type="character" w:customStyle="1" w:styleId="41">
    <w:name w:val="ListLabel 18"/>
    <w:qFormat/>
    <w:uiPriority w:val="0"/>
    <w:rPr>
      <w:rFonts w:cs="Courier New"/>
    </w:rPr>
  </w:style>
  <w:style w:type="character" w:customStyle="1" w:styleId="42">
    <w:name w:val="ListLabel 19"/>
    <w:qFormat/>
    <w:uiPriority w:val="0"/>
    <w:rPr>
      <w:rFonts w:cs="Wingdings"/>
    </w:rPr>
  </w:style>
  <w:style w:type="character" w:customStyle="1" w:styleId="43">
    <w:name w:val="ListLabel 20"/>
    <w:qFormat/>
    <w:uiPriority w:val="0"/>
    <w:rPr>
      <w:rFonts w:cs="Symbol"/>
      <w:sz w:val="16"/>
    </w:rPr>
  </w:style>
  <w:style w:type="character" w:customStyle="1" w:styleId="44">
    <w:name w:val="ListLabel 21"/>
    <w:qFormat/>
    <w:uiPriority w:val="0"/>
    <w:rPr>
      <w:rFonts w:cs="Courier New"/>
    </w:rPr>
  </w:style>
  <w:style w:type="character" w:customStyle="1" w:styleId="45">
    <w:name w:val="ListLabel 22"/>
    <w:qFormat/>
    <w:uiPriority w:val="0"/>
    <w:rPr>
      <w:rFonts w:cs="Wingdings"/>
    </w:rPr>
  </w:style>
  <w:style w:type="character" w:customStyle="1" w:styleId="46">
    <w:name w:val="ListLabel 23"/>
    <w:qFormat/>
    <w:uiPriority w:val="0"/>
    <w:rPr>
      <w:rFonts w:cs="Symbol"/>
    </w:rPr>
  </w:style>
  <w:style w:type="character" w:customStyle="1" w:styleId="47">
    <w:name w:val="ListLabel 24"/>
    <w:qFormat/>
    <w:uiPriority w:val="0"/>
    <w:rPr>
      <w:rFonts w:cs="Courier New"/>
    </w:rPr>
  </w:style>
  <w:style w:type="character" w:customStyle="1" w:styleId="48">
    <w:name w:val="ListLabel 25"/>
    <w:qFormat/>
    <w:uiPriority w:val="0"/>
    <w:rPr>
      <w:rFonts w:cs="Wingdings"/>
    </w:rPr>
  </w:style>
  <w:style w:type="character" w:customStyle="1" w:styleId="49">
    <w:name w:val="ListLabel 26"/>
    <w:qFormat/>
    <w:uiPriority w:val="0"/>
    <w:rPr>
      <w:rFonts w:cs="Symbol"/>
    </w:rPr>
  </w:style>
  <w:style w:type="character" w:customStyle="1" w:styleId="50">
    <w:name w:val="ListLabel 27"/>
    <w:qFormat/>
    <w:uiPriority w:val="0"/>
    <w:rPr>
      <w:rFonts w:cs="Courier New"/>
    </w:rPr>
  </w:style>
  <w:style w:type="character" w:customStyle="1" w:styleId="51">
    <w:name w:val="ListLabel 28"/>
    <w:qFormat/>
    <w:uiPriority w:val="0"/>
    <w:rPr>
      <w:rFonts w:cs="Wingdings"/>
    </w:rPr>
  </w:style>
  <w:style w:type="character" w:customStyle="1" w:styleId="52">
    <w:name w:val="ListLabel 29"/>
    <w:qFormat/>
    <w:uiPriority w:val="0"/>
    <w:rPr>
      <w:rFonts w:cs="Symbol"/>
      <w:sz w:val="16"/>
    </w:rPr>
  </w:style>
  <w:style w:type="character" w:customStyle="1" w:styleId="53">
    <w:name w:val="ListLabel 30"/>
    <w:qFormat/>
    <w:uiPriority w:val="0"/>
    <w:rPr>
      <w:rFonts w:cs="Courier New"/>
    </w:rPr>
  </w:style>
  <w:style w:type="character" w:customStyle="1" w:styleId="54">
    <w:name w:val="ListLabel 31"/>
    <w:qFormat/>
    <w:uiPriority w:val="0"/>
    <w:rPr>
      <w:rFonts w:cs="Wingdings"/>
    </w:rPr>
  </w:style>
  <w:style w:type="character" w:customStyle="1" w:styleId="55">
    <w:name w:val="ListLabel 32"/>
    <w:qFormat/>
    <w:uiPriority w:val="0"/>
    <w:rPr>
      <w:rFonts w:cs="Symbol"/>
    </w:rPr>
  </w:style>
  <w:style w:type="character" w:customStyle="1" w:styleId="56">
    <w:name w:val="ListLabel 33"/>
    <w:qFormat/>
    <w:uiPriority w:val="0"/>
    <w:rPr>
      <w:rFonts w:cs="Courier New"/>
    </w:rPr>
  </w:style>
  <w:style w:type="character" w:customStyle="1" w:styleId="57">
    <w:name w:val="ListLabel 34"/>
    <w:qFormat/>
    <w:uiPriority w:val="0"/>
    <w:rPr>
      <w:rFonts w:cs="Wingdings"/>
    </w:rPr>
  </w:style>
  <w:style w:type="character" w:customStyle="1" w:styleId="58">
    <w:name w:val="ListLabel 35"/>
    <w:qFormat/>
    <w:uiPriority w:val="0"/>
    <w:rPr>
      <w:rFonts w:cs="Symbol"/>
    </w:rPr>
  </w:style>
  <w:style w:type="character" w:customStyle="1" w:styleId="59">
    <w:name w:val="ListLabel 36"/>
    <w:qFormat/>
    <w:uiPriority w:val="0"/>
    <w:rPr>
      <w:rFonts w:cs="Courier New"/>
    </w:rPr>
  </w:style>
  <w:style w:type="character" w:customStyle="1" w:styleId="60">
    <w:name w:val="ListLabel 37"/>
    <w:qFormat/>
    <w:uiPriority w:val="0"/>
    <w:rPr>
      <w:rFonts w:cs="Wingdings"/>
    </w:rPr>
  </w:style>
  <w:style w:type="character" w:customStyle="1" w:styleId="61">
    <w:name w:val="ListLabel 38"/>
    <w:qFormat/>
    <w:uiPriority w:val="0"/>
    <w:rPr>
      <w:rFonts w:cs="Arial Narrow"/>
      <w:color w:val="00000A"/>
      <w:spacing w:val="0"/>
      <w:w w:val="100"/>
      <w:position w:val="0"/>
      <w:sz w:val="24"/>
      <w:szCs w:val="24"/>
      <w:u w:val="none"/>
      <w:vertAlign w:val="baseline"/>
    </w:rPr>
  </w:style>
  <w:style w:type="character" w:customStyle="1" w:styleId="62">
    <w:name w:val="ListLabel 39"/>
    <w:qFormat/>
    <w:uiPriority w:val="0"/>
    <w:rPr>
      <w:rFonts w:cs="Arial"/>
      <w:b/>
      <w:bCs/>
      <w:sz w:val="24"/>
      <w:szCs w:val="24"/>
    </w:rPr>
  </w:style>
  <w:style w:type="character" w:customStyle="1" w:styleId="63">
    <w:name w:val="ListLabel 40"/>
    <w:qFormat/>
    <w:uiPriority w:val="0"/>
    <w:rPr>
      <w:b/>
      <w:bCs/>
    </w:rPr>
  </w:style>
  <w:style w:type="character" w:customStyle="1" w:styleId="64">
    <w:name w:val="ListLabel 41"/>
    <w:qFormat/>
    <w:uiPriority w:val="0"/>
    <w:rPr>
      <w:sz w:val="16"/>
    </w:rPr>
  </w:style>
  <w:style w:type="character" w:customStyle="1" w:styleId="65">
    <w:name w:val="ListLabel 42"/>
    <w:qFormat/>
    <w:uiPriority w:val="0"/>
    <w:rPr>
      <w:sz w:val="18"/>
    </w:rPr>
  </w:style>
  <w:style w:type="character" w:customStyle="1" w:styleId="66">
    <w:name w:val="ListLabel 43"/>
    <w:qFormat/>
    <w:uiPriority w:val="0"/>
    <w:rPr>
      <w:rFonts w:cs="Symbol"/>
      <w:b/>
      <w:sz w:val="16"/>
    </w:rPr>
  </w:style>
  <w:style w:type="character" w:customStyle="1" w:styleId="67">
    <w:name w:val="ListLabel 44"/>
    <w:qFormat/>
    <w:uiPriority w:val="0"/>
    <w:rPr>
      <w:rFonts w:cs="Courier New"/>
    </w:rPr>
  </w:style>
  <w:style w:type="character" w:customStyle="1" w:styleId="68">
    <w:name w:val="ListLabel 45"/>
    <w:qFormat/>
    <w:uiPriority w:val="0"/>
    <w:rPr>
      <w:rFonts w:cs="Wingdings"/>
    </w:rPr>
  </w:style>
  <w:style w:type="character" w:customStyle="1" w:styleId="69">
    <w:name w:val="ListLabel 46"/>
    <w:qFormat/>
    <w:uiPriority w:val="0"/>
    <w:rPr>
      <w:rFonts w:cs="Symbol"/>
    </w:rPr>
  </w:style>
  <w:style w:type="character" w:customStyle="1" w:styleId="70">
    <w:name w:val="ListLabel 47"/>
    <w:qFormat/>
    <w:uiPriority w:val="0"/>
    <w:rPr>
      <w:rFonts w:cs="Courier New"/>
    </w:rPr>
  </w:style>
  <w:style w:type="character" w:customStyle="1" w:styleId="71">
    <w:name w:val="ListLabel 48"/>
    <w:qFormat/>
    <w:uiPriority w:val="0"/>
    <w:rPr>
      <w:rFonts w:cs="Wingdings"/>
    </w:rPr>
  </w:style>
  <w:style w:type="character" w:customStyle="1" w:styleId="72">
    <w:name w:val="ListLabel 49"/>
    <w:qFormat/>
    <w:uiPriority w:val="0"/>
    <w:rPr>
      <w:rFonts w:cs="Symbol"/>
    </w:rPr>
  </w:style>
  <w:style w:type="character" w:customStyle="1" w:styleId="73">
    <w:name w:val="ListLabel 50"/>
    <w:qFormat/>
    <w:uiPriority w:val="0"/>
    <w:rPr>
      <w:rFonts w:cs="Courier New"/>
    </w:rPr>
  </w:style>
  <w:style w:type="character" w:customStyle="1" w:styleId="74">
    <w:name w:val="ListLabel 51"/>
    <w:qFormat/>
    <w:uiPriority w:val="0"/>
    <w:rPr>
      <w:rFonts w:cs="Wingdings"/>
    </w:rPr>
  </w:style>
  <w:style w:type="character" w:customStyle="1" w:styleId="75">
    <w:name w:val="ListLabel 52"/>
    <w:qFormat/>
    <w:uiPriority w:val="0"/>
    <w:rPr>
      <w:rFonts w:cs="Symbol"/>
      <w:sz w:val="16"/>
    </w:rPr>
  </w:style>
  <w:style w:type="character" w:customStyle="1" w:styleId="76">
    <w:name w:val="ListLabel 53"/>
    <w:qFormat/>
    <w:uiPriority w:val="0"/>
    <w:rPr>
      <w:rFonts w:cs="Courier New"/>
    </w:rPr>
  </w:style>
  <w:style w:type="character" w:customStyle="1" w:styleId="77">
    <w:name w:val="ListLabel 54"/>
    <w:qFormat/>
    <w:uiPriority w:val="0"/>
    <w:rPr>
      <w:rFonts w:cs="Wingdings"/>
    </w:rPr>
  </w:style>
  <w:style w:type="character" w:customStyle="1" w:styleId="78">
    <w:name w:val="ListLabel 55"/>
    <w:qFormat/>
    <w:uiPriority w:val="0"/>
    <w:rPr>
      <w:rFonts w:cs="Symbol"/>
    </w:rPr>
  </w:style>
  <w:style w:type="character" w:customStyle="1" w:styleId="79">
    <w:name w:val="ListLabel 56"/>
    <w:qFormat/>
    <w:uiPriority w:val="0"/>
    <w:rPr>
      <w:rFonts w:cs="Courier New"/>
    </w:rPr>
  </w:style>
  <w:style w:type="character" w:customStyle="1" w:styleId="80">
    <w:name w:val="ListLabel 57"/>
    <w:qFormat/>
    <w:uiPriority w:val="0"/>
    <w:rPr>
      <w:rFonts w:cs="Wingdings"/>
    </w:rPr>
  </w:style>
  <w:style w:type="character" w:customStyle="1" w:styleId="81">
    <w:name w:val="ListLabel 58"/>
    <w:qFormat/>
    <w:uiPriority w:val="0"/>
    <w:rPr>
      <w:rFonts w:cs="Symbol"/>
    </w:rPr>
  </w:style>
  <w:style w:type="character" w:customStyle="1" w:styleId="82">
    <w:name w:val="ListLabel 59"/>
    <w:qFormat/>
    <w:uiPriority w:val="0"/>
    <w:rPr>
      <w:rFonts w:cs="Courier New"/>
    </w:rPr>
  </w:style>
  <w:style w:type="character" w:customStyle="1" w:styleId="83">
    <w:name w:val="ListLabel 60"/>
    <w:qFormat/>
    <w:uiPriority w:val="0"/>
    <w:rPr>
      <w:rFonts w:cs="Wingdings"/>
    </w:rPr>
  </w:style>
  <w:style w:type="character" w:customStyle="1" w:styleId="84">
    <w:name w:val="ListLabel 61"/>
    <w:qFormat/>
    <w:uiPriority w:val="0"/>
    <w:rPr>
      <w:rFonts w:cs="Symbol"/>
      <w:sz w:val="16"/>
    </w:rPr>
  </w:style>
  <w:style w:type="character" w:customStyle="1" w:styleId="85">
    <w:name w:val="ListLabel 62"/>
    <w:qFormat/>
    <w:uiPriority w:val="0"/>
    <w:rPr>
      <w:rFonts w:cs="Courier New"/>
    </w:rPr>
  </w:style>
  <w:style w:type="character" w:customStyle="1" w:styleId="86">
    <w:name w:val="ListLabel 63"/>
    <w:qFormat/>
    <w:uiPriority w:val="0"/>
    <w:rPr>
      <w:rFonts w:cs="Wingdings"/>
    </w:rPr>
  </w:style>
  <w:style w:type="character" w:customStyle="1" w:styleId="87">
    <w:name w:val="ListLabel 64"/>
    <w:qFormat/>
    <w:uiPriority w:val="0"/>
    <w:rPr>
      <w:rFonts w:cs="Symbol"/>
    </w:rPr>
  </w:style>
  <w:style w:type="character" w:customStyle="1" w:styleId="88">
    <w:name w:val="ListLabel 65"/>
    <w:qFormat/>
    <w:uiPriority w:val="0"/>
    <w:rPr>
      <w:rFonts w:cs="Courier New"/>
    </w:rPr>
  </w:style>
  <w:style w:type="character" w:customStyle="1" w:styleId="89">
    <w:name w:val="ListLabel 66"/>
    <w:qFormat/>
    <w:uiPriority w:val="0"/>
    <w:rPr>
      <w:rFonts w:cs="Wingdings"/>
    </w:rPr>
  </w:style>
  <w:style w:type="character" w:customStyle="1" w:styleId="90">
    <w:name w:val="ListLabel 67"/>
    <w:qFormat/>
    <w:uiPriority w:val="0"/>
    <w:rPr>
      <w:rFonts w:cs="Symbol"/>
    </w:rPr>
  </w:style>
  <w:style w:type="character" w:customStyle="1" w:styleId="91">
    <w:name w:val="ListLabel 68"/>
    <w:qFormat/>
    <w:uiPriority w:val="0"/>
    <w:rPr>
      <w:rFonts w:cs="Courier New"/>
    </w:rPr>
  </w:style>
  <w:style w:type="character" w:customStyle="1" w:styleId="92">
    <w:name w:val="ListLabel 69"/>
    <w:qFormat/>
    <w:uiPriority w:val="0"/>
    <w:rPr>
      <w:rFonts w:cs="Wingdings"/>
    </w:rPr>
  </w:style>
  <w:style w:type="character" w:customStyle="1" w:styleId="93">
    <w:name w:val="ListLabel 70"/>
    <w:qFormat/>
    <w:uiPriority w:val="0"/>
    <w:rPr>
      <w:rFonts w:cs="Arial"/>
      <w:b/>
      <w:bCs/>
      <w:sz w:val="24"/>
      <w:szCs w:val="24"/>
    </w:rPr>
  </w:style>
  <w:style w:type="character" w:customStyle="1" w:styleId="94">
    <w:name w:val="ListLabel 71"/>
    <w:qFormat/>
    <w:uiPriority w:val="0"/>
    <w:rPr>
      <w:b/>
      <w:bCs/>
    </w:rPr>
  </w:style>
  <w:style w:type="character" w:customStyle="1" w:styleId="95">
    <w:name w:val="ListLabel 72"/>
    <w:qFormat/>
    <w:uiPriority w:val="0"/>
    <w:rPr>
      <w:sz w:val="16"/>
    </w:rPr>
  </w:style>
  <w:style w:type="character" w:customStyle="1" w:styleId="96">
    <w:name w:val="ListLabel 73"/>
    <w:qFormat/>
    <w:uiPriority w:val="0"/>
    <w:rPr>
      <w:sz w:val="18"/>
    </w:rPr>
  </w:style>
  <w:style w:type="character" w:customStyle="1" w:styleId="97">
    <w:name w:val="ListLabel 74"/>
    <w:qFormat/>
    <w:uiPriority w:val="0"/>
    <w:rPr>
      <w:rFonts w:cs="Symbol"/>
      <w:b/>
      <w:sz w:val="16"/>
    </w:rPr>
  </w:style>
  <w:style w:type="character" w:customStyle="1" w:styleId="98">
    <w:name w:val="ListLabel 75"/>
    <w:qFormat/>
    <w:uiPriority w:val="0"/>
    <w:rPr>
      <w:rFonts w:cs="Courier New"/>
    </w:rPr>
  </w:style>
  <w:style w:type="character" w:customStyle="1" w:styleId="99">
    <w:name w:val="ListLabel 76"/>
    <w:qFormat/>
    <w:uiPriority w:val="0"/>
    <w:rPr>
      <w:rFonts w:cs="Wingdings"/>
    </w:rPr>
  </w:style>
  <w:style w:type="character" w:customStyle="1" w:styleId="100">
    <w:name w:val="ListLabel 77"/>
    <w:qFormat/>
    <w:uiPriority w:val="0"/>
    <w:rPr>
      <w:rFonts w:cs="Symbol"/>
    </w:rPr>
  </w:style>
  <w:style w:type="character" w:customStyle="1" w:styleId="101">
    <w:name w:val="ListLabel 78"/>
    <w:qFormat/>
    <w:uiPriority w:val="0"/>
    <w:rPr>
      <w:rFonts w:cs="Courier New"/>
    </w:rPr>
  </w:style>
  <w:style w:type="character" w:customStyle="1" w:styleId="102">
    <w:name w:val="ListLabel 79"/>
    <w:qFormat/>
    <w:uiPriority w:val="0"/>
    <w:rPr>
      <w:rFonts w:cs="Wingdings"/>
    </w:rPr>
  </w:style>
  <w:style w:type="character" w:customStyle="1" w:styleId="103">
    <w:name w:val="ListLabel 80"/>
    <w:qFormat/>
    <w:uiPriority w:val="0"/>
    <w:rPr>
      <w:rFonts w:cs="Symbol"/>
    </w:rPr>
  </w:style>
  <w:style w:type="character" w:customStyle="1" w:styleId="104">
    <w:name w:val="ListLabel 81"/>
    <w:qFormat/>
    <w:uiPriority w:val="0"/>
    <w:rPr>
      <w:rFonts w:cs="Courier New"/>
    </w:rPr>
  </w:style>
  <w:style w:type="character" w:customStyle="1" w:styleId="105">
    <w:name w:val="ListLabel 82"/>
    <w:qFormat/>
    <w:uiPriority w:val="0"/>
    <w:rPr>
      <w:rFonts w:cs="Wingdings"/>
    </w:rPr>
  </w:style>
  <w:style w:type="character" w:customStyle="1" w:styleId="106">
    <w:name w:val="ListLabel 83"/>
    <w:qFormat/>
    <w:uiPriority w:val="0"/>
    <w:rPr>
      <w:rFonts w:cs="Symbol"/>
      <w:sz w:val="16"/>
    </w:rPr>
  </w:style>
  <w:style w:type="character" w:customStyle="1" w:styleId="107">
    <w:name w:val="ListLabel 84"/>
    <w:qFormat/>
    <w:uiPriority w:val="0"/>
    <w:rPr>
      <w:rFonts w:cs="Courier New"/>
    </w:rPr>
  </w:style>
  <w:style w:type="character" w:customStyle="1" w:styleId="108">
    <w:name w:val="ListLabel 85"/>
    <w:qFormat/>
    <w:uiPriority w:val="0"/>
    <w:rPr>
      <w:rFonts w:cs="Wingdings"/>
    </w:rPr>
  </w:style>
  <w:style w:type="character" w:customStyle="1" w:styleId="109">
    <w:name w:val="ListLabel 86"/>
    <w:qFormat/>
    <w:uiPriority w:val="0"/>
    <w:rPr>
      <w:rFonts w:cs="Symbol"/>
    </w:rPr>
  </w:style>
  <w:style w:type="character" w:customStyle="1" w:styleId="110">
    <w:name w:val="ListLabel 87"/>
    <w:qFormat/>
    <w:uiPriority w:val="0"/>
    <w:rPr>
      <w:rFonts w:cs="Courier New"/>
    </w:rPr>
  </w:style>
  <w:style w:type="character" w:customStyle="1" w:styleId="111">
    <w:name w:val="ListLabel 88"/>
    <w:qFormat/>
    <w:uiPriority w:val="0"/>
    <w:rPr>
      <w:rFonts w:cs="Wingdings"/>
    </w:rPr>
  </w:style>
  <w:style w:type="character" w:customStyle="1" w:styleId="112">
    <w:name w:val="ListLabel 89"/>
    <w:qFormat/>
    <w:uiPriority w:val="0"/>
    <w:rPr>
      <w:rFonts w:cs="Symbol"/>
    </w:rPr>
  </w:style>
  <w:style w:type="character" w:customStyle="1" w:styleId="113">
    <w:name w:val="ListLabel 90"/>
    <w:qFormat/>
    <w:uiPriority w:val="0"/>
    <w:rPr>
      <w:rFonts w:cs="Courier New"/>
    </w:rPr>
  </w:style>
  <w:style w:type="character" w:customStyle="1" w:styleId="114">
    <w:name w:val="ListLabel 91"/>
    <w:qFormat/>
    <w:uiPriority w:val="0"/>
    <w:rPr>
      <w:rFonts w:cs="Wingdings"/>
    </w:rPr>
  </w:style>
  <w:style w:type="character" w:customStyle="1" w:styleId="115">
    <w:name w:val="ListLabel 92"/>
    <w:qFormat/>
    <w:uiPriority w:val="0"/>
    <w:rPr>
      <w:rFonts w:cs="Symbol"/>
      <w:sz w:val="16"/>
    </w:rPr>
  </w:style>
  <w:style w:type="character" w:customStyle="1" w:styleId="116">
    <w:name w:val="ListLabel 93"/>
    <w:qFormat/>
    <w:uiPriority w:val="0"/>
    <w:rPr>
      <w:rFonts w:cs="Courier New"/>
    </w:rPr>
  </w:style>
  <w:style w:type="character" w:customStyle="1" w:styleId="117">
    <w:name w:val="ListLabel 94"/>
    <w:qFormat/>
    <w:uiPriority w:val="0"/>
    <w:rPr>
      <w:rFonts w:cs="Wingdings"/>
    </w:rPr>
  </w:style>
  <w:style w:type="character" w:customStyle="1" w:styleId="118">
    <w:name w:val="ListLabel 95"/>
    <w:qFormat/>
    <w:uiPriority w:val="0"/>
    <w:rPr>
      <w:rFonts w:cs="Symbol"/>
    </w:rPr>
  </w:style>
  <w:style w:type="character" w:customStyle="1" w:styleId="119">
    <w:name w:val="ListLabel 96"/>
    <w:qFormat/>
    <w:uiPriority w:val="0"/>
    <w:rPr>
      <w:rFonts w:cs="Courier New"/>
    </w:rPr>
  </w:style>
  <w:style w:type="character" w:customStyle="1" w:styleId="120">
    <w:name w:val="ListLabel 97"/>
    <w:qFormat/>
    <w:uiPriority w:val="0"/>
    <w:rPr>
      <w:rFonts w:cs="Wingdings"/>
    </w:rPr>
  </w:style>
  <w:style w:type="character" w:customStyle="1" w:styleId="121">
    <w:name w:val="ListLabel 98"/>
    <w:qFormat/>
    <w:uiPriority w:val="0"/>
    <w:rPr>
      <w:rFonts w:cs="Symbol"/>
    </w:rPr>
  </w:style>
  <w:style w:type="character" w:customStyle="1" w:styleId="122">
    <w:name w:val="ListLabel 99"/>
    <w:qFormat/>
    <w:uiPriority w:val="0"/>
    <w:rPr>
      <w:rFonts w:cs="Courier New"/>
    </w:rPr>
  </w:style>
  <w:style w:type="character" w:customStyle="1" w:styleId="123">
    <w:name w:val="ListLabel 100"/>
    <w:qFormat/>
    <w:uiPriority w:val="0"/>
    <w:rPr>
      <w:rFonts w:cs="Wingdings"/>
    </w:rPr>
  </w:style>
  <w:style w:type="character" w:customStyle="1" w:styleId="124">
    <w:name w:val="ListLabel 101"/>
    <w:qFormat/>
    <w:uiPriority w:val="0"/>
    <w:rPr>
      <w:sz w:val="18"/>
      <w:szCs w:val="16"/>
    </w:rPr>
  </w:style>
  <w:style w:type="character" w:customStyle="1" w:styleId="125">
    <w:name w:val="ListLabel 102"/>
    <w:qFormat/>
    <w:uiPriority w:val="0"/>
    <w:rPr>
      <w:rFonts w:cs="Times New Roman"/>
      <w:color w:val="00000A"/>
      <w:spacing w:val="0"/>
      <w:w w:val="100"/>
      <w:position w:val="0"/>
      <w:sz w:val="24"/>
      <w:szCs w:val="24"/>
      <w:u w:val="none" w:color="000000"/>
      <w:vertAlign w:val="baseline"/>
    </w:rPr>
  </w:style>
  <w:style w:type="character" w:customStyle="1" w:styleId="126">
    <w:name w:val="ListLabel 103"/>
    <w:qFormat/>
    <w:uiPriority w:val="0"/>
    <w:rPr>
      <w:rFonts w:cs="Times New Roman"/>
    </w:rPr>
  </w:style>
  <w:style w:type="character" w:customStyle="1" w:styleId="127">
    <w:name w:val="ListLabel 104"/>
    <w:qFormat/>
    <w:uiPriority w:val="0"/>
    <w:rPr>
      <w:rFonts w:cs="Times New Roman"/>
    </w:rPr>
  </w:style>
  <w:style w:type="character" w:customStyle="1" w:styleId="128">
    <w:name w:val="ListLabel 105"/>
    <w:qFormat/>
    <w:uiPriority w:val="0"/>
    <w:rPr>
      <w:rFonts w:cs="Times New Roman"/>
    </w:rPr>
  </w:style>
  <w:style w:type="character" w:customStyle="1" w:styleId="129">
    <w:name w:val="ListLabel 106"/>
    <w:qFormat/>
    <w:uiPriority w:val="0"/>
    <w:rPr>
      <w:rFonts w:cs="Times New Roman"/>
    </w:rPr>
  </w:style>
  <w:style w:type="character" w:customStyle="1" w:styleId="130">
    <w:name w:val="ListLabel 107"/>
    <w:qFormat/>
    <w:uiPriority w:val="0"/>
    <w:rPr>
      <w:rFonts w:cs="Times New Roman"/>
    </w:rPr>
  </w:style>
  <w:style w:type="character" w:customStyle="1" w:styleId="131">
    <w:name w:val="ListLabel 108"/>
    <w:qFormat/>
    <w:uiPriority w:val="0"/>
    <w:rPr>
      <w:rFonts w:cs="Times New Roman"/>
    </w:rPr>
  </w:style>
  <w:style w:type="character" w:customStyle="1" w:styleId="132">
    <w:name w:val="ListLabel 109"/>
    <w:qFormat/>
    <w:uiPriority w:val="0"/>
    <w:rPr>
      <w:rFonts w:cs="Times New Roman"/>
    </w:rPr>
  </w:style>
  <w:style w:type="character" w:customStyle="1" w:styleId="133">
    <w:name w:val="ListLabel 110"/>
    <w:qFormat/>
    <w:uiPriority w:val="0"/>
    <w:rPr>
      <w:rFonts w:cs="Times New Roman"/>
    </w:rPr>
  </w:style>
  <w:style w:type="character" w:customStyle="1" w:styleId="134">
    <w:name w:val="ListLabel 111"/>
    <w:qFormat/>
    <w:uiPriority w:val="0"/>
  </w:style>
  <w:style w:type="character" w:customStyle="1" w:styleId="135">
    <w:name w:val="ListLabel 112"/>
    <w:qFormat/>
    <w:uiPriority w:val="0"/>
    <w:rPr>
      <w:rFonts w:cs="Arial"/>
      <w:b/>
      <w:bCs/>
      <w:sz w:val="24"/>
      <w:szCs w:val="24"/>
    </w:rPr>
  </w:style>
  <w:style w:type="character" w:customStyle="1" w:styleId="136">
    <w:name w:val="ListLabel 113"/>
    <w:qFormat/>
    <w:uiPriority w:val="0"/>
    <w:rPr>
      <w:b/>
      <w:bCs/>
    </w:rPr>
  </w:style>
  <w:style w:type="character" w:customStyle="1" w:styleId="137">
    <w:name w:val="ListLabel 114"/>
    <w:qFormat/>
    <w:uiPriority w:val="0"/>
    <w:rPr>
      <w:sz w:val="16"/>
    </w:rPr>
  </w:style>
  <w:style w:type="character" w:customStyle="1" w:styleId="138">
    <w:name w:val="ListLabel 115"/>
    <w:qFormat/>
    <w:uiPriority w:val="0"/>
    <w:rPr>
      <w:sz w:val="18"/>
    </w:rPr>
  </w:style>
  <w:style w:type="character" w:customStyle="1" w:styleId="139">
    <w:name w:val="ListLabel 116"/>
    <w:qFormat/>
    <w:uiPriority w:val="0"/>
    <w:rPr>
      <w:rFonts w:cs="Symbol"/>
      <w:sz w:val="16"/>
    </w:rPr>
  </w:style>
  <w:style w:type="character" w:customStyle="1" w:styleId="140">
    <w:name w:val="ListLabel 117"/>
    <w:qFormat/>
    <w:uiPriority w:val="0"/>
    <w:rPr>
      <w:rFonts w:cs="Courier New"/>
    </w:rPr>
  </w:style>
  <w:style w:type="character" w:customStyle="1" w:styleId="141">
    <w:name w:val="ListLabel 118"/>
    <w:qFormat/>
    <w:uiPriority w:val="0"/>
    <w:rPr>
      <w:rFonts w:cs="Wingdings"/>
    </w:rPr>
  </w:style>
  <w:style w:type="character" w:customStyle="1" w:styleId="142">
    <w:name w:val="ListLabel 119"/>
    <w:qFormat/>
    <w:uiPriority w:val="0"/>
    <w:rPr>
      <w:rFonts w:cs="Symbol"/>
    </w:rPr>
  </w:style>
  <w:style w:type="character" w:customStyle="1" w:styleId="143">
    <w:name w:val="ListLabel 120"/>
    <w:qFormat/>
    <w:uiPriority w:val="0"/>
    <w:rPr>
      <w:rFonts w:cs="Courier New"/>
    </w:rPr>
  </w:style>
  <w:style w:type="character" w:customStyle="1" w:styleId="144">
    <w:name w:val="ListLabel 121"/>
    <w:qFormat/>
    <w:uiPriority w:val="0"/>
    <w:rPr>
      <w:rFonts w:cs="Wingdings"/>
    </w:rPr>
  </w:style>
  <w:style w:type="character" w:customStyle="1" w:styleId="145">
    <w:name w:val="ListLabel 122"/>
    <w:qFormat/>
    <w:uiPriority w:val="0"/>
    <w:rPr>
      <w:rFonts w:cs="Symbol"/>
    </w:rPr>
  </w:style>
  <w:style w:type="character" w:customStyle="1" w:styleId="146">
    <w:name w:val="ListLabel 123"/>
    <w:qFormat/>
    <w:uiPriority w:val="0"/>
    <w:rPr>
      <w:rFonts w:cs="Courier New"/>
    </w:rPr>
  </w:style>
  <w:style w:type="character" w:customStyle="1" w:styleId="147">
    <w:name w:val="ListLabel 124"/>
    <w:qFormat/>
    <w:uiPriority w:val="0"/>
    <w:rPr>
      <w:rFonts w:cs="Wingdings"/>
    </w:rPr>
  </w:style>
  <w:style w:type="character" w:customStyle="1" w:styleId="148">
    <w:name w:val="ListLabel 125"/>
    <w:qFormat/>
    <w:uiPriority w:val="0"/>
    <w:rPr>
      <w:sz w:val="18"/>
      <w:szCs w:val="16"/>
    </w:rPr>
  </w:style>
  <w:style w:type="character" w:customStyle="1" w:styleId="149">
    <w:name w:val="ListLabel 126"/>
    <w:qFormat/>
    <w:uiPriority w:val="0"/>
    <w:rPr>
      <w:rFonts w:cs="Arial"/>
      <w:b/>
      <w:bCs/>
      <w:sz w:val="24"/>
      <w:szCs w:val="24"/>
    </w:rPr>
  </w:style>
  <w:style w:type="character" w:customStyle="1" w:styleId="150">
    <w:name w:val="ListLabel 127"/>
    <w:qFormat/>
    <w:uiPriority w:val="0"/>
    <w:rPr>
      <w:b/>
      <w:bCs/>
    </w:rPr>
  </w:style>
  <w:style w:type="character" w:customStyle="1" w:styleId="151">
    <w:name w:val="ListLabel 128"/>
    <w:qFormat/>
    <w:uiPriority w:val="0"/>
    <w:rPr>
      <w:sz w:val="16"/>
    </w:rPr>
  </w:style>
  <w:style w:type="character" w:customStyle="1" w:styleId="152">
    <w:name w:val="ListLabel 129"/>
    <w:qFormat/>
    <w:uiPriority w:val="0"/>
    <w:rPr>
      <w:sz w:val="18"/>
    </w:rPr>
  </w:style>
  <w:style w:type="character" w:customStyle="1" w:styleId="153">
    <w:name w:val="ListLabel 130"/>
    <w:qFormat/>
    <w:uiPriority w:val="0"/>
    <w:rPr>
      <w:rFonts w:cs="Symbol"/>
      <w:sz w:val="16"/>
    </w:rPr>
  </w:style>
  <w:style w:type="character" w:customStyle="1" w:styleId="154">
    <w:name w:val="ListLabel 131"/>
    <w:qFormat/>
    <w:uiPriority w:val="0"/>
    <w:rPr>
      <w:rFonts w:cs="Courier New"/>
    </w:rPr>
  </w:style>
  <w:style w:type="character" w:customStyle="1" w:styleId="155">
    <w:name w:val="ListLabel 132"/>
    <w:qFormat/>
    <w:uiPriority w:val="0"/>
    <w:rPr>
      <w:rFonts w:cs="Wingdings"/>
    </w:rPr>
  </w:style>
  <w:style w:type="character" w:customStyle="1" w:styleId="156">
    <w:name w:val="ListLabel 133"/>
    <w:qFormat/>
    <w:uiPriority w:val="0"/>
    <w:rPr>
      <w:rFonts w:cs="Symbol"/>
    </w:rPr>
  </w:style>
  <w:style w:type="character" w:customStyle="1" w:styleId="157">
    <w:name w:val="ListLabel 134"/>
    <w:qFormat/>
    <w:uiPriority w:val="0"/>
    <w:rPr>
      <w:rFonts w:cs="Courier New"/>
    </w:rPr>
  </w:style>
  <w:style w:type="character" w:customStyle="1" w:styleId="158">
    <w:name w:val="ListLabel 135"/>
    <w:qFormat/>
    <w:uiPriority w:val="0"/>
    <w:rPr>
      <w:rFonts w:cs="Wingdings"/>
    </w:rPr>
  </w:style>
  <w:style w:type="character" w:customStyle="1" w:styleId="159">
    <w:name w:val="ListLabel 136"/>
    <w:qFormat/>
    <w:uiPriority w:val="0"/>
    <w:rPr>
      <w:rFonts w:cs="Symbol"/>
    </w:rPr>
  </w:style>
  <w:style w:type="character" w:customStyle="1" w:styleId="160">
    <w:name w:val="ListLabel 137"/>
    <w:qFormat/>
    <w:uiPriority w:val="0"/>
    <w:rPr>
      <w:rFonts w:cs="Courier New"/>
    </w:rPr>
  </w:style>
  <w:style w:type="character" w:customStyle="1" w:styleId="161">
    <w:name w:val="ListLabel 138"/>
    <w:qFormat/>
    <w:uiPriority w:val="0"/>
    <w:rPr>
      <w:rFonts w:cs="Wingdings"/>
    </w:rPr>
  </w:style>
  <w:style w:type="character" w:customStyle="1" w:styleId="162">
    <w:name w:val="ListLabel 139"/>
    <w:qFormat/>
    <w:uiPriority w:val="0"/>
    <w:rPr>
      <w:sz w:val="18"/>
      <w:szCs w:val="16"/>
    </w:rPr>
  </w:style>
  <w:style w:type="character" w:customStyle="1" w:styleId="163">
    <w:name w:val="ListLabel 140"/>
    <w:qFormat/>
    <w:uiPriority w:val="0"/>
    <w:rPr>
      <w:rFonts w:cs="Arial"/>
      <w:b/>
      <w:bCs/>
      <w:sz w:val="24"/>
      <w:szCs w:val="24"/>
    </w:rPr>
  </w:style>
  <w:style w:type="character" w:customStyle="1" w:styleId="164">
    <w:name w:val="ListLabel 141"/>
    <w:qFormat/>
    <w:uiPriority w:val="0"/>
    <w:rPr>
      <w:b/>
      <w:bCs/>
    </w:rPr>
  </w:style>
  <w:style w:type="character" w:customStyle="1" w:styleId="165">
    <w:name w:val="ListLabel 142"/>
    <w:qFormat/>
    <w:uiPriority w:val="0"/>
    <w:rPr>
      <w:sz w:val="16"/>
    </w:rPr>
  </w:style>
  <w:style w:type="character" w:customStyle="1" w:styleId="166">
    <w:name w:val="ListLabel 143"/>
    <w:qFormat/>
    <w:uiPriority w:val="0"/>
    <w:rPr>
      <w:sz w:val="18"/>
    </w:rPr>
  </w:style>
  <w:style w:type="character" w:customStyle="1" w:styleId="167">
    <w:name w:val="ListLabel 144"/>
    <w:qFormat/>
    <w:uiPriority w:val="0"/>
    <w:rPr>
      <w:rFonts w:cs="Symbol"/>
      <w:sz w:val="16"/>
    </w:rPr>
  </w:style>
  <w:style w:type="character" w:customStyle="1" w:styleId="168">
    <w:name w:val="ListLabel 145"/>
    <w:qFormat/>
    <w:uiPriority w:val="0"/>
    <w:rPr>
      <w:rFonts w:cs="Courier New"/>
    </w:rPr>
  </w:style>
  <w:style w:type="character" w:customStyle="1" w:styleId="169">
    <w:name w:val="ListLabel 146"/>
    <w:qFormat/>
    <w:uiPriority w:val="0"/>
    <w:rPr>
      <w:rFonts w:cs="Wingdings"/>
    </w:rPr>
  </w:style>
  <w:style w:type="character" w:customStyle="1" w:styleId="170">
    <w:name w:val="ListLabel 147"/>
    <w:qFormat/>
    <w:uiPriority w:val="0"/>
    <w:rPr>
      <w:rFonts w:cs="Symbol"/>
    </w:rPr>
  </w:style>
  <w:style w:type="character" w:customStyle="1" w:styleId="171">
    <w:name w:val="ListLabel 148"/>
    <w:qFormat/>
    <w:uiPriority w:val="0"/>
    <w:rPr>
      <w:rFonts w:cs="Courier New"/>
    </w:rPr>
  </w:style>
  <w:style w:type="character" w:customStyle="1" w:styleId="172">
    <w:name w:val="ListLabel 149"/>
    <w:qFormat/>
    <w:uiPriority w:val="0"/>
    <w:rPr>
      <w:rFonts w:cs="Wingdings"/>
    </w:rPr>
  </w:style>
  <w:style w:type="character" w:customStyle="1" w:styleId="173">
    <w:name w:val="ListLabel 150"/>
    <w:qFormat/>
    <w:uiPriority w:val="0"/>
    <w:rPr>
      <w:rFonts w:cs="Symbol"/>
    </w:rPr>
  </w:style>
  <w:style w:type="character" w:customStyle="1" w:styleId="174">
    <w:name w:val="ListLabel 151"/>
    <w:qFormat/>
    <w:uiPriority w:val="0"/>
    <w:rPr>
      <w:rFonts w:cs="Courier New"/>
    </w:rPr>
  </w:style>
  <w:style w:type="character" w:customStyle="1" w:styleId="175">
    <w:name w:val="ListLabel 152"/>
    <w:qFormat/>
    <w:uiPriority w:val="0"/>
    <w:rPr>
      <w:rFonts w:cs="Wingdings"/>
    </w:rPr>
  </w:style>
  <w:style w:type="character" w:customStyle="1" w:styleId="176">
    <w:name w:val="ListLabel 153"/>
    <w:qFormat/>
    <w:uiPriority w:val="0"/>
    <w:rPr>
      <w:sz w:val="18"/>
      <w:szCs w:val="16"/>
    </w:rPr>
  </w:style>
  <w:style w:type="character" w:customStyle="1" w:styleId="177">
    <w:name w:val="ListLabel 154"/>
    <w:qFormat/>
    <w:uiPriority w:val="0"/>
    <w:rPr>
      <w:rFonts w:cs="Arial"/>
      <w:b/>
      <w:bCs/>
      <w:sz w:val="24"/>
      <w:szCs w:val="24"/>
    </w:rPr>
  </w:style>
  <w:style w:type="character" w:customStyle="1" w:styleId="178">
    <w:name w:val="ListLabel 155"/>
    <w:qFormat/>
    <w:uiPriority w:val="0"/>
    <w:rPr>
      <w:b/>
      <w:bCs/>
    </w:rPr>
  </w:style>
  <w:style w:type="character" w:customStyle="1" w:styleId="179">
    <w:name w:val="ListLabel 156"/>
    <w:qFormat/>
    <w:uiPriority w:val="0"/>
    <w:rPr>
      <w:sz w:val="16"/>
    </w:rPr>
  </w:style>
  <w:style w:type="character" w:customStyle="1" w:styleId="180">
    <w:name w:val="ListLabel 157"/>
    <w:qFormat/>
    <w:uiPriority w:val="0"/>
    <w:rPr>
      <w:sz w:val="18"/>
    </w:rPr>
  </w:style>
  <w:style w:type="character" w:customStyle="1" w:styleId="181">
    <w:name w:val="ListLabel 158"/>
    <w:qFormat/>
    <w:uiPriority w:val="0"/>
    <w:rPr>
      <w:rFonts w:cs="Symbol"/>
      <w:sz w:val="16"/>
    </w:rPr>
  </w:style>
  <w:style w:type="character" w:customStyle="1" w:styleId="182">
    <w:name w:val="ListLabel 159"/>
    <w:qFormat/>
    <w:uiPriority w:val="0"/>
    <w:rPr>
      <w:rFonts w:cs="Courier New"/>
    </w:rPr>
  </w:style>
  <w:style w:type="character" w:customStyle="1" w:styleId="183">
    <w:name w:val="ListLabel 160"/>
    <w:qFormat/>
    <w:uiPriority w:val="0"/>
    <w:rPr>
      <w:rFonts w:cs="Wingdings"/>
    </w:rPr>
  </w:style>
  <w:style w:type="character" w:customStyle="1" w:styleId="184">
    <w:name w:val="ListLabel 161"/>
    <w:qFormat/>
    <w:uiPriority w:val="0"/>
    <w:rPr>
      <w:rFonts w:cs="Symbol"/>
    </w:rPr>
  </w:style>
  <w:style w:type="character" w:customStyle="1" w:styleId="185">
    <w:name w:val="ListLabel 162"/>
    <w:qFormat/>
    <w:uiPriority w:val="0"/>
    <w:rPr>
      <w:rFonts w:cs="Courier New"/>
    </w:rPr>
  </w:style>
  <w:style w:type="character" w:customStyle="1" w:styleId="186">
    <w:name w:val="ListLabel 163"/>
    <w:qFormat/>
    <w:uiPriority w:val="0"/>
    <w:rPr>
      <w:rFonts w:cs="Wingdings"/>
    </w:rPr>
  </w:style>
  <w:style w:type="character" w:customStyle="1" w:styleId="187">
    <w:name w:val="ListLabel 164"/>
    <w:qFormat/>
    <w:uiPriority w:val="0"/>
    <w:rPr>
      <w:rFonts w:cs="Symbol"/>
    </w:rPr>
  </w:style>
  <w:style w:type="character" w:customStyle="1" w:styleId="188">
    <w:name w:val="ListLabel 165"/>
    <w:qFormat/>
    <w:uiPriority w:val="0"/>
    <w:rPr>
      <w:rFonts w:cs="Courier New"/>
    </w:rPr>
  </w:style>
  <w:style w:type="character" w:customStyle="1" w:styleId="189">
    <w:name w:val="ListLabel 166"/>
    <w:qFormat/>
    <w:uiPriority w:val="0"/>
    <w:rPr>
      <w:rFonts w:cs="Wingdings"/>
    </w:rPr>
  </w:style>
  <w:style w:type="character" w:customStyle="1" w:styleId="190">
    <w:name w:val="ListLabel 167"/>
    <w:qFormat/>
    <w:uiPriority w:val="0"/>
    <w:rPr>
      <w:sz w:val="18"/>
      <w:szCs w:val="16"/>
    </w:rPr>
  </w:style>
  <w:style w:type="character" w:customStyle="1" w:styleId="191">
    <w:name w:val="ListLabel 168"/>
    <w:qFormat/>
    <w:uiPriority w:val="0"/>
    <w:rPr>
      <w:rFonts w:cs="Arial"/>
      <w:b/>
      <w:bCs/>
      <w:sz w:val="24"/>
      <w:szCs w:val="24"/>
    </w:rPr>
  </w:style>
  <w:style w:type="character" w:customStyle="1" w:styleId="192">
    <w:name w:val="ListLabel 169"/>
    <w:qFormat/>
    <w:uiPriority w:val="0"/>
    <w:rPr>
      <w:b/>
      <w:bCs/>
    </w:rPr>
  </w:style>
  <w:style w:type="character" w:customStyle="1" w:styleId="193">
    <w:name w:val="ListLabel 170"/>
    <w:qFormat/>
    <w:uiPriority w:val="0"/>
    <w:rPr>
      <w:sz w:val="16"/>
    </w:rPr>
  </w:style>
  <w:style w:type="character" w:customStyle="1" w:styleId="194">
    <w:name w:val="ListLabel 171"/>
    <w:qFormat/>
    <w:uiPriority w:val="0"/>
    <w:rPr>
      <w:sz w:val="18"/>
    </w:rPr>
  </w:style>
  <w:style w:type="character" w:customStyle="1" w:styleId="195">
    <w:name w:val="ListLabel 172"/>
    <w:qFormat/>
    <w:uiPriority w:val="0"/>
    <w:rPr>
      <w:rFonts w:cs="Symbol"/>
      <w:sz w:val="16"/>
    </w:rPr>
  </w:style>
  <w:style w:type="character" w:customStyle="1" w:styleId="196">
    <w:name w:val="ListLabel 173"/>
    <w:qFormat/>
    <w:uiPriority w:val="0"/>
    <w:rPr>
      <w:rFonts w:cs="Courier New"/>
    </w:rPr>
  </w:style>
  <w:style w:type="character" w:customStyle="1" w:styleId="197">
    <w:name w:val="ListLabel 174"/>
    <w:qFormat/>
    <w:uiPriority w:val="0"/>
    <w:rPr>
      <w:rFonts w:cs="Wingdings"/>
    </w:rPr>
  </w:style>
  <w:style w:type="character" w:customStyle="1" w:styleId="198">
    <w:name w:val="ListLabel 175"/>
    <w:qFormat/>
    <w:uiPriority w:val="0"/>
    <w:rPr>
      <w:rFonts w:cs="Symbol"/>
    </w:rPr>
  </w:style>
  <w:style w:type="character" w:customStyle="1" w:styleId="199">
    <w:name w:val="ListLabel 176"/>
    <w:qFormat/>
    <w:uiPriority w:val="0"/>
    <w:rPr>
      <w:rFonts w:cs="Courier New"/>
    </w:rPr>
  </w:style>
  <w:style w:type="character" w:customStyle="1" w:styleId="200">
    <w:name w:val="ListLabel 177"/>
    <w:qFormat/>
    <w:uiPriority w:val="0"/>
    <w:rPr>
      <w:rFonts w:cs="Wingdings"/>
    </w:rPr>
  </w:style>
  <w:style w:type="character" w:customStyle="1" w:styleId="201">
    <w:name w:val="ListLabel 178"/>
    <w:qFormat/>
    <w:uiPriority w:val="0"/>
    <w:rPr>
      <w:rFonts w:cs="Symbol"/>
    </w:rPr>
  </w:style>
  <w:style w:type="character" w:customStyle="1" w:styleId="202">
    <w:name w:val="ListLabel 179"/>
    <w:qFormat/>
    <w:uiPriority w:val="0"/>
    <w:rPr>
      <w:rFonts w:cs="Courier New"/>
    </w:rPr>
  </w:style>
  <w:style w:type="character" w:customStyle="1" w:styleId="203">
    <w:name w:val="ListLabel 180"/>
    <w:qFormat/>
    <w:uiPriority w:val="0"/>
    <w:rPr>
      <w:rFonts w:cs="Wingdings"/>
    </w:rPr>
  </w:style>
  <w:style w:type="character" w:customStyle="1" w:styleId="204">
    <w:name w:val="ListLabel 181"/>
    <w:qFormat/>
    <w:uiPriority w:val="0"/>
    <w:rPr>
      <w:sz w:val="18"/>
      <w:szCs w:val="16"/>
    </w:rPr>
  </w:style>
  <w:style w:type="character" w:customStyle="1" w:styleId="205">
    <w:name w:val="ListLabel 182"/>
    <w:qFormat/>
    <w:uiPriority w:val="0"/>
    <w:rPr>
      <w:rFonts w:cs="Arial"/>
      <w:b/>
      <w:bCs/>
      <w:sz w:val="24"/>
      <w:szCs w:val="24"/>
    </w:rPr>
  </w:style>
  <w:style w:type="character" w:customStyle="1" w:styleId="206">
    <w:name w:val="ListLabel 183"/>
    <w:qFormat/>
    <w:uiPriority w:val="0"/>
    <w:rPr>
      <w:b/>
      <w:bCs/>
    </w:rPr>
  </w:style>
  <w:style w:type="character" w:customStyle="1" w:styleId="207">
    <w:name w:val="ListLabel 184"/>
    <w:qFormat/>
    <w:uiPriority w:val="0"/>
    <w:rPr>
      <w:sz w:val="16"/>
    </w:rPr>
  </w:style>
  <w:style w:type="character" w:customStyle="1" w:styleId="208">
    <w:name w:val="ListLabel 185"/>
    <w:qFormat/>
    <w:uiPriority w:val="0"/>
    <w:rPr>
      <w:sz w:val="18"/>
    </w:rPr>
  </w:style>
  <w:style w:type="character" w:customStyle="1" w:styleId="209">
    <w:name w:val="ListLabel 186"/>
    <w:qFormat/>
    <w:uiPriority w:val="0"/>
    <w:rPr>
      <w:rFonts w:cs="Symbol"/>
      <w:sz w:val="16"/>
    </w:rPr>
  </w:style>
  <w:style w:type="character" w:customStyle="1" w:styleId="210">
    <w:name w:val="ListLabel 187"/>
    <w:qFormat/>
    <w:uiPriority w:val="0"/>
    <w:rPr>
      <w:rFonts w:cs="Courier New"/>
    </w:rPr>
  </w:style>
  <w:style w:type="character" w:customStyle="1" w:styleId="211">
    <w:name w:val="ListLabel 188"/>
    <w:qFormat/>
    <w:uiPriority w:val="0"/>
    <w:rPr>
      <w:rFonts w:cs="Wingdings"/>
    </w:rPr>
  </w:style>
  <w:style w:type="character" w:customStyle="1" w:styleId="212">
    <w:name w:val="ListLabel 189"/>
    <w:qFormat/>
    <w:uiPriority w:val="0"/>
    <w:rPr>
      <w:rFonts w:cs="Symbol"/>
    </w:rPr>
  </w:style>
  <w:style w:type="character" w:customStyle="1" w:styleId="213">
    <w:name w:val="ListLabel 190"/>
    <w:qFormat/>
    <w:uiPriority w:val="0"/>
    <w:rPr>
      <w:rFonts w:cs="Courier New"/>
    </w:rPr>
  </w:style>
  <w:style w:type="character" w:customStyle="1" w:styleId="214">
    <w:name w:val="ListLabel 191"/>
    <w:qFormat/>
    <w:uiPriority w:val="0"/>
    <w:rPr>
      <w:rFonts w:cs="Wingdings"/>
    </w:rPr>
  </w:style>
  <w:style w:type="character" w:customStyle="1" w:styleId="215">
    <w:name w:val="ListLabel 192"/>
    <w:qFormat/>
    <w:uiPriority w:val="0"/>
    <w:rPr>
      <w:rFonts w:cs="Symbol"/>
    </w:rPr>
  </w:style>
  <w:style w:type="character" w:customStyle="1" w:styleId="216">
    <w:name w:val="ListLabel 193"/>
    <w:qFormat/>
    <w:uiPriority w:val="0"/>
    <w:rPr>
      <w:rFonts w:cs="Courier New"/>
    </w:rPr>
  </w:style>
  <w:style w:type="character" w:customStyle="1" w:styleId="217">
    <w:name w:val="ListLabel 194"/>
    <w:qFormat/>
    <w:uiPriority w:val="0"/>
    <w:rPr>
      <w:rFonts w:cs="Wingdings"/>
    </w:rPr>
  </w:style>
  <w:style w:type="character" w:customStyle="1" w:styleId="218">
    <w:name w:val="ListLabel 195"/>
    <w:qFormat/>
    <w:uiPriority w:val="0"/>
    <w:rPr>
      <w:sz w:val="18"/>
      <w:szCs w:val="16"/>
    </w:rPr>
  </w:style>
  <w:style w:type="character" w:customStyle="1" w:styleId="219">
    <w:name w:val="ListLabel 196"/>
    <w:qFormat/>
    <w:uiPriority w:val="0"/>
    <w:rPr>
      <w:rFonts w:cs="Arial"/>
      <w:b/>
      <w:bCs/>
      <w:sz w:val="24"/>
      <w:szCs w:val="24"/>
    </w:rPr>
  </w:style>
  <w:style w:type="character" w:customStyle="1" w:styleId="220">
    <w:name w:val="ListLabel 197"/>
    <w:qFormat/>
    <w:uiPriority w:val="0"/>
    <w:rPr>
      <w:b/>
      <w:bCs/>
    </w:rPr>
  </w:style>
  <w:style w:type="character" w:customStyle="1" w:styleId="221">
    <w:name w:val="ListLabel 198"/>
    <w:qFormat/>
    <w:uiPriority w:val="0"/>
    <w:rPr>
      <w:sz w:val="16"/>
    </w:rPr>
  </w:style>
  <w:style w:type="character" w:customStyle="1" w:styleId="222">
    <w:name w:val="ListLabel 199"/>
    <w:qFormat/>
    <w:uiPriority w:val="0"/>
    <w:rPr>
      <w:sz w:val="18"/>
    </w:rPr>
  </w:style>
  <w:style w:type="character" w:customStyle="1" w:styleId="223">
    <w:name w:val="ListLabel 200"/>
    <w:qFormat/>
    <w:uiPriority w:val="0"/>
    <w:rPr>
      <w:rFonts w:cs="Symbol"/>
      <w:sz w:val="16"/>
    </w:rPr>
  </w:style>
  <w:style w:type="character" w:customStyle="1" w:styleId="224">
    <w:name w:val="ListLabel 201"/>
    <w:qFormat/>
    <w:uiPriority w:val="0"/>
    <w:rPr>
      <w:rFonts w:cs="Courier New"/>
    </w:rPr>
  </w:style>
  <w:style w:type="character" w:customStyle="1" w:styleId="225">
    <w:name w:val="ListLabel 202"/>
    <w:qFormat/>
    <w:uiPriority w:val="0"/>
    <w:rPr>
      <w:rFonts w:cs="Wingdings"/>
    </w:rPr>
  </w:style>
  <w:style w:type="character" w:customStyle="1" w:styleId="226">
    <w:name w:val="ListLabel 203"/>
    <w:qFormat/>
    <w:uiPriority w:val="0"/>
    <w:rPr>
      <w:rFonts w:cs="Symbol"/>
    </w:rPr>
  </w:style>
  <w:style w:type="character" w:customStyle="1" w:styleId="227">
    <w:name w:val="ListLabel 204"/>
    <w:qFormat/>
    <w:uiPriority w:val="0"/>
    <w:rPr>
      <w:rFonts w:cs="Courier New"/>
    </w:rPr>
  </w:style>
  <w:style w:type="character" w:customStyle="1" w:styleId="228">
    <w:name w:val="ListLabel 205"/>
    <w:qFormat/>
    <w:uiPriority w:val="0"/>
    <w:rPr>
      <w:rFonts w:cs="Wingdings"/>
    </w:rPr>
  </w:style>
  <w:style w:type="character" w:customStyle="1" w:styleId="229">
    <w:name w:val="ListLabel 206"/>
    <w:qFormat/>
    <w:uiPriority w:val="0"/>
    <w:rPr>
      <w:rFonts w:cs="Symbol"/>
    </w:rPr>
  </w:style>
  <w:style w:type="character" w:customStyle="1" w:styleId="230">
    <w:name w:val="ListLabel 207"/>
    <w:qFormat/>
    <w:uiPriority w:val="0"/>
    <w:rPr>
      <w:rFonts w:cs="Courier New"/>
    </w:rPr>
  </w:style>
  <w:style w:type="character" w:customStyle="1" w:styleId="231">
    <w:name w:val="ListLabel 208"/>
    <w:qFormat/>
    <w:uiPriority w:val="0"/>
    <w:rPr>
      <w:rFonts w:cs="Wingdings"/>
    </w:rPr>
  </w:style>
  <w:style w:type="character" w:customStyle="1" w:styleId="232">
    <w:name w:val="ListLabel 209"/>
    <w:qFormat/>
    <w:uiPriority w:val="0"/>
    <w:rPr>
      <w:sz w:val="18"/>
      <w:szCs w:val="16"/>
    </w:rPr>
  </w:style>
  <w:style w:type="paragraph" w:customStyle="1" w:styleId="233">
    <w:name w:val="Nadpis"/>
    <w:basedOn w:val="1"/>
    <w:next w:val="8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234">
    <w:name w:val="Index"/>
    <w:basedOn w:val="1"/>
    <w:qFormat/>
    <w:uiPriority w:val="0"/>
    <w:pPr>
      <w:suppressLineNumbers/>
    </w:pPr>
    <w:rPr>
      <w:rFonts w:cs="Arial"/>
    </w:rPr>
  </w:style>
  <w:style w:type="paragraph" w:customStyle="1" w:styleId="235">
    <w:name w:val="Štýl 11 pt Tučné Čierna Podľa okraja Vľavo:  019 cm Riadkova..."/>
    <w:qFormat/>
    <w:uiPriority w:val="99"/>
    <w:pPr>
      <w:widowControl/>
      <w:bidi w:val="0"/>
      <w:spacing w:line="360" w:lineRule="auto"/>
      <w:jc w:val="both"/>
    </w:pPr>
    <w:rPr>
      <w:rFonts w:ascii="Arial" w:hAnsi="Arial" w:eastAsia="Times New Roman" w:cs="Arial"/>
      <w:color w:val="000000"/>
      <w:sz w:val="24"/>
      <w:szCs w:val="24"/>
      <w:lang w:val="sk-SK" w:eastAsia="cs-CZ" w:bidi="ar-SA"/>
    </w:rPr>
  </w:style>
  <w:style w:type="paragraph" w:customStyle="1" w:styleId="236">
    <w:name w:val="Štýl Podľa okraja Vľavo:  019 cm Riadkovanie:  15 riadka"/>
    <w:basedOn w:val="1"/>
    <w:autoRedefine/>
    <w:qFormat/>
    <w:uiPriority w:val="99"/>
    <w:pPr>
      <w:ind w:left="108" w:firstLine="0"/>
    </w:pPr>
  </w:style>
  <w:style w:type="paragraph" w:customStyle="1" w:styleId="237">
    <w:name w:val="Bod odôvodnenie"/>
    <w:qFormat/>
    <w:uiPriority w:val="99"/>
    <w:pPr>
      <w:widowControl/>
      <w:bidi w:val="0"/>
      <w:spacing w:before="120" w:after="120"/>
      <w:jc w:val="left"/>
    </w:pPr>
    <w:rPr>
      <w:rFonts w:ascii="Arial" w:hAnsi="Arial" w:eastAsia="Times New Roman" w:cs="Arial"/>
      <w:b/>
      <w:bCs/>
      <w:color w:val="00000A"/>
      <w:sz w:val="24"/>
      <w:szCs w:val="24"/>
      <w:lang w:val="sk-SK" w:eastAsia="cs-CZ" w:bidi="ar-SA"/>
    </w:rPr>
  </w:style>
  <w:style w:type="paragraph" w:customStyle="1" w:styleId="238">
    <w:name w:val="Štýl Arial Podľa okraja"/>
    <w:autoRedefine/>
    <w:qFormat/>
    <w:uiPriority w:val="99"/>
    <w:pPr>
      <w:widowControl/>
      <w:bidi w:val="0"/>
      <w:jc w:val="both"/>
    </w:pPr>
    <w:rPr>
      <w:rFonts w:ascii="Arial" w:hAnsi="Arial" w:eastAsia="Times New Roman" w:cs="Arial"/>
      <w:color w:val="00000A"/>
      <w:sz w:val="16"/>
      <w:szCs w:val="16"/>
      <w:lang w:val="sk-SK" w:eastAsia="cs-CZ" w:bidi="ar-SA"/>
    </w:rPr>
  </w:style>
  <w:style w:type="paragraph" w:customStyle="1" w:styleId="239">
    <w:name w:val="Text poznámky"/>
    <w:basedOn w:val="1"/>
    <w:autoRedefine/>
    <w:qFormat/>
    <w:uiPriority w:val="99"/>
    <w:pPr>
      <w:spacing w:line="240" w:lineRule="auto"/>
    </w:pPr>
  </w:style>
  <w:style w:type="paragraph" w:customStyle="1" w:styleId="240">
    <w:name w:val="Normálny1"/>
    <w:qFormat/>
    <w:uiPriority w:val="99"/>
    <w:pPr>
      <w:widowControl/>
      <w:bidi w:val="0"/>
      <w:spacing w:before="120" w:after="120" w:line="360" w:lineRule="auto"/>
      <w:ind w:firstLine="709"/>
      <w:jc w:val="both"/>
    </w:pPr>
    <w:rPr>
      <w:rFonts w:ascii="Arial" w:hAnsi="Arial" w:eastAsia="Times New Roman" w:cs="Arial"/>
      <w:color w:val="00000A"/>
      <w:sz w:val="24"/>
      <w:szCs w:val="24"/>
      <w:lang w:val="sk-SK" w:eastAsia="cs-CZ" w:bidi="ar-SA"/>
    </w:rPr>
  </w:style>
  <w:style w:type="paragraph" w:customStyle="1" w:styleId="241">
    <w:name w:val="Text opatrenia"/>
    <w:qFormat/>
    <w:uiPriority w:val="0"/>
    <w:pPr>
      <w:widowControl/>
      <w:bidi w:val="0"/>
      <w:spacing w:before="120" w:after="120"/>
      <w:jc w:val="both"/>
    </w:pPr>
    <w:rPr>
      <w:rFonts w:ascii="Arial Narrow" w:hAnsi="Arial Narrow" w:eastAsia="Times New Roman" w:cs="Arial Narrow"/>
      <w:color w:val="00000A"/>
      <w:sz w:val="20"/>
      <w:szCs w:val="22"/>
      <w:lang w:val="sk-SK" w:eastAsia="cs-CZ" w:bidi="ar-SA"/>
    </w:rPr>
  </w:style>
  <w:style w:type="paragraph" w:customStyle="1" w:styleId="242">
    <w:name w:val="Top Header"/>
    <w:basedOn w:val="1"/>
    <w:qFormat/>
    <w:uiPriority w:val="99"/>
    <w:pPr>
      <w:spacing w:before="0" w:after="0" w:line="240" w:lineRule="auto"/>
      <w:jc w:val="center"/>
    </w:pPr>
    <w:rPr>
      <w:b/>
      <w:bCs/>
      <w:sz w:val="22"/>
      <w:szCs w:val="22"/>
      <w:lang w:eastAsia="en-US"/>
    </w:rPr>
  </w:style>
  <w:style w:type="paragraph" w:styleId="243">
    <w:name w:val="List Paragraph"/>
    <w:basedOn w:val="1"/>
    <w:qFormat/>
    <w:uiPriority w:val="99"/>
    <w:pPr>
      <w:ind w:left="708" w:firstLine="0"/>
    </w:pPr>
  </w:style>
  <w:style w:type="paragraph" w:customStyle="1" w:styleId="244">
    <w:name w:val="Obsah tabuľky"/>
    <w:basedOn w:val="1"/>
    <w:qFormat/>
    <w:uiPriority w:val="0"/>
  </w:style>
  <w:style w:type="paragraph" w:customStyle="1" w:styleId="245">
    <w:name w:val="Nadpis tabuľky"/>
    <w:basedOn w:val="24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MF-SR</Company>
  <Pages>7</Pages>
  <Words>2874</Words>
  <Characters>17591</Characters>
  <Paragraphs>460</Paragraphs>
  <TotalTime>6</TotalTime>
  <ScaleCrop>false</ScaleCrop>
  <LinksUpToDate>false</LinksUpToDate>
  <CharactersWithSpaces>20018</CharactersWithSpaces>
  <Application>WPS Office_12.2.0.22549_F1E327BC-269C-435d-A152-05C5408002CA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2018-03-26T09:24:00Z</dcterms:created>
  <dc:creator>Vlaďka</dc:creator>
  <cp:lastModifiedBy>Vladimíra Mravíková Redenko</cp:lastModifiedBy>
  <cp:lastPrinted>2026-05-05T15:27:08Z</cp:lastPrinted>
  <dcterms:modified xsi:type="dcterms:W3CDTF">2026-05-05T15:27:17Z</dcterms:modified>
  <dc:title>Príloha č</dc:title>
  <cp:revision>337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MF-SR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KSOProductBuildVer">
    <vt:lpwstr>1033-12.2.0.22549</vt:lpwstr>
  </property>
  <property fmtid="{D5CDD505-2E9C-101B-9397-08002B2CF9AE}" pid="10" name="ICV">
    <vt:lpwstr>3241242B620E47AA8CEAB66B8AFD68AD_13</vt:lpwstr>
  </property>
</Properties>
</file>