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80"/>
        <w:jc w:val="center"/>
      </w:pPr>
      <w:r>
        <w:drawing>
          <wp:inline distT="0" distB="0" distL="0" distR="0">
            <wp:extent cx="1714500" cy="428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480"/>
        <w:jc w:val="center"/>
      </w:pPr>
      <w:r>
        <w:rPr>
          <w:rFonts w:ascii="Arial" w:cs="Arial" w:eastAsia="Arial" w:hAnsi="Arial"/>
          <w:b/>
          <w:bCs/>
          <w:color w:val="1A4B8C"/>
          <w:sz w:val="40"/>
          <w:szCs w:val="40"/>
        </w:rPr>
        <w:t xml:space="preserve">POZNÁMKY K ÚČTOVNEJ ZÁVIERKE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6B7280"/>
          <w:sz w:val="24"/>
          <w:szCs w:val="24"/>
        </w:rPr>
        <w:t xml:space="preserve">zostavené ku dňu 31. 12. 2025</w:t>
      </w:r>
    </w:p>
    <w:p>
      <w:pPr>
        <w:spacing w:after="480" w:before="0"/>
        <w:jc w:val="center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Moebius Labs s. r. o.</w:t>
      </w:r>
    </w:p>
    <w:p>
      <w:pPr>
        <w:pBdr>
          <w:bottom w:val="single" w:color="1A4B8C" w:sz="6" w:space="2"/>
        </w:pBdr>
        <w:spacing w:after="480" w:before="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1. VŠEOBECNÉ INFORMÁCIE O ÚČTOVNEJ JEDNOTKE</w:t>
      </w:r>
    </w:p>
    <w:p>
      <w:pPr>
        <w:spacing w:after="40" w:before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Obchodné meno: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Moebius Labs s. r. o.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IČO: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54 496 110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DIČ: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2121691814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Sídlo: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Obchodná 559/37, 811 06 Bratislava-Staré Mesto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Okres: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Bratislava I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Kraj: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Bratislavský kraj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SK NACE: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62020 – Poradenstvo týkajúce sa počítačov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Právna forma: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Spoločnosť s ručením obmedzeným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Obchodný register: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Obchodný register SR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Zostavená ku dňu: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31. 12. 2025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Deň zostavenia: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[DOPLNIŤ]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Účtovné obdobie: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1. 1. 2025 – 31. 12. 2025</w:t>
            </w:r>
          </w:p>
        </w:tc>
      </w:tr>
    </w:tbl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1.1 Predmet podnikania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Spoločnosť Moebius Labs s. r. o. vykonáva podnikateľskú činnosť v oblasti informačných technológií so zameraním na poradenstvo týkajúce sa počítačov (SK NACE 62020). Predmetom činnosti je poskytovanie odborného poradenstva, analýzy a konzultácií v oblasti IT systémov, softvérových riešení a digitálnej transformácie pre klientov.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1.2 Štatutárny orgán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[DOPLNIŤ: meno a priezvisko konateľa / konateľov, dátum vzniku funkcie]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1.3 Spoločníci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[DOPLNIŤ: meno a priezvisko / obchodné meno spoločníkov, výška vkladu, obchodný podiel v %]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1.4 Zmeny v priebehu účtovného obdobia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V priebehu účtovného obdobia 2025 nedošlo k žiadnym podstatným zmenám v predmete podnikania, právnej forme ani štatutárnych orgánoch spoločnosti. [PRÍPADNE DOPLNIŤ]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1.5 Výskum a vývoj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Spoločnosť nevykonávala činnosti v oblasti výskumu a vývoja.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1.6 Organizačné zložky v zahraničí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Spoločnosť nemá zriadené žiadne organizačné zložky v zahraničí.</w:t>
      </w:r>
    </w:p>
    <w:p>
      <w:pPr>
        <w:spacing w:after="40" w:before="4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2. ÚČTOVNÉ ZÁSADY A METÓDY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2.1 Súlad s právnymi predpismi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Účtovná závierka bola zostavená v súlade s: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zákonom č. 431/2002 Z. z. o účtovníctve v znení neskorších predpisov,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opatrením MF SR č. MF/23378/2014-74 o postupoch účtovania a rámcovej účtovej osnove pre podnikateľov v sústave podvojného účtovníctva,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opatrením MF SR č. MF/23377/2014-74, ktorým sa ustanovuje vzor individuálnej účtovnej závierky.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2.2 Predpoklad nepretržitého pokračovania činnosti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Účtovná závierka bola zostavená za predpokladu, že spoločnosť bude nepretržite pokračovať vo svojej činnosti a nenastala žiadna skutočnosť, ktorá by obmedzovala alebo zabraňovala pokračovaniu činnosti v blízkej budúcnosti.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2.3 Dlhodobý majetok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Dlhodobý hmotný majetok je ocenený obstarávacou cenou zníženou o oprávky a opravné položky. Odpisový plán je zostavený na základe predpokladanej doby použiteľnosti majetku.</w:t>
      </w:r>
    </w:p>
    <w:p>
      <w:pPr>
        <w:spacing w:after="40" w:before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360"/>
      </w:tblGrid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Druh majetku</w:t>
            </w:r>
          </w:p>
        </w:tc>
        <w:tc>
          <w:tcPr>
            <w:tcW w:type="dxa" w:w="5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Odpisová skupina / Doba odpisovania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Výpočtová technika (PC, servery, notebooky)</w:t>
            </w:r>
          </w:p>
        </w:tc>
        <w:tc>
          <w:tcPr>
            <w:tcW w:type="dxa" w:w="5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1. odpisová skupina / 4 roky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Softvér (nehmotný majetok)</w:t>
            </w:r>
          </w:p>
        </w:tc>
        <w:tc>
          <w:tcPr>
            <w:tcW w:type="dxa" w:w="5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2. odpisová skupina / 6 rokov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Kancelárske zariadenia</w:t>
            </w:r>
          </w:p>
        </w:tc>
        <w:tc>
          <w:tcPr>
            <w:tcW w:type="dxa" w:w="5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2. odpisová skupina / 6 rokov</w:t>
            </w:r>
          </w:p>
        </w:tc>
      </w:tr>
    </w:tbl>
    <w:p>
      <w:pPr>
        <w:spacing w:after="40" w:before="40"/>
      </w:pP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Majetok s obstarávacou cenou do 1 700 € a dobou použiteľnosti do 1 roka sa považuje za zásoby alebo sa účtuje priamo do nákladov.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2.4 Zásoby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Spoločnosť neeviduje zásoby. V prípade obstarania materiálu sa tento účtuje priamo do spotreby.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2.5 Pohľadávky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Pohľadávky sú ocenené menovitou hodnotou. K pochybným a nedobytným pohľadávkam sú tvorené opravné položky vo výške zodpovedajúcej riziku ich nevymožiteľnosti.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2.6 Finančné účty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Peniaze v hotovosti a na bankových účtoch sú ocenené menovitou hodnotou.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2.7 Záväzky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Záväzky sú ocenené menovitou hodnotou.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2.8 Výnosy a náklady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Výnosy a náklady sa účtujú časovo a vecne tak, aby zodpovedali účtovnému obdobiu, s ktorým vecne a časovo súvisia.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2.9 Cudzá mena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Pohľadávky a záväzky v cudzej mene sú prepočítané kurzom Európskej centrálnej banky k dátumu uskutočnenia účtovného prípadu. Ku dňu účtovnej závierky sú prepočítané kurzom ECB platným ku dňu zostavenia závierky. Kurzové rozdiely sa účtujú do finančných výnosov alebo nákladov.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2.10 Daň z príjmov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Splatná daň z príjmov je vypočítaná v súlade so zákonom č. 595/2003 Z. z. o dani z príjmov. Odložená daňová pohľadávka alebo záväzok [DOPLNIŤ: sa tvorí / netvorí].</w:t>
      </w:r>
    </w:p>
    <w:p>
      <w:pPr>
        <w:spacing w:after="40" w:before="4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3. INFORMÁCIE K SÚVAHE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3.1 Dlhodobý majetok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Prehľad dlhodobého majetku (pohyby v účtovnom období 2025):</w:t>
      </w:r>
    </w:p>
    <w:p>
      <w:pPr>
        <w:spacing w:after="40" w:before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640"/>
        <w:gridCol w:w="1640"/>
        <w:gridCol w:w="1640"/>
        <w:gridCol w:w="1640"/>
      </w:tblGrid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Druh majetku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Stav 1. 1. 2025 (€)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Prírastky (€)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Úbytky (€)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Stav 31. 12. 2025 (€)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Nehmotný dlhodobý majetok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Hmotný dlhodobý majetok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SPOLU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16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3.2 Pohľadávky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Štruktúra pohľadávok k 31. 12. 2025:</w:t>
      </w:r>
    </w:p>
    <w:p>
      <w:pPr>
        <w:spacing w:after="40" w:before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Druh pohľadávky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Bežné obdobie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Minulé obdobie (€)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Pohľadávky z obchodného styku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Daňové pohľadávky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Iné pohľadávky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SPOLU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Pohľadávky po splatnosti: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Kategória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Suma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Poznámka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Do 30 dní po splatnosti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31 – 180 dní po splatnosti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Viac ako 180 dní po splatnosti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3.3 Záväzky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Štruktúra záväzkov k 31. 12. 2025:</w:t>
      </w:r>
    </w:p>
    <w:p>
      <w:pPr>
        <w:spacing w:after="40" w:before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Druh záväzku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Bežné obdobie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Minulé obdobie (€)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Záväzky z obchodného styku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Záväzky voči zamestnancom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Záväzky zo sociálneho poistenia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Daňové záväzky a dotácie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Iné záväzky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SPOLU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3.4 Vlastné imanie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Položka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Bežné obdobie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Minulé obdobie (€)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Základné imanie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Zákonný rezervný fond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Ostatné fondy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Výsledok hospodárenia minulých rokov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Výsledok hospodárenia bežného obdobia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SPOLU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4. INFORMÁCIE K VÝKAZU ZISKOV A STRÁT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4.1 Tržby a výnosy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Položka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Bežné obdobie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Minulé obdobie (€)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Tržby z predaja výrobkov a služieb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Tržby z predaja tovaru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Ostatné prevádzkové výnosy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Finančné výnosy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VÝNOSY CELKOM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4.2 Náklady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Položka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Bežné obdobie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Minulé obdobie (€)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Spotreba materiálu a energie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Služby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Osobné náklady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Odpisy dlhodobého majetku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Ostatné prevádzkové náklady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Finančné náklady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Daň z príjmov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NÁKLADY CELKOM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4.3 Výsledok hospodárenia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Položka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Bežné obdobie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Minulé obdobie (€)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Výsledok hospodárenia z prevádzkovej činnosti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Výsledok hospodárenia z finančnej činnosti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VH pred zdanením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Daň z príjmov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VH po zdanení (čistý zisk / strata)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5. ZAMESTNANCI A OSOBNÉ NÁKLADY</w:t>
      </w:r>
    </w:p>
    <w:p>
      <w:pPr>
        <w:spacing w:after="40" w:before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Položka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Bežné obdobie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Minulé obdobie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Priemerný prepočítaný počet zamestnancov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Mzdové náklady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Náklady na sociálne zabezpečenie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Zdravotné poistenie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  ]</w:t>
            </w:r>
          </w:p>
        </w:tc>
      </w:tr>
      <w:tr>
        <w:tc>
          <w:tcPr>
            <w:tcW w:type="dxa" w:w="4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Osobné náklady celkom (€)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8"/>
                <w:szCs w:val="18"/>
              </w:rPr>
              <w:t xml:space="preserve">[  ]</w:t>
            </w:r>
          </w:p>
        </w:tc>
      </w:tr>
    </w:tbl>
    <w:p>
      <w:pPr>
        <w:spacing w:after="40" w:before="40"/>
      </w:pP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Odmeny štatutárnym orgánom (konateľom): [DOPLNIŤ: suma / žiadne odmeny neboli vyplácané]</w:t>
      </w:r>
    </w:p>
    <w:p>
      <w:pPr>
        <w:spacing w:after="40" w:before="4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6. DAŇOVÉ INFORMÁCIE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6.1 Daň z príjmov právnickej osoby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Spoločnosť podlieha dani z príjmov právnických osôb podľa zákona č. 595/2003 Z. z. Uplatňovaná sadzba dane: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21 % – štandardná sadzba (príjmy nad 100 000 €), alebo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10 % – znížená sadzba pre malé podniky (príjmy do 100 000 €).</w:t>
      </w:r>
    </w:p>
    <w:p>
      <w:pPr>
        <w:spacing w:after="40" w:before="40"/>
      </w:pP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[DOPLNIŤ: Skutočne uplatňovaná sadzba a vypočítaná daňová povinnosť za rok 2025]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6.2 DPH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[DOPLNIŤ: Spoločnosť je / nie je platiteľom DPH od ____________. Obrat za sledované obdobie: __________ €]</w:t>
      </w:r>
    </w:p>
    <w:p>
      <w:pPr>
        <w:spacing w:after="40" w:before="4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7. SPRIAZNÉ OSOBY A TRANSAKCIE</w:t>
      </w:r>
    </w:p>
    <w:p>
      <w:pPr>
        <w:spacing w:after="40" w:before="40"/>
      </w:pP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V súlade s § 18 ods. 5 zákona o účtovníctve spoločnosť uvádza informácie o transakciách so spriaznenými osobami:</w:t>
      </w:r>
    </w:p>
    <w:p>
      <w:pPr>
        <w:spacing w:after="40" w:before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200"/>
        <w:gridCol w:w="2200"/>
        <w:gridCol w:w="2160"/>
      </w:tblGrid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Spriaznená osoba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Vzťah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Druh transakcie</w:t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4B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Suma (€)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[DOPLNIŤ]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[DOPLNIŤ]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[DOPLNIŤ]</w:t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[DOPLNIŤ]</w:t>
            </w:r>
          </w:p>
        </w:tc>
      </w:tr>
    </w:tbl>
    <w:p>
      <w:pPr>
        <w:spacing w:after="40" w:before="40"/>
      </w:pP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[Ak neexistujú spriaznené transakcie, uviesť: V sledovanom účtovnom období neboli uskutočnené žiadne transakcie so spriaznenými osobami, ktoré by boli uzatvorené za iných ako bežných trhových podmienok.]</w:t>
      </w:r>
    </w:p>
    <w:p>
      <w:pPr>
        <w:spacing w:after="40" w:before="4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8. PODMIENENÉ ZÁVÄZKY A UDALOSTI PO DÁTUME ZÁVIERKY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8.1 Podmienené záväzky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[DOPLNIŤ: napr. ručiteľské záväzky, prebiehajúce súdne spory, záložné práva alebo: Spoločnosť neeviduje žiadne podmienené záväzky k dátumu zostavenia účtovnej závierky.]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8.2 Udalosti po dátume zostavenia závierky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[DOPLNIŤ: Udalosti, ktoré nastali po 31. 12. 2025 do dňa zostavenia závierky a môžu mať vplyv na finančnú situáciu spoločnosti, alebo: Do dňa zostavenia tejto účtovnej závierky nenastali žiadne udalosti, ktoré by výrazne ovplyvnili finančnú situáciu spoločnosti.]</w:t>
      </w:r>
    </w:p>
    <w:p>
      <w:pPr>
        <w:spacing w:after="40" w:before="40"/>
      </w:pPr>
    </w:p>
    <w:p>
      <w:pPr>
        <w:pStyle w:val="Heading1"/>
        <w:pBdr>
          <w:bottom w:val="single" w:color="1A4B8C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4B8C"/>
          <w:sz w:val="28"/>
          <w:szCs w:val="28"/>
        </w:rPr>
        <w:t xml:space="preserve">9. INÉ INFORMÁCIE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9.1 Záväzky neuvedené v súvahe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[DOPLNIŤ: napr. operatívny lízing, nájomné zmluvy, alebo: Spoločnosť neeviduje záväzky, ktoré by mali byť uvedené mimo súvahy.]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9.2 Záložné práva a vecné bremená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[DOPLNIŤ alebo: Na majetok spoločnosti nie sú zriadené žiadne záložné práva ani vecné bremená.]</w:t>
      </w:r>
    </w:p>
    <w:p>
      <w:pPr>
        <w:spacing w:after="40" w:before="40"/>
      </w:pP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1A4B8C"/>
          <w:sz w:val="24"/>
          <w:szCs w:val="24"/>
        </w:rPr>
        <w:t xml:space="preserve">9.3 Audítorské náklady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Spoločnosť [podlieha / nepodlieha] povinnosti auditu účtovnej závierky. [Ak podlieha: Náklady na audit za rok 2025 predstavovali: __________ €]</w:t>
      </w:r>
    </w:p>
    <w:p>
      <w:pPr>
        <w:spacing w:after="40" w:before="40"/>
      </w:pPr>
    </w:p>
    <w:p>
      <w:pPr>
        <w:pBdr>
          <w:top w:val="single" w:color="1A4B8C" w:sz="6" w:space="4"/>
        </w:pBdr>
        <w:spacing w:after="240" w:before="480"/>
      </w:pPr>
    </w:p>
    <w:p>
      <w:pPr>
        <w:spacing w:after="60" w:before="60"/>
      </w:pPr>
      <w:r>
        <w:rPr>
          <w:rFonts w:ascii="Arial" w:cs="Arial" w:eastAsia="Arial" w:hAnsi="Arial"/>
          <w:b/>
          <w:bCs/>
          <w:color w:val="1A1A2E"/>
          <w:sz w:val="20"/>
          <w:szCs w:val="20"/>
        </w:rPr>
        <w:t xml:space="preserve">Prehlásenie štatutárneho orgánu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0"/>
          <w:szCs w:val="20"/>
        </w:rPr>
        <w:t xml:space="preserve">Poznámky k účtovnej závierke boli zostavené v súlade so zákonom č. 431/2002 Z. z. o účtovníctve v znení neskorších predpisov a poskytujú verný a pravdivý obraz o majetkovej a finančnej situácii spoločnosti Moebius Labs s. r. o.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 Bratislave, dňa: ________________________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Podpis konateľa: ________________________</w:t>
            </w:r>
          </w:p>
        </w:tc>
      </w:tr>
    </w:tbl>
    <w:p>
      <w:pPr>
        <w:spacing w:after="40" w:before="40"/>
      </w:pPr>
    </w:p>
    <w:p>
      <w:pPr>
        <w:spacing w:after="60" w:before="120"/>
        <w:jc w:val="center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Moebius Labs s. r. o. | Obchodná 559/37, 811 06 Bratislava | IČO: 54 496 110</w:t>
      </w:r>
    </w:p>
    <w:p>
      <w:pPr>
        <w:spacing w:after="60" w:before="0"/>
        <w:jc w:val="center"/>
      </w:pPr>
      <w:r>
        <w:rPr>
          <w:rFonts w:ascii="Arial" w:cs="Arial" w:eastAsia="Arial" w:hAnsi="Arial"/>
          <w:i/>
          <w:iCs/>
          <w:color w:val="1A4B8C"/>
          <w:sz w:val="16"/>
          <w:szCs w:val="16"/>
        </w:rPr>
        <w:t xml:space="preserve">Dokument pripravený s podporou SMAART Accounting &amp; Advisory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A4B8C" w:sz="4" w:space="4"/>
      </w:pBdr>
      <w:tabs>
        <w:tab w:val="right" w:pos="9072"/>
      </w:tabs>
      <w:spacing w:before="80"/>
    </w:pPr>
    <w:r>
      <w:rPr>
        <w:rFonts w:ascii="Arial" w:cs="Arial" w:eastAsia="Arial" w:hAnsi="Arial"/>
        <w:color w:val="6B7280"/>
        <w:sz w:val="16"/>
        <w:szCs w:val="16"/>
      </w:rPr>
      <w:t xml:space="preserve">Moebius Labs s. r. o. | IČO: 54 496 110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6B7280"/>
        <w:sz w:val="16"/>
        <w:szCs w:val="16"/>
      </w:rPr>
      <w:t xml:space="preserve">Strana </w:t>
    </w:r>
    <w:fldSimple w:instr="[object Object]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A4B8C" w:sz="4" w:space="4"/>
      </w:pBdr>
      <w:tabs>
        <w:tab w:val="right" w:pos="9072"/>
      </w:tabs>
      <w:spacing w:after="80"/>
    </w:pPr>
    <w:r>
      <w:drawing>
        <wp:inline distT="0" distB="0" distL="0" distR="0">
          <wp:extent cx="952500" cy="2381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6B7280"/>
        <w:sz w:val="16"/>
        <w:szCs w:val="16"/>
      </w:rPr>
      <w:t xml:space="preserve">Poznámky k účtovnej závierke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20"/>
      <w:outlineLvl w:val="0"/>
    </w:pPr>
    <w:rPr>
      <w:rFonts w:ascii="Arial" w:cs="Arial" w:eastAsia="Arial" w:hAnsi="Arial"/>
      <w:b/>
      <w:bCs/>
      <w:color w:val="1A4B8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1A4B8C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59bb99369b3783ddca286239a1240bb171aca2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259bb99369b3783ddca286239a1240bb171aca2c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2026-05-12T15:08:40.124Z</dcterms:created>
  <dcterms:modified xsi:type="dcterms:W3CDTF">2026-05-12T15:08:40.125Z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