
<file path=[Content_Types].xml><?xml version="1.0" encoding="utf-8"?>
<Types xmlns="http://schemas.openxmlformats.org/package/2006/content-types">
  <Default ContentType="image/png" Extension="png"/>
  <Default ContentType="image/jpeg" Extension="jpeg"/>
  <Default ContentType="image/jpeg" Extension="jpg"/>
  <Default ContentType="image/bmp" Extension="bmp"/>
  <Default ContentType="image/gif" Extension="gif"/>
  <Default ContentType="image/svg+xml" Extension="svg"/>
  <Default ContentType="application/vnd.openxmlformats-package.relationships+xml" Extension="rels"/>
  <Default ContentType="application/xml" Extension="xml"/>
  <Default ContentType="application/vnd.openxmlformats-officedocument.obfuscatedFont" Extension="odttf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extended-properties+xml" PartName="/docProps/app.xml"/>
  <Override ContentType="application/vnd.openxmlformats-officedocument.wordprocessingml.numbering+xml" PartName="/word/numbering.xml"/>
  <Override ContentType="application/vnd.openxmlformats-officedocument.wordprocessingml.footnotes+xml" PartName="/word/footnotes.xml"/>
  <Override ContentType="application/vnd.openxmlformats-officedocument.wordprocessingml.endnotes+xml" PartName="/word/endnotes.xml"/>
  <Override ContentType="application/vnd.openxmlformats-officedocument.wordprocessingml.settings+xml" PartName="/word/settings.xml"/>
  <Override ContentType="application/vnd.openxmlformats-officedocument.wordprocessingml.comments+xml" PartName="/word/comments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footer+xml" PartName="/word/footer1.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p14">
  <w:body>
    <w:p>
      <w:pPr>
        <w:spacing w:after="120" w:before="480"/>
        <w:jc w:val="center"/>
      </w:pPr>
      <w:r>
        <w:drawing>
          <wp:inline distT="0" distB="0" distL="0" distR="0">
            <wp:extent cx="1714500" cy="428625"/>
            <wp:effectExtent t="0" r="0" b="0" l="0"/>
            <wp:docPr id="1" name="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 descr=""/>
                    <pic:cNvPicPr>
                      <a:picLocks noChangeAspect="1" noChangeArrowheads="1"/>
                    </pic:cNvPicPr>
                  </pic:nvPicPr>
                  <pic:blipFill>
                    <a:blip r:embed="rId9" cstate="none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after="120" w:before="480"/>
        <w:jc w:val="center"/>
      </w:pPr>
      <w:r>
        <w:rPr>
          <w:rFonts w:ascii="Arial" w:cs="Arial" w:eastAsia="Arial" w:hAnsi="Arial"/>
          <w:b/>
          <w:bCs/>
          <w:color w:val="1A4B8C"/>
          <w:sz w:val="40"/>
          <w:szCs w:val="40"/>
        </w:rPr>
        <w:t xml:space="preserve">POZNÁMKY K ÚČTOVNEJ ZÁVIERKE</w:t>
      </w:r>
    </w:p>
    <w:p>
      <w:pPr>
        <w:spacing w:after="80" w:before="0"/>
        <w:jc w:val="center"/>
      </w:pPr>
      <w:r>
        <w:rPr>
          <w:rFonts w:ascii="Arial" w:cs="Arial" w:eastAsia="Arial" w:hAnsi="Arial"/>
          <w:color w:val="6B7280"/>
          <w:sz w:val="24"/>
          <w:szCs w:val="24"/>
        </w:rPr>
        <w:t xml:space="preserve">zostavené ku dňu 31. 12. 2025</w:t>
      </w:r>
    </w:p>
    <w:p>
      <w:pPr>
        <w:spacing w:after="480" w:before="0"/>
        <w:jc w:val="center"/>
      </w:pPr>
      <w:r>
        <w:rPr>
          <w:rFonts w:ascii="Arial" w:cs="Arial" w:eastAsia="Arial" w:hAnsi="Arial"/>
          <w:b/>
          <w:bCs/>
          <w:color w:val="1A1A2E"/>
          <w:sz w:val="28"/>
          <w:szCs w:val="28"/>
        </w:rPr>
        <w:t xml:space="preserve">Moebius Labs s. r. o.</w:t>
      </w:r>
    </w:p>
    <w:p>
      <w:pPr>
        <w:pBdr>
          <w:bottom w:val="single" w:color="1A4B8C" w:sz="6" w:space="2"/>
        </w:pBdr>
        <w:spacing w:after="480" w:before="0"/>
      </w:pPr>
    </w:p>
    <w:p>
      <w:pPr>
        <w:pStyle w:val="Heading1"/>
        <w:pBdr>
          <w:bottom w:val="single" w:color="1A4B8C" w:sz="4" w:space="4"/>
        </w:pBdr>
        <w:spacing w:after="120" w:before="320"/>
      </w:pPr>
      <w:r>
        <w:rPr>
          <w:rFonts w:ascii="Arial" w:cs="Arial" w:eastAsia="Arial" w:hAnsi="Arial"/>
          <w:b/>
          <w:bCs/>
          <w:color w:val="1A4B8C"/>
          <w:sz w:val="28"/>
          <w:szCs w:val="28"/>
        </w:rPr>
        <w:t xml:space="preserve">1. VŠEOBECNÉ INFORMÁCIE O ÚČTOVNEJ JEDNOTKE</w:t>
      </w:r>
    </w:p>
    <w:p>
      <w:pPr>
        <w:spacing w:after="40" w:before="40"/>
      </w:pP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3600"/>
        <w:gridCol w:w="5760"/>
      </w:tblGrid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Obchodné meno: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Moebius Labs s. r. o.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IČO: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54 496 110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DIČ: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2121691814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Sídlo: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Obchodná 559/37, 811 06 Bratislava-Staré Mesto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Okres: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Bratislava I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Kraj: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Bratislavský kraj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SK NACE: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62020 – Poradenstvo týkajúce sa počítačov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Právna forma: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Spoločnosť s ručením obmedzeným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Obchodný register: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Obchodný register SR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Zostavená ku dňu: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31. 12. 2025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Deň zostavenia: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[DOPLNIŤ]</w:t>
            </w:r>
          </w:p>
        </w:tc>
      </w:tr>
      <w:tr>
        <w:tc>
          <w:tcPr>
            <w:tcW w:type="dxa" w:w="36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Účtovné obdobie:</w:t>
            </w:r>
          </w:p>
        </w:tc>
        <w:tc>
          <w:tcPr>
            <w:tcW w:type="dxa" w:w="57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1. 1. 2025 – 31. 12. 2025</w:t>
            </w:r>
          </w:p>
        </w:tc>
      </w:tr>
    </w:tbl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1.1 Predmet podnikania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Spoločnosť Moebius Labs s. r. o. vykonáva podnikateľskú činnosť v oblasti informačných technológií so zameraním na poradenstvo týkajúce sa počítačov (SK NACE 62020). Predmetom činnosti je poskytovanie odborného poradenstva, analýzy a konzultácií v oblasti IT systémov, softvérových riešení a digitálnej transformácie pre klientov.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1.2 Štatutárny orgán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[DOPLNIŤ: meno a priezvisko konateľa / konateľov, dátum vzniku funkcie]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1.3 Spoločníci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[DOPLNIŤ: meno a priezvisko / obchodné meno spoločníkov, výška vkladu, obchodný podiel v %]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1.4 Zmeny v priebehu účtovného obdobia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V priebehu účtovného obdobia 2025 nedošlo k žiadnym podstatným zmenám v predmete podnikania, právnej forme ani štatutárnych orgánoch spoločnosti. [PRÍPADNE DOPLNIŤ]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1.5 Výskum a vývoj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Spoločnosť nevykonávala činnosti v oblasti výskumu a vývoja.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1.6 Organizačné zložky v zahraničí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Spoločnosť nemá zriadené žiadne organizačné zložky v zahraničí.</w:t>
      </w:r>
    </w:p>
    <w:p>
      <w:pPr>
        <w:spacing w:after="40" w:before="40"/>
      </w:pPr>
    </w:p>
    <w:p>
      <w:pPr>
        <w:pStyle w:val="Heading1"/>
        <w:pBdr>
          <w:bottom w:val="single" w:color="1A4B8C" w:sz="4" w:space="4"/>
        </w:pBdr>
        <w:spacing w:after="120" w:before="320"/>
      </w:pPr>
      <w:r>
        <w:rPr>
          <w:rFonts w:ascii="Arial" w:cs="Arial" w:eastAsia="Arial" w:hAnsi="Arial"/>
          <w:b/>
          <w:bCs/>
          <w:color w:val="1A4B8C"/>
          <w:sz w:val="28"/>
          <w:szCs w:val="28"/>
        </w:rPr>
        <w:t xml:space="preserve">2. ÚČTOVNÉ ZÁSADY A METÓDY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2.1 Súlad s právnymi predpismi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Účtovná závierka bola zostavená v súlade s:</w:t>
      </w:r>
    </w:p>
    <w:p>
      <w:pPr>
        <w:pStyle w:val="ListParagraph"/>
        <w:numPr>
          <w:ilvl w:val="0"/>
          <w:numId w:val="2"/>
        </w:numPr>
        <w:spacing w:after="60" w:before="60"/>
      </w:pPr>
      <w:r>
        <w:rPr>
          <w:rFonts w:ascii="Arial" w:cs="Arial" w:eastAsia="Arial" w:hAnsi="Arial"/>
          <w:sz w:val="20"/>
          <w:szCs w:val="20"/>
        </w:rPr>
        <w:t xml:space="preserve">zákonom č. 431/2002 Z. z. o účtovníctve v znení neskorších predpisov,</w:t>
      </w:r>
    </w:p>
    <w:p>
      <w:pPr>
        <w:pStyle w:val="ListParagraph"/>
        <w:numPr>
          <w:ilvl w:val="0"/>
          <w:numId w:val="2"/>
        </w:numPr>
        <w:spacing w:after="60" w:before="60"/>
      </w:pPr>
      <w:r>
        <w:rPr>
          <w:rFonts w:ascii="Arial" w:cs="Arial" w:eastAsia="Arial" w:hAnsi="Arial"/>
          <w:sz w:val="20"/>
          <w:szCs w:val="20"/>
        </w:rPr>
        <w:t xml:space="preserve">opatrením MF SR č. MF/23378/2014-74 o postupoch účtovania a rámcovej účtovej osnove pre podnikateľov v sústave podvojného účtovníctva,</w:t>
      </w:r>
    </w:p>
    <w:p>
      <w:pPr>
        <w:pStyle w:val="ListParagraph"/>
        <w:numPr>
          <w:ilvl w:val="0"/>
          <w:numId w:val="2"/>
        </w:numPr>
        <w:spacing w:after="60" w:before="60"/>
      </w:pPr>
      <w:r>
        <w:rPr>
          <w:rFonts w:ascii="Arial" w:cs="Arial" w:eastAsia="Arial" w:hAnsi="Arial"/>
          <w:sz w:val="20"/>
          <w:szCs w:val="20"/>
        </w:rPr>
        <w:t xml:space="preserve">opatrením MF SR č. MF/23377/2014-74, ktorým sa ustanovuje vzor individuálnej účtovnej závierky.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2.2 Predpoklad nepretržitého pokračovania činnosti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Účtovná závierka bola zostavená za predpokladu, že spoločnosť bude nepretržite pokračovať vo svojej činnosti a nenastala žiadna skutočnosť, ktorá by obmedzovala alebo zabraňovala pokračovaniu činnosti v blízkej budúcnosti.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2.3 Dlhodobý majetok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Dlhodobý hmotný majetok je ocenený obstarávacou cenou zníženou o oprávky a opravné položky. Odpisový plán je zostavený na základe predpokladanej doby použiteľnosti majetku.</w:t>
      </w:r>
    </w:p>
    <w:p>
      <w:pPr>
        <w:spacing w:after="40" w:before="40"/>
      </w:pP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000"/>
        <w:gridCol w:w="5360"/>
      </w:tblGrid>
      <w:tr>
        <w:tc>
          <w:tcPr>
            <w:tcW w:type="dxa" w:w="40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Druh majetku</w:t>
            </w:r>
          </w:p>
        </w:tc>
        <w:tc>
          <w:tcPr>
            <w:tcW w:type="dxa" w:w="5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Odpisová skupina / Doba odpisovania</w:t>
            </w:r>
          </w:p>
        </w:tc>
      </w:tr>
      <w:tr>
        <w:tc>
          <w:tcPr>
            <w:tcW w:type="dxa" w:w="40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Výpočtová technika (PC, servery, notebooky)</w:t>
            </w:r>
          </w:p>
        </w:tc>
        <w:tc>
          <w:tcPr>
            <w:tcW w:type="dxa" w:w="5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1. odpisová skupina / 4 roky</w:t>
            </w:r>
          </w:p>
        </w:tc>
      </w:tr>
      <w:tr>
        <w:tc>
          <w:tcPr>
            <w:tcW w:type="dxa" w:w="40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Softvér (nehmotný majetok)</w:t>
            </w:r>
          </w:p>
        </w:tc>
        <w:tc>
          <w:tcPr>
            <w:tcW w:type="dxa" w:w="5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2. odpisová skupina / 6 rokov</w:t>
            </w:r>
          </w:p>
        </w:tc>
      </w:tr>
      <w:tr>
        <w:tc>
          <w:tcPr>
            <w:tcW w:type="dxa" w:w="40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Kancelárske zariadenia</w:t>
            </w:r>
          </w:p>
        </w:tc>
        <w:tc>
          <w:tcPr>
            <w:tcW w:type="dxa" w:w="5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2. odpisová skupina / 6 rokov</w:t>
            </w:r>
          </w:p>
        </w:tc>
      </w:tr>
    </w:tbl>
    <w:p>
      <w:pPr>
        <w:spacing w:after="40" w:before="40"/>
      </w:pP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Majetok s obstarávacou cenou do 1 700 € a dobou použiteľnosti do 1 roka sa považuje za zásoby alebo sa účtuje priamo do nákladov.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2.4 Zásoby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Spoločnosť neeviduje zásoby. V prípade obstarania materiálu sa tento účtuje priamo do spotreby.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2.5 Pohľadávky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Pohľadávky sú ocenené menovitou hodnotou. K pochybným a nedobytným pohľadávkam sú tvorené opravné položky vo výške zodpovedajúcej riziku ich nevymožiteľnosti.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2.6 Finančné účty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Peniaze v hotovosti a na bankových účtoch sú ocenené menovitou hodnotou.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2.7 Záväzky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Záväzky sú ocenené menovitou hodnotou.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2.8 Výnosy a náklady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Výnosy a náklady sa účtujú časovo a vecne tak, aby zodpovedali účtovnému obdobiu, s ktorým vecne a časovo súvisia.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2.9 Cudzá mena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Pohľadávky a záväzky v cudzej mene sú prepočítané kurzom Európskej centrálnej banky k dátumu uskutočnenia účtovného prípadu. Ku dňu účtovnej závierky sú prepočítané kurzom ECB platným ku dňu zostavenia závierky. Kurzové rozdiely sa účtujú do finančných výnosov alebo nákladov.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2.10 Daň z príjmov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Splatná daň z príjmov je vypočítaná v súlade so zákonom č. 595/2003 Z. z. o dani z príjmov. Odložená daňová pohľadávka alebo záväzok [DOPLNIŤ: sa tvorí / netvorí].</w:t>
      </w:r>
    </w:p>
    <w:p>
      <w:pPr>
        <w:spacing w:after="40" w:before="40"/>
      </w:pPr>
    </w:p>
    <w:p>
      <w:pPr>
        <w:pStyle w:val="Heading1"/>
        <w:pBdr>
          <w:bottom w:val="single" w:color="1A4B8C" w:sz="4" w:space="4"/>
        </w:pBdr>
        <w:spacing w:after="120" w:before="320"/>
      </w:pPr>
      <w:r>
        <w:rPr>
          <w:rFonts w:ascii="Arial" w:cs="Arial" w:eastAsia="Arial" w:hAnsi="Arial"/>
          <w:b/>
          <w:bCs/>
          <w:color w:val="1A4B8C"/>
          <w:sz w:val="28"/>
          <w:szCs w:val="28"/>
        </w:rPr>
        <w:t xml:space="preserve">3. INFORMÁCIE K SÚVAHE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3.1 Dlhodobý majetok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Prehľad dlhodobého majetku (pohyby v účtovnom období 2025):</w:t>
      </w:r>
    </w:p>
    <w:p>
      <w:pPr>
        <w:spacing w:after="40" w:before="40"/>
      </w:pP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2800"/>
        <w:gridCol w:w="1640"/>
        <w:gridCol w:w="1640"/>
        <w:gridCol w:w="1640"/>
        <w:gridCol w:w="1640"/>
      </w:tblGrid>
      <w:tr>
        <w:tc>
          <w:tcPr>
            <w:tcW w:type="dxa" w:w="28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Druh majetku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Stav 1. 1. 2025 (€)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Prírastky (€)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Úbytky (€)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Stav 31. 12. 2025 (€)</w:t>
            </w:r>
          </w:p>
        </w:tc>
      </w:tr>
      <w:tr>
        <w:tc>
          <w:tcPr>
            <w:tcW w:type="dxa" w:w="28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Nehmotný dlhodobý majetok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28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Hmotný dlhodobý majetok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28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SPOLU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164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</w:tr>
    </w:tbl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3.2 Pohľadávky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Štruktúra pohľadávok k 31. 12. 2025:</w:t>
      </w:r>
    </w:p>
    <w:p>
      <w:pPr>
        <w:spacing w:after="40" w:before="40"/>
      </w:pP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60"/>
        <w:gridCol w:w="2500"/>
        <w:gridCol w:w="2500"/>
      </w:tblGrid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Druh pohľadávky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Bežné obdobie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Minulé obdobie (€)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Pohľadávky z obchodného styku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Daňové pohľadávky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Iné pohľadávky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SPOLU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</w:tr>
    </w:tbl>
    <w:p>
      <w:pPr>
        <w:spacing w:after="40" w:before="40"/>
      </w:pP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Pohľadávky po splatnosti:</w:t>
      </w: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60"/>
        <w:gridCol w:w="2500"/>
        <w:gridCol w:w="2500"/>
      </w:tblGrid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Kategória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Suma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Poznámka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Do 30 dní po splatnosti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31 – 180 dní po splatnosti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Viac ako 180 dní po splatnosti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</w:tbl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3.3 Záväzky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Štruktúra záväzkov k 31. 12. 2025:</w:t>
      </w:r>
    </w:p>
    <w:p>
      <w:pPr>
        <w:spacing w:after="40" w:before="40"/>
      </w:pP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60"/>
        <w:gridCol w:w="2500"/>
        <w:gridCol w:w="2500"/>
      </w:tblGrid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Druh záväzku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Bežné obdobie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Minulé obdobie (€)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Záväzky z obchodného styku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Záväzky voči zamestnancom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Záväzky zo sociálneho poistenia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Daňové záväzky a dotácie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Iné záväzky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SPOLU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</w:tr>
    </w:tbl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3.4 Vlastné imanie</w:t>
      </w: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60"/>
        <w:gridCol w:w="2500"/>
        <w:gridCol w:w="2500"/>
      </w:tblGrid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Položka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Bežné obdobie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Minulé obdobie (€)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Základné imanie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Zákonný rezervný fond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Ostatné fondy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Výsledok hospodárenia minulých rokov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Výsledok hospodárenia bežného obdobia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SPOLU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</w:tr>
    </w:tbl>
    <w:p>
      <w:pPr>
        <w:spacing w:after="40" w:before="40"/>
      </w:pPr>
    </w:p>
    <w:p>
      <w:pPr>
        <w:pStyle w:val="Heading1"/>
        <w:pBdr>
          <w:bottom w:val="single" w:color="1A4B8C" w:sz="4" w:space="4"/>
        </w:pBdr>
        <w:spacing w:after="120" w:before="320"/>
      </w:pPr>
      <w:r>
        <w:rPr>
          <w:rFonts w:ascii="Arial" w:cs="Arial" w:eastAsia="Arial" w:hAnsi="Arial"/>
          <w:b/>
          <w:bCs/>
          <w:color w:val="1A4B8C"/>
          <w:sz w:val="28"/>
          <w:szCs w:val="28"/>
        </w:rPr>
        <w:t xml:space="preserve">4. INFORMÁCIE K VÝKAZU ZISKOV A STRÁT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4.1 Tržby a výnosy</w:t>
      </w: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60"/>
        <w:gridCol w:w="2500"/>
        <w:gridCol w:w="2500"/>
      </w:tblGrid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Položka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Bežné obdobie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Minulé obdobie (€)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Tržby z predaja výrobkov a služieb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Tržby z predaja tovaru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Ostatné prevádzkové výnosy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Finančné výnosy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VÝNOSY CELKOM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</w:tr>
    </w:tbl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4.2 Náklady</w:t>
      </w: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60"/>
        <w:gridCol w:w="2500"/>
        <w:gridCol w:w="2500"/>
      </w:tblGrid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Položka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Bežné obdobie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Minulé obdobie (€)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Spotreba materiálu a energie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Služby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Osobné náklady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Odpisy dlhodobého majetku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Ostatné prevádzkové náklady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Finančné náklady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Daň z príjmov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NÁKLADY CELKOM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</w:tr>
    </w:tbl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4.3 Výsledok hospodárenia</w:t>
      </w: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60"/>
        <w:gridCol w:w="2500"/>
        <w:gridCol w:w="2500"/>
      </w:tblGrid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Položka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Bežné obdobie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Minulé obdobie (€)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Výsledok hospodárenia z prevádzkovej činnosti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Výsledok hospodárenia z finančnej činnosti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VH pred zdanením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Daň z príjmov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VH po zdanení (čistý zisk / strata)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</w:tr>
    </w:tbl>
    <w:p>
      <w:pPr>
        <w:spacing w:after="40" w:before="40"/>
      </w:pPr>
    </w:p>
    <w:p>
      <w:pPr>
        <w:pStyle w:val="Heading1"/>
        <w:pBdr>
          <w:bottom w:val="single" w:color="1A4B8C" w:sz="4" w:space="4"/>
        </w:pBdr>
        <w:spacing w:after="120" w:before="320"/>
      </w:pPr>
      <w:r>
        <w:rPr>
          <w:rFonts w:ascii="Arial" w:cs="Arial" w:eastAsia="Arial" w:hAnsi="Arial"/>
          <w:b/>
          <w:bCs/>
          <w:color w:val="1A4B8C"/>
          <w:sz w:val="28"/>
          <w:szCs w:val="28"/>
        </w:rPr>
        <w:t xml:space="preserve">5. ZAMESTNANCI A OSOBNÉ NÁKLADY</w:t>
      </w:r>
    </w:p>
    <w:p>
      <w:pPr>
        <w:spacing w:after="40" w:before="40"/>
      </w:pP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360"/>
        <w:gridCol w:w="2500"/>
        <w:gridCol w:w="2500"/>
      </w:tblGrid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Položka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Bežné obdobie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Minulé obdobie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Priemerný prepočítaný počet zamestnancov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Mzdové náklady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Náklady na sociálne zabezpečenie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Zdravotné poistenie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  ]</w:t>
            </w:r>
          </w:p>
        </w:tc>
      </w:tr>
      <w:tr>
        <w:tc>
          <w:tcPr>
            <w:tcW w:type="dxa" w:w="43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Osobné náklady celkom (€)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  <w:tc>
          <w:tcPr>
            <w:tcW w:type="dxa" w:w="25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1A1A2E"/>
                <w:sz w:val="18"/>
                <w:szCs w:val="18"/>
              </w:rPr>
              <w:t xml:space="preserve">[  ]</w:t>
            </w:r>
          </w:p>
        </w:tc>
      </w:tr>
    </w:tbl>
    <w:p>
      <w:pPr>
        <w:spacing w:after="40" w:before="40"/>
      </w:pP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Odmeny štatutárnym orgánom (konateľom): [DOPLNIŤ: suma / žiadne odmeny neboli vyplácané]</w:t>
      </w:r>
    </w:p>
    <w:p>
      <w:pPr>
        <w:spacing w:after="40" w:before="40"/>
      </w:pPr>
    </w:p>
    <w:p>
      <w:pPr>
        <w:pStyle w:val="Heading1"/>
        <w:pBdr>
          <w:bottom w:val="single" w:color="1A4B8C" w:sz="4" w:space="4"/>
        </w:pBdr>
        <w:spacing w:after="120" w:before="320"/>
      </w:pPr>
      <w:r>
        <w:rPr>
          <w:rFonts w:ascii="Arial" w:cs="Arial" w:eastAsia="Arial" w:hAnsi="Arial"/>
          <w:b/>
          <w:bCs/>
          <w:color w:val="1A4B8C"/>
          <w:sz w:val="28"/>
          <w:szCs w:val="28"/>
        </w:rPr>
        <w:t xml:space="preserve">6. DAŇOVÉ INFORMÁCIE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6.1 Daň z príjmov právnickej osoby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Spoločnosť podlieha dani z príjmov právnických osôb podľa zákona č. 595/2003 Z. z. Uplatňovaná sadzba dane:</w:t>
      </w:r>
    </w:p>
    <w:p>
      <w:pPr>
        <w:pStyle w:val="ListParagraph"/>
        <w:numPr>
          <w:ilvl w:val="0"/>
          <w:numId w:val="2"/>
        </w:numPr>
        <w:spacing w:after="60" w:before="60"/>
      </w:pPr>
      <w:r>
        <w:rPr>
          <w:rFonts w:ascii="Arial" w:cs="Arial" w:eastAsia="Arial" w:hAnsi="Arial"/>
          <w:sz w:val="20"/>
          <w:szCs w:val="20"/>
        </w:rPr>
        <w:t xml:space="preserve">21 % – štandardná sadzba (príjmy nad 100 000 €), alebo</w:t>
      </w:r>
    </w:p>
    <w:p>
      <w:pPr>
        <w:pStyle w:val="ListParagraph"/>
        <w:numPr>
          <w:ilvl w:val="0"/>
          <w:numId w:val="2"/>
        </w:numPr>
        <w:spacing w:after="60" w:before="60"/>
      </w:pPr>
      <w:r>
        <w:rPr>
          <w:rFonts w:ascii="Arial" w:cs="Arial" w:eastAsia="Arial" w:hAnsi="Arial"/>
          <w:sz w:val="20"/>
          <w:szCs w:val="20"/>
        </w:rPr>
        <w:t xml:space="preserve">10 % – znížená sadzba pre malé podniky (príjmy do 100 000 €).</w:t>
      </w:r>
    </w:p>
    <w:p>
      <w:pPr>
        <w:spacing w:after="40" w:before="40"/>
      </w:pP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[DOPLNIŤ: Skutočne uplatňovaná sadzba a vypočítaná daňová povinnosť za rok 2025]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6.2 DPH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[DOPLNIŤ: Spoločnosť je / nie je platiteľom DPH od ____________. Obrat za sledované obdobie: __________ €]</w:t>
      </w:r>
    </w:p>
    <w:p>
      <w:pPr>
        <w:spacing w:after="40" w:before="40"/>
      </w:pPr>
    </w:p>
    <w:p>
      <w:pPr>
        <w:pStyle w:val="Heading1"/>
        <w:pBdr>
          <w:bottom w:val="single" w:color="1A4B8C" w:sz="4" w:space="4"/>
        </w:pBdr>
        <w:spacing w:after="120" w:before="320"/>
      </w:pPr>
      <w:r>
        <w:rPr>
          <w:rFonts w:ascii="Arial" w:cs="Arial" w:eastAsia="Arial" w:hAnsi="Arial"/>
          <w:b/>
          <w:bCs/>
          <w:color w:val="1A4B8C"/>
          <w:sz w:val="28"/>
          <w:szCs w:val="28"/>
        </w:rPr>
        <w:t xml:space="preserve">7. SPRIAZNÉ OSOBY A TRANSAKCIE</w:t>
      </w:r>
    </w:p>
    <w:p>
      <w:pPr>
        <w:spacing w:after="40" w:before="40"/>
      </w:pP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V súlade s § 18 ods. 5 zákona o účtovníctve spoločnosť uvádza informácie o transakciách so spriaznenými osobami:</w:t>
      </w:r>
    </w:p>
    <w:p>
      <w:pPr>
        <w:spacing w:after="40" w:before="40"/>
      </w:pP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2800"/>
        <w:gridCol w:w="2200"/>
        <w:gridCol w:w="2200"/>
        <w:gridCol w:w="2160"/>
      </w:tblGrid>
      <w:tr>
        <w:tc>
          <w:tcPr>
            <w:tcW w:type="dxa" w:w="28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Spriaznená osoba</w:t>
            </w:r>
          </w:p>
        </w:tc>
        <w:tc>
          <w:tcPr>
            <w:tcW w:type="dxa" w:w="22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Vzťah</w:t>
            </w:r>
          </w:p>
        </w:tc>
        <w:tc>
          <w:tcPr>
            <w:tcW w:type="dxa" w:w="22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Druh transakcie</w:t>
            </w:r>
          </w:p>
        </w:tc>
        <w:tc>
          <w:tcPr>
            <w:tcW w:type="dxa" w:w="21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1A4B8C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b/>
                <w:bCs/>
                <w:color w:val="FFFFFF"/>
                <w:sz w:val="18"/>
                <w:szCs w:val="18"/>
              </w:rPr>
              <w:t xml:space="preserve">Suma (€)</w:t>
            </w:r>
          </w:p>
        </w:tc>
      </w:tr>
      <w:tr>
        <w:tc>
          <w:tcPr>
            <w:tcW w:type="dxa" w:w="28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0F4FA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[DOPLNIŤ]</w:t>
            </w:r>
          </w:p>
        </w:tc>
        <w:tc>
          <w:tcPr>
            <w:tcW w:type="dxa" w:w="22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[DOPLNIŤ]</w:t>
            </w:r>
          </w:p>
        </w:tc>
        <w:tc>
          <w:tcPr>
            <w:tcW w:type="dxa" w:w="220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[DOPLNIŤ]</w:t>
            </w:r>
          </w:p>
        </w:tc>
        <w:tc>
          <w:tcPr>
            <w:tcW w:type="dxa" w:w="2160"/>
            <w:tcBorders>
              <w:top w:val="single" w:color="CCCCCC" w:sz="4"/>
              <w:left w:val="single" w:color="CCCCCC" w:sz="4"/>
              <w:bottom w:val="single" w:color="CCCCCC" w:sz="4"/>
              <w:right w:val="single" w:color="CCCCCC" w:sz="4"/>
            </w:tcBorders>
            <w:shd w:fill="FFFFFF" w:val="clear"/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color w:val="1A1A2E"/>
                <w:sz w:val="18"/>
                <w:szCs w:val="18"/>
              </w:rPr>
              <w:t xml:space="preserve">[DOPLNIŤ]</w:t>
            </w:r>
          </w:p>
        </w:tc>
      </w:tr>
    </w:tbl>
    <w:p>
      <w:pPr>
        <w:spacing w:after="40" w:before="40"/>
      </w:pP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[Ak neexistujú spriaznené transakcie, uviesť: V sledovanom účtovnom období neboli uskutočnené žiadne transakcie so spriaznenými osobami, ktoré by boli uzatvorené za iných ako bežných trhových podmienok.]</w:t>
      </w:r>
    </w:p>
    <w:p>
      <w:pPr>
        <w:spacing w:after="40" w:before="40"/>
      </w:pPr>
    </w:p>
    <w:p>
      <w:pPr>
        <w:pStyle w:val="Heading1"/>
        <w:pBdr>
          <w:bottom w:val="single" w:color="1A4B8C" w:sz="4" w:space="4"/>
        </w:pBdr>
        <w:spacing w:after="120" w:before="320"/>
      </w:pPr>
      <w:r>
        <w:rPr>
          <w:rFonts w:ascii="Arial" w:cs="Arial" w:eastAsia="Arial" w:hAnsi="Arial"/>
          <w:b/>
          <w:bCs/>
          <w:color w:val="1A4B8C"/>
          <w:sz w:val="28"/>
          <w:szCs w:val="28"/>
        </w:rPr>
        <w:t xml:space="preserve">8. PODMIENENÉ ZÁVÄZKY A UDALOSTI PO DÁTUME ZÁVIERKY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8.1 Podmienené záväzky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[DOPLNIŤ: napr. ručiteľské záväzky, prebiehajúce súdne spory, záložné práva alebo: Spoločnosť neeviduje žiadne podmienené záväzky k dátumu zostavenia účtovnej závierky.]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8.2 Udalosti po dátume zostavenia závierky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[DOPLNIŤ: Udalosti, ktoré nastali po 31. 12. 2025 do dňa zostavenia závierky a môžu mať vplyv na finančnú situáciu spoločnosti, alebo: Do dňa zostavenia tejto účtovnej závierky nenastali žiadne udalosti, ktoré by výrazne ovplyvnili finančnú situáciu spoločnosti.]</w:t>
      </w:r>
    </w:p>
    <w:p>
      <w:pPr>
        <w:spacing w:after="40" w:before="40"/>
      </w:pPr>
    </w:p>
    <w:p>
      <w:pPr>
        <w:pStyle w:val="Heading1"/>
        <w:pBdr>
          <w:bottom w:val="single" w:color="1A4B8C" w:sz="4" w:space="4"/>
        </w:pBdr>
        <w:spacing w:after="120" w:before="320"/>
      </w:pPr>
      <w:r>
        <w:rPr>
          <w:rFonts w:ascii="Arial" w:cs="Arial" w:eastAsia="Arial" w:hAnsi="Arial"/>
          <w:b/>
          <w:bCs/>
          <w:color w:val="1A4B8C"/>
          <w:sz w:val="28"/>
          <w:szCs w:val="28"/>
        </w:rPr>
        <w:t xml:space="preserve">9. INÉ INFORMÁCIE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9.1 Záväzky neuvedené v súvahe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[DOPLNIŤ: napr. operatívny lízing, nájomné zmluvy, alebo: Spoločnosť neeviduje záväzky, ktoré by mali byť uvedené mimo súvahy.]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9.2 Záložné práva a vecné bremená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[DOPLNIŤ alebo: Na majetok spoločnosti nie sú zriadené žiadne záložné práva ani vecné bremená.]</w:t>
      </w:r>
    </w:p>
    <w:p>
      <w:pPr>
        <w:spacing w:after="40" w:before="40"/>
      </w:pPr>
    </w:p>
    <w:p>
      <w:pPr>
        <w:pStyle w:val="Heading2"/>
        <w:spacing w:after="80" w:before="240"/>
      </w:pPr>
      <w:r>
        <w:rPr>
          <w:rFonts w:ascii="Arial" w:cs="Arial" w:eastAsia="Arial" w:hAnsi="Arial"/>
          <w:b/>
          <w:bCs/>
          <w:color w:val="1A4B8C"/>
          <w:sz w:val="24"/>
          <w:szCs w:val="24"/>
        </w:rPr>
        <w:t xml:space="preserve">9.3 Audítorské náklady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Spoločnosť [podlieha / nepodlieha] povinnosti auditu účtovnej závierky. [Ak podlieha: Náklady na audit za rok 2025 predstavovali: __________ €]</w:t>
      </w:r>
    </w:p>
    <w:p>
      <w:pPr>
        <w:spacing w:after="40" w:before="40"/>
      </w:pPr>
    </w:p>
    <w:p>
      <w:pPr>
        <w:pBdr>
          <w:top w:val="single" w:color="1A4B8C" w:sz="6" w:space="4"/>
        </w:pBdr>
        <w:spacing w:after="240" w:before="480"/>
      </w:pPr>
    </w:p>
    <w:p>
      <w:pPr>
        <w:spacing w:after="60" w:before="60"/>
      </w:pPr>
      <w:r>
        <w:rPr>
          <w:rFonts w:ascii="Arial" w:cs="Arial" w:eastAsia="Arial" w:hAnsi="Arial"/>
          <w:b/>
          <w:bCs/>
          <w:color w:val="1A1A2E"/>
          <w:sz w:val="20"/>
          <w:szCs w:val="20"/>
        </w:rPr>
        <w:t xml:space="preserve">Prehlásenie štatutárneho orgánu</w:t>
      </w:r>
    </w:p>
    <w:p>
      <w:pPr>
        <w:spacing w:after="60" w:before="60"/>
      </w:pPr>
      <w:r>
        <w:rPr>
          <w:rFonts w:ascii="Arial" w:cs="Arial" w:eastAsia="Arial" w:hAnsi="Arial"/>
          <w:color w:val="1A1A2E"/>
          <w:sz w:val="20"/>
          <w:szCs w:val="20"/>
        </w:rPr>
        <w:t xml:space="preserve">Poznámky k účtovnej závierke boli zostavené v súlade so zákonom č. 431/2002 Z. z. o účtovníctve v znení neskorších predpisov a poskytujú verný a pravdivý obraz o majetkovej a finančnej situácii spoločnosti Moebius Labs s. r. o.</w:t>
      </w:r>
    </w:p>
    <w:p>
      <w:pPr>
        <w:spacing w:after="40" w:before="40"/>
      </w:pPr>
    </w:p>
    <w:p>
      <w:pPr>
        <w:spacing w:after="40" w:before="40"/>
      </w:pPr>
    </w:p>
    <w:tbl>
      <w:tblPr>
        <w:tblW w:type="dxa" w:w="936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680"/>
        <w:gridCol w:w="4680"/>
      </w:tblGrid>
      <w:tr>
        <w:tc>
          <w:tcPr>
            <w:tcW w:type="dxa" w:w="4680"/>
            <w:tcBorders>
              <w:top w:val="none"/>
              <w:left w:val="none"/>
              <w:bottom w:val="none"/>
              <w:right w:val="none"/>
            </w:tcBorders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r>
              <w:rPr>
                <w:rFonts w:ascii="Arial" w:cs="Arial" w:eastAsia="Arial" w:hAnsi="Arial"/>
                <w:sz w:val="20"/>
                <w:szCs w:val="20"/>
              </w:rPr>
              <w:t xml:space="preserve">V Bratislave, dňa: ________________________</w:t>
            </w:r>
          </w:p>
        </w:tc>
        <w:tc>
          <w:tcPr>
            <w:tcW w:type="dxa" w:w="4680"/>
            <w:tcBorders>
              <w:top w:val="none"/>
              <w:left w:val="none"/>
              <w:bottom w:val="none"/>
              <w:right w:val="none"/>
            </w:tcBorders>
            <w:tcMar>
              <w:top w:type="dxa" w:w="80"/>
              <w:left w:type="dxa" w:w="120"/>
              <w:bottom w:type="dxa" w:w="80"/>
              <w:right w:type="dxa" w:w="120"/>
            </w:tcMar>
          </w:tcPr>
          <w:p>
            <w:pPr>
              <w:jc w:val="right"/>
            </w:pPr>
            <w:r>
              <w:rPr>
                <w:rFonts w:ascii="Arial" w:cs="Arial" w:eastAsia="Arial" w:hAnsi="Arial"/>
                <w:sz w:val="20"/>
                <w:szCs w:val="20"/>
              </w:rPr>
              <w:t xml:space="preserve">Podpis konateľa: ________________________</w:t>
            </w:r>
          </w:p>
        </w:tc>
      </w:tr>
    </w:tbl>
    <w:p>
      <w:pPr>
        <w:spacing w:after="40" w:before="40"/>
      </w:pPr>
    </w:p>
    <w:p>
      <w:pPr>
        <w:spacing w:after="60" w:before="120"/>
        <w:jc w:val="center"/>
      </w:pPr>
      <w:r>
        <w:rPr>
          <w:rFonts w:ascii="Arial" w:cs="Arial" w:eastAsia="Arial" w:hAnsi="Arial"/>
          <w:color w:val="6B7280"/>
          <w:sz w:val="16"/>
          <w:szCs w:val="16"/>
        </w:rPr>
        <w:t xml:space="preserve">Moebius Labs s. r. o. | Obchodná 559/37, 811 06 Bratislava | IČO: 54 496 110</w:t>
      </w:r>
    </w:p>
    <w:p>
      <w:pPr>
        <w:spacing w:after="60" w:before="0"/>
        <w:jc w:val="center"/>
      </w:pPr>
      <w:r>
        <w:rPr>
          <w:rFonts w:ascii="Arial" w:cs="Arial" w:eastAsia="Arial" w:hAnsi="Arial"/>
          <w:i/>
          <w:iCs/>
          <w:color w:val="1A4B8C"/>
          <w:sz w:val="16"/>
          <w:szCs w:val="16"/>
        </w:rPr>
        <w:t xml:space="preserve">Dokument pripravený s podporou SMAART Accounting &amp; Advisory</w:t>
      </w:r>
    </w:p>
    <w:sectPr>
      <w:headerReference w:type="default" r:id="rId7"/>
      <w:footerReference w:type="default" r:id="rId8"/>
      <w:pgSz w:w="11906" w:h="16838" w:orient="portrait"/>
      <w:pgMar w:top="1134" w:right="1134" w:bottom="1134" w:left="1134" w:header="708" w:footer="708" w:gutter="0"/>
      <w:pgNumType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/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>
      <w:pPr>
        <w:spacing w:after="0" w:line="240" w:lineRule="auto"/>
      </w:pPr>
      <w:r>
        <w:rPr>
          <w:rStyle w:val="EndnoteReference"/>
        </w:rPr>
        <w:endnoteRef/>
      </w:r>
      <w:r>
        <w:separator/>
      </w:r>
    </w:p>
  </w:endnote>
  <w:endnote w:type="continuationSeparator" w:id="0">
    <w:p>
      <w:pPr>
        <w:spacing w:after="0" w:line="240" w:lineRule="auto"/>
      </w:pPr>
      <w:r>
        <w:rPr>
          <w:rStyle w:val="EndnoteReference"/>
        </w:rPr>
        <w:endnoteRef/>
      </w: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Bdr>
        <w:top w:val="single" w:color="1A4B8C" w:sz="4" w:space="4"/>
      </w:pBdr>
      <w:tabs>
        <w:tab w:val="right" w:pos="9072"/>
      </w:tabs>
      <w:spacing w:before="80"/>
    </w:pPr>
    <w:r>
      <w:rPr>
        <w:rFonts w:ascii="Arial" w:cs="Arial" w:eastAsia="Arial" w:hAnsi="Arial"/>
        <w:color w:val="6B7280"/>
        <w:sz w:val="16"/>
        <w:szCs w:val="16"/>
      </w:rPr>
      <w:t xml:space="preserve">Moebius Labs s. r. o. | IČO: 54 496 110</w:t>
    </w:r>
    <w:r>
      <w:rPr>
        <w:rFonts w:ascii="Arial" w:cs="Arial" w:eastAsia="Arial" w:hAnsi="Arial"/>
      </w:rPr>
      <w:t xml:space="preserve">	</w:t>
    </w:r>
    <w:r>
      <w:rPr>
        <w:rFonts w:ascii="Arial" w:cs="Arial" w:eastAsia="Arial" w:hAnsi="Arial"/>
        <w:color w:val="6B7280"/>
        <w:sz w:val="16"/>
        <w:szCs w:val="16"/>
      </w:rPr>
      <w:t xml:space="preserve">Strana </w:t>
    </w:r>
    <w:fldSimple w:instr="[object Object]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rPr>
          <w:rStyle w:val="FootnoteReference"/>
        </w:rPr>
        <w:footnoteRef/>
      </w:r>
      <w:r>
        <w:separator/>
      </w:r>
    </w:p>
  </w:footnote>
  <w:footnote w:type="continuationSeparator" w:id="0">
    <w:p>
      <w:pPr>
        <w:spacing w:after="0" w:line="240" w:lineRule="auto"/>
      </w:pPr>
      <w:r>
        <w:rPr>
          <w:rStyle w:val="FootnoteReference"/>
        </w:rPr>
        <w:footnoteRef/>
      </w: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w16cid="http://schemas.microsoft.com/office/word/2016/wordml/cid" xmlns:w16se="http://schemas.microsoft.com/office/word/2015/wordml/symex">
  <w:p>
    <w:pPr>
      <w:pBdr>
        <w:bottom w:val="single" w:color="1A4B8C" w:sz="4" w:space="4"/>
      </w:pBdr>
      <w:tabs>
        <w:tab w:val="right" w:pos="9072"/>
      </w:tabs>
      <w:spacing w:after="80"/>
    </w:pPr>
    <w:r>
      <w:drawing>
        <wp:inline distT="0" distB="0" distL="0" distR="0">
          <wp:extent cx="952500" cy="238125"/>
          <wp:effectExtent t="0" r="0" b="0" l="0"/>
          <wp:docPr id="1" name="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 descr=""/>
                  <pic:cNvPicPr>
                    <a:picLocks noChangeAspect="1" noChangeArrowheads="1"/>
                  </pic:cNvPicPr>
                </pic:nvPicPr>
                <pic:blipFill>
                  <a:blip r:embed="rId0" cstate="none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2381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cs="Arial" w:eastAsia="Arial" w:hAnsi="Arial"/>
      </w:rPr>
      <w:t xml:space="preserve">	</w:t>
    </w:r>
    <w:r>
      <w:rPr>
        <w:rFonts w:ascii="Arial" w:cs="Arial" w:eastAsia="Arial" w:hAnsi="Arial"/>
        <w:color w:val="6B7280"/>
        <w:sz w:val="16"/>
        <w:szCs w:val="16"/>
      </w:rPr>
      <w:t xml:space="preserve">Poznámky k účtovnej závierke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1" w15:restartNumberingAfterBreak="0">
    <w:multiLevelType w:val="hybridMultilevel"/>
    <w:lvl w:ilvl="0" w15:tentative="1">
      <w:start w:val="1"/>
      <w:numFmt w:val="bullet"/>
      <w:lvlText w:val="●"/>
      <w:lvlJc w:val="left"/>
      <w:pPr>
        <w:ind w:left="720" w:hanging="360"/>
      </w:pPr>
    </w:lvl>
    <w:lvl w:ilvl="1" w15:tentative="1">
      <w:start w:val="1"/>
      <w:numFmt w:val="bullet"/>
      <w:lvlText w:val="○"/>
      <w:lvlJc w:val="left"/>
      <w:pPr>
        <w:ind w:left="1440" w:hanging="360"/>
      </w:pPr>
    </w:lvl>
    <w:lvl w:ilvl="2" w15:tentative="1">
      <w:start w:val="1"/>
      <w:numFmt w:val="bullet"/>
      <w:lvlText w:val="■"/>
      <w:lvlJc w:val="left"/>
      <w:pPr>
        <w:ind w:left="2160" w:hanging="360"/>
      </w:pPr>
    </w:lvl>
    <w:lvl w:ilvl="3" w15:tentative="1">
      <w:start w:val="1"/>
      <w:numFmt w:val="bullet"/>
      <w:lvlText w:val="●"/>
      <w:lvlJc w:val="left"/>
      <w:pPr>
        <w:ind w:left="2880" w:hanging="360"/>
      </w:pPr>
    </w:lvl>
    <w:lvl w:ilvl="4" w15:tentative="1">
      <w:start w:val="1"/>
      <w:numFmt w:val="bullet"/>
      <w:lvlText w:val="○"/>
      <w:lvlJc w:val="left"/>
      <w:pPr>
        <w:ind w:left="3600" w:hanging="360"/>
      </w:pPr>
    </w:lvl>
    <w:lvl w:ilvl="5" w15:tentative="1">
      <w:start w:val="1"/>
      <w:numFmt w:val="bullet"/>
      <w:lvlText w:val="■"/>
      <w:lvlJc w:val="left"/>
      <w:pPr>
        <w:ind w:left="4320" w:hanging="360"/>
      </w:pPr>
    </w:lvl>
    <w:lvl w:ilvl="6" w15:tentative="1">
      <w:start w:val="1"/>
      <w:numFmt w:val="bullet"/>
      <w:lvlText w:val="●"/>
      <w:lvlJc w:val="left"/>
      <w:pPr>
        <w:ind w:left="5040" w:hanging="360"/>
      </w:pPr>
    </w:lvl>
    <w:lvl w:ilvl="7" w15:tentative="1">
      <w:start w:val="1"/>
      <w:numFmt w:val="bullet"/>
      <w:lvlText w:val="●"/>
      <w:lvlJc w:val="left"/>
      <w:pPr>
        <w:ind w:left="5760" w:hanging="360"/>
      </w:pPr>
    </w:lvl>
    <w:lvl w:ilvl="8" w15:tentative="1">
      <w:start w:val="1"/>
      <w:numFmt w:val="bullet"/>
      <w:lvlText w:val="●"/>
      <w:lvlJc w:val="left"/>
      <w:pPr>
        <w:ind w:left="6480" w:hanging="360"/>
      </w:pPr>
    </w:lvl>
  </w:abstractNum>
  <w:abstractNum w:abstractNumId="2" w15:restartNumberingAfterBreak="0">
    <w:multiLevelType w:val="hybridMultilevel"/>
    <w:lvl w:ilvl="0" w15:tentative="1">
      <w:start w:val="1"/>
      <w:numFmt w:val="bullet"/>
      <w:lvlText w:val="•"/>
      <w:lvlJc w:val="left"/>
      <w:pPr>
        <w:ind w:left="720" w:hanging="360"/>
      </w:pPr>
    </w:lvl>
  </w:abstractNum>
  <w:num w:numId="1">
    <w:abstractNumId w:val="1"/>
    <w:lvlOverride w:ilvl="0">
      <w:startOverride w:val="1"/>
    </w:lvlOverride>
  </w:num>
  <w:num w:numId="2">
    <w:abstractNumId w:val="2"/>
    <w:lvlOverride w:ilvl="0">
      <w:startOverride w:val="1"/>
    </w:lvlOverride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isplayBackgroundShape/>
  <w:evenAndOddHeaders w:val="false"/>
  <w:compat>
    <w:compatSetting w:val="15" w:name="compatibilityMode" w:uri="http://schemas.microsoft.com/office/word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cs="Arial" w:eastAsia="Arial" w:hAnsi="Arial"/>
        <w:sz w:val="20"/>
        <w:szCs w:val="20"/>
      </w:rPr>
    </w:rPrDefault>
    <w:pPrDefault/>
  </w:docDefaults>
  <w:style w:type="paragraph" w:styleId="Title">
    <w:name w:val="Title"/>
    <w:basedOn w:val="Normal"/>
    <w:next w:val="Normal"/>
    <w:qFormat/>
    <w:rPr>
      <w:sz w:val="56"/>
      <w:szCs w:val="56"/>
    </w:rPr>
  </w:style>
  <w:style w:type="paragraph" w:styleId="Heading1">
    <w:name w:val="Heading 1"/>
    <w:basedOn w:val="Normal"/>
    <w:next w:val="Normal"/>
    <w:qFormat/>
    <w:rPr>
      <w:color w:val="2E74B5"/>
      <w:sz w:val="32"/>
      <w:szCs w:val="32"/>
    </w:rPr>
  </w:style>
  <w:style w:type="paragraph" w:styleId="Heading2">
    <w:name w:val="Heading 2"/>
    <w:basedOn w:val="Normal"/>
    <w:next w:val="Normal"/>
    <w:qFormat/>
    <w:rPr>
      <w:color w:val="2E74B5"/>
      <w:sz w:val="26"/>
      <w:szCs w:val="26"/>
    </w:rPr>
  </w:style>
  <w:style w:type="paragraph" w:styleId="Heading3">
    <w:name w:val="Heading 3"/>
    <w:basedOn w:val="Normal"/>
    <w:next w:val="Normal"/>
    <w:qFormat/>
    <w:rPr>
      <w:color w:val="1F4D78"/>
      <w:sz w:val="24"/>
      <w:szCs w:val="24"/>
    </w:rPr>
  </w:style>
  <w:style w:type="paragraph" w:styleId="Heading4">
    <w:name w:val="Heading 4"/>
    <w:basedOn w:val="Normal"/>
    <w:next w:val="Normal"/>
    <w:qFormat/>
    <w:rPr>
      <w:i/>
      <w:iCs/>
      <w:color w:val="2E74B5"/>
    </w:rPr>
  </w:style>
  <w:style w:type="paragraph" w:styleId="Heading5">
    <w:name w:val="Heading 5"/>
    <w:basedOn w:val="Normal"/>
    <w:next w:val="Normal"/>
    <w:qFormat/>
    <w:rPr>
      <w:color w:val="2E74B5"/>
    </w:rPr>
  </w:style>
  <w:style w:type="paragraph" w:styleId="Heading6">
    <w:name w:val="Heading 6"/>
    <w:basedOn w:val="Normal"/>
    <w:next w:val="Normal"/>
    <w:qFormat/>
    <w:rPr>
      <w:color w:val="1F4D78"/>
    </w:rPr>
  </w:style>
  <w:style w:type="paragraph" w:styleId="Strong">
    <w:name w:val="Strong"/>
    <w:basedOn w:val="Normal"/>
    <w:next w:val="Normal"/>
    <w:qFormat/>
    <w:rPr>
      <w:b/>
      <w:bCs/>
    </w:rPr>
  </w:style>
  <w:style w:type="paragraph" w:styleId="ListParagraph">
    <w:name w:val="List Paragraph"/>
    <w:basedOn w:val="Normal"/>
    <w:qFormat/>
  </w:style>
  <w:style w:type="character" w:styleId="Hyperlink">
    <w:name w:val="Hyperlink"/>
    <w:basedOn w:val="DefaultParagraphFont"/>
    <w:uiPriority w:val="99"/>
    <w:unhideWhenUsed/>
    <w:rPr>
      <w:color w:val="0563C1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FootnoteTextChar">
    <w:name w:val="Footnote Text Char"/>
    <w:basedOn w:val="DefaultParagraphFont"/>
    <w:link w:val="FootnoteText"/>
    <w:uiPriority w:val="99"/>
    <w:semiHidden/>
    <w:unhideWhenUsed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EndnoteTextChar">
    <w:name w:val="Endnote Text Char"/>
    <w:basedOn w:val="DefaultParagraphFont"/>
    <w:link w:val="EndnoteText"/>
    <w:uiPriority w:val="99"/>
    <w:semiHidden/>
    <w:unhideWhenUsed/>
    <w:rPr>
      <w:sz w:val="20"/>
      <w:szCs w:val="20"/>
    </w:rPr>
  </w:style>
  <w:style w:type="paragraph" w:styleId="Heading1">
    <w:name w:val="Heading 1"/>
    <w:basedOn w:val="Normal"/>
    <w:next w:val="Normal"/>
    <w:qFormat/>
    <w:pPr>
      <w:spacing w:after="120" w:before="320"/>
      <w:outlineLvl w:val="0"/>
    </w:pPr>
    <w:rPr>
      <w:rFonts w:ascii="Arial" w:cs="Arial" w:eastAsia="Arial" w:hAnsi="Arial"/>
      <w:b/>
      <w:bCs/>
      <w:color w:val="1A4B8C"/>
      <w:sz w:val="28"/>
      <w:szCs w:val="28"/>
    </w:rPr>
  </w:style>
  <w:style w:type="paragraph" w:styleId="Heading2">
    <w:name w:val="Heading 2"/>
    <w:basedOn w:val="Normal"/>
    <w:next w:val="Normal"/>
    <w:qFormat/>
    <w:pPr>
      <w:spacing w:after="80" w:before="240"/>
      <w:outlineLvl w:val="1"/>
    </w:pPr>
    <w:rPr>
      <w:rFonts w:ascii="Arial" w:cs="Arial" w:eastAsia="Arial" w:hAnsi="Arial"/>
      <w:b/>
      <w:bCs/>
      <w:color w:val="1A4B8C"/>
      <w:sz w:val="24"/>
      <w:szCs w:val="24"/>
    </w:rPr>
  </w:style>
</w:styles>
</file>

<file path=word/_rels/comments.xml.rels><?xml version="1.0" encoding="UTF-8"?><Relationships xmlns="http://schemas.openxmlformats.org/package/2006/relationships"/>
</file>

<file path=word/_rels/document.xml.rels><?xml version="1.0" encoding="UTF-8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otnotes" Target="footnotes.xml"/><Relationship Id="rId4" Type="http://schemas.openxmlformats.org/officeDocument/2006/relationships/endnotes" Target="endnotes.xml"/><Relationship Id="rId5" Type="http://schemas.openxmlformats.org/officeDocument/2006/relationships/settings" Target="settings.xml"/><Relationship Id="rId6" Type="http://schemas.openxmlformats.org/officeDocument/2006/relationships/comments" Target="comment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image" Target="media/259bb99369b3783ddca286239a1240bb171aca2c.png"/><Relationship Id="rId10" Type="http://schemas.openxmlformats.org/officeDocument/2006/relationships/fontTable" Target="fontTable.xml"/></Relationships>
</file>

<file path=word/_rels/endnotes.xml.rels><?xml version="1.0" encoding="UTF-8"?><Relationships xmlns="http://schemas.openxmlformats.org/package/2006/relationships"/>
</file>

<file path=word/_rels/fontTable.xml.rels><?xml version="1.0" encoding="UTF-8"?><Relationships xmlns="http://schemas.openxmlformats.org/package/2006/relationships"/>
</file>

<file path=word/_rels/footer1.xml.rels><?xml version="1.0" encoding="UTF-8"?><Relationships xmlns="http://schemas.openxmlformats.org/package/2006/relationships"/>
</file>

<file path=word/_rels/footnotes.xml.rels><?xml version="1.0" encoding="UTF-8"?><Relationships xmlns="http://schemas.openxmlformats.org/package/2006/relationships"/>
</file>

<file path=word/_rels/header1.xml.rels><?xml version="1.0" encoding="UTF-8"?><Relationships xmlns="http://schemas.openxmlformats.org/package/2006/relationships"><Relationship Id="rId0" Type="http://schemas.openxmlformats.org/officeDocument/2006/relationships/image" Target="media/259bb99369b3783ddca286239a1240bb171aca2c.png"/></Relationships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Un-named</cp:lastModifiedBy>
  <cp:revision>1</cp:revision>
  <dcterms:created xsi:type="dcterms:W3CDTF">2026-05-12T15:08:40.124Z</dcterms:created>
  <dcterms:modified xsi:type="dcterms:W3CDTF">2026-05-12T15:08:40.125Z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