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activeX/_rels/activeX5.xml.rels" ContentType="application/vnd.openxmlformats-package.relationships+xml"/>
  <Override PartName="/word/activeX/_rels/activeX6.xml.rels" ContentType="application/vnd.openxmlformats-package.relationships+xml"/>
  <Override PartName="/word/activeX/_rels/activeX9.xml.rels" ContentType="application/vnd.openxmlformats-package.relationships+xml"/>
  <Override PartName="/word/activeX/_rels/activeX14.xml.rels" ContentType="application/vnd.openxmlformats-package.relationships+xml"/>
  <Override PartName="/word/activeX/_rels/activeX4.xml.rels" ContentType="application/vnd.openxmlformats-package.relationships+xml"/>
  <Override PartName="/word/activeX/_rels/activeX8.xml.rels" ContentType="application/vnd.openxmlformats-package.relationships+xml"/>
  <Override PartName="/word/activeX/_rels/activeX13.xml.rels" ContentType="application/vnd.openxmlformats-package.relationships+xml"/>
  <Override PartName="/word/activeX/_rels/activeX3.xml.rels" ContentType="application/vnd.openxmlformats-package.relationships+xml"/>
  <Override PartName="/word/activeX/_rels/activeX7.xml.rels" ContentType="application/vnd.openxmlformats-package.relationships+xml"/>
  <Override PartName="/word/activeX/_rels/activeX1.xml.rels" ContentType="application/vnd.openxmlformats-package.relationships+xml"/>
  <Override PartName="/word/activeX/_rels/activeX11.xml.rels" ContentType="application/vnd.openxmlformats-package.relationships+xml"/>
  <Override PartName="/word/activeX/_rels/activeX2.xml.rels" ContentType="application/vnd.openxmlformats-package.relationships+xml"/>
  <Override PartName="/word/activeX/_rels/activeX12.xml.rels" ContentType="application/vnd.openxmlformats-package.relationships+xml"/>
  <Override PartName="/word/activeX/_rels/activeX10.xml.rels" ContentType="application/vnd.openxmlformats-package.relationships+xml"/>
  <Override PartName="/word/activeX/activeX7.bin" ContentType="application/vnd.ms-office.activeX"/>
  <Override PartName="/word/activeX/activeX13.bin" ContentType="application/vnd.ms-office.activeX"/>
  <Override PartName="/word/activeX/activeX6.xml" ContentType="application/vnd.ms-office.activeX+xml"/>
  <Override PartName="/word/activeX/activeX12.xml" ContentType="application/vnd.ms-office.activeX+xml"/>
  <Override PartName="/word/activeX/activeX6.bin" ContentType="application/vnd.ms-office.activeX"/>
  <Override PartName="/word/activeX/activeX12.bin" ContentType="application/vnd.ms-office.activeX"/>
  <Override PartName="/word/activeX/activeX5.xml" ContentType="application/vnd.ms-office.activeX+xml"/>
  <Override PartName="/word/activeX/activeX11.xml" ContentType="application/vnd.ms-office.activeX+xml"/>
  <Override PartName="/word/activeX/activeX5.bin" ContentType="application/vnd.ms-office.activeX"/>
  <Override PartName="/word/activeX/activeX11.bin" ContentType="application/vnd.ms-office.activeX"/>
  <Override PartName="/word/activeX/activeX4.xml" ContentType="application/vnd.ms-office.activeX+xml"/>
  <Override PartName="/word/activeX/activeX10.xml" ContentType="application/vnd.ms-office.activeX+xml"/>
  <Override PartName="/word/activeX/activeX4.bin" ContentType="application/vnd.ms-office.activeX"/>
  <Override PartName="/word/activeX/activeX10.bin" ContentType="application/vnd.ms-office.activeX"/>
  <Override PartName="/word/activeX/activeX3.xml" ContentType="application/vnd.ms-office.activeX+xml"/>
  <Override PartName="/word/activeX/activeX9.xml" ContentType="application/vnd.ms-office.activeX+xml"/>
  <Override PartName="/word/activeX/activeX9.bin" ContentType="application/vnd.ms-office.activeX"/>
  <Override PartName="/word/activeX/activeX2.bin" ContentType="application/vnd.ms-office.activeX"/>
  <Override PartName="/word/activeX/activeX2.xml" ContentType="application/vnd.ms-office.activeX+xml"/>
  <Override PartName="/word/activeX/activeX14.xml" ContentType="application/vnd.ms-office.activeX+xml"/>
  <Override PartName="/word/activeX/activeX8.xml" ContentType="application/vnd.ms-office.activeX+xml"/>
  <Override PartName="/word/activeX/activeX14.bin" ContentType="application/vnd.ms-office.activeX"/>
  <Override PartName="/word/activeX/activeX8.bin" ContentType="application/vnd.ms-office.activeX"/>
  <Override PartName="/word/activeX/activeX1.bin" ContentType="application/vnd.ms-office.activeX"/>
  <Override PartName="/word/activeX/activeX1.xml" ContentType="application/vnd.ms-office.activeX+xml"/>
  <Override PartName="/word/activeX/activeX13.xml" ContentType="application/vnd.ms-office.activeX+xml"/>
  <Override PartName="/word/activeX/activeX7.xml" ContentType="application/vnd.ms-office.activeX+xml"/>
  <Override PartName="/word/activeX/activeX3.bin" ContentType="application/vnd.ms-office.activeX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Heading1"/>
        <w:keepNext w:val="false"/>
        <w:keepLines w:val="false"/>
        <w:spacing w:lineRule="auto" w:line="276" w:before="240" w:after="0"/>
        <w:ind w:hanging="0" w:left="0" w:right="0"/>
        <w:rPr/>
      </w:pPr>
      <w:r>
        <w:rPr/>
        <w:t>Čl. I Všeobecné údaje o účtovnej jednotke</w:t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>
          <w:rFonts w:ascii="Times New Roman" w:hAnsi="Times New Roman"/>
          <w:b/>
          <w:sz w:val="28"/>
          <w:szCs w:val="26"/>
          <w:lang w:eastAsia="sk-SK"/>
        </w:rPr>
      </w:pPr>
      <w:r>
        <w:rPr>
          <w:rFonts w:ascii="Times New Roman" w:hAnsi="Times New Roman"/>
          <w:b/>
          <w:sz w:val="28"/>
          <w:szCs w:val="26"/>
          <w:lang w:eastAsia="sk-SK"/>
        </w:rPr>
        <w:t>Čl. I (1) , (3) Všeobecné údaje</w:t>
      </w:r>
      <w:bookmarkStart w:id="0" w:name="_GoBack"/>
      <w:bookmarkEnd w:id="0"/>
    </w:p>
    <w:p>
      <w:pPr>
        <w:pStyle w:val="Normal"/>
        <w:spacing w:before="60" w:after="120"/>
        <w:ind w:hanging="11" w:left="1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 (1) Obchodné meno účtovnej jednotky:</w:t>
        <w:tab/>
        <w:tab/>
      </w:r>
      <w:r>
        <w:rPr>
          <w:rFonts w:eastAsia="Arial" w:cs="Arial" w:ascii="Times New Roman" w:hAnsi="Times New Roman"/>
          <w:lang w:eastAsia="sk-SK"/>
        </w:rPr>
        <w:t>Hornbeam</w:t>
      </w:r>
      <w:r>
        <w:rPr>
          <w:rFonts w:eastAsia="Arial" w:cs="Times New Roman" w:ascii="Times New Roman" w:hAnsi="Times New Roman"/>
          <w:lang w:eastAsia="sk-SK"/>
        </w:rPr>
        <w:t xml:space="preserve"> s.r.o</w:t>
      </w:r>
    </w:p>
    <w:p>
      <w:pPr>
        <w:pStyle w:val="Normal"/>
        <w:spacing w:before="60" w:after="120"/>
        <w:ind w:hanging="11" w:left="1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Times New Roman" w:ascii="Times New Roman" w:hAnsi="Times New Roman"/>
          <w:lang w:eastAsia="sk-SK"/>
        </w:rPr>
        <w:t xml:space="preserve">  </w:t>
      </w:r>
      <w:r>
        <w:rPr>
          <w:rFonts w:eastAsia="Arial" w:cs="Times New Roman" w:ascii="Times New Roman" w:hAnsi="Times New Roman"/>
          <w:lang w:eastAsia="sk-SK"/>
        </w:rPr>
        <w:t>Sídlo účtovnej jednotky:</w:t>
        <w:tab/>
        <w:tab/>
        <w:tab/>
        <w:t xml:space="preserve">             </w:t>
      </w:r>
      <w:r>
        <w:rPr>
          <w:rFonts w:eastAsia="Arial" w:cs="Times New Roman" w:ascii="Times New Roman" w:hAnsi="Times New Roman"/>
          <w:lang w:eastAsia="sk-SK"/>
        </w:rPr>
        <w:t>Mokrá Lúka 252</w:t>
      </w:r>
      <w:r>
        <w:rPr>
          <w:rFonts w:eastAsia="Arial" w:cs="Times New Roman" w:ascii="Times New Roman" w:hAnsi="Times New Roman"/>
          <w:lang w:eastAsia="sk-SK"/>
        </w:rPr>
        <w:t xml:space="preserve">, </w:t>
      </w:r>
      <w:r>
        <w:rPr>
          <w:rFonts w:eastAsia="Arial" w:cs="Times New Roman" w:ascii="Times New Roman" w:hAnsi="Times New Roman"/>
          <w:lang w:eastAsia="sk-SK"/>
        </w:rPr>
        <w:t>Mokrá Lúka</w:t>
      </w:r>
      <w:r>
        <w:rPr>
          <w:rFonts w:eastAsia="Arial" w:cs="Times New Roman" w:ascii="Times New Roman" w:hAnsi="Times New Roman"/>
          <w:lang w:eastAsia="sk-SK"/>
        </w:rPr>
        <w:t xml:space="preserve"> </w:t>
      </w:r>
      <w:r>
        <w:rPr>
          <w:rFonts w:eastAsia="Arial" w:cs="Times New Roman" w:ascii="Times New Roman" w:hAnsi="Times New Roman"/>
          <w:lang w:eastAsia="sk-SK"/>
        </w:rPr>
        <w:t>05 0</w:t>
      </w:r>
      <w:r>
        <w:rPr>
          <w:rFonts w:eastAsia="Arial" w:cs="Times New Roman" w:ascii="Times New Roman" w:hAnsi="Times New Roman"/>
          <w:lang w:eastAsia="sk-SK"/>
        </w:rPr>
        <w:t>0</w:t>
      </w:r>
      <w:r>
        <w:rPr>
          <w:rFonts w:eastAsia="Arial" w:cs="Times New Roman" w:ascii="Times New Roman" w:hAnsi="Times New Roman"/>
          <w:lang w:eastAsia="sk-SK"/>
        </w:rPr>
        <w:t>1</w:t>
      </w:r>
    </w:p>
    <w:p>
      <w:pPr>
        <w:pStyle w:val="Normal"/>
        <w:spacing w:before="60" w:after="120"/>
        <w:ind w:hanging="11" w:left="1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Čl. I (3) Priemerný prepočítaný počet zamestnancov: </w:t>
        <w:tab/>
      </w:r>
      <w:r>
        <w:rPr>
          <w:rFonts w:eastAsia="Arial" w:cs="Arial" w:ascii="Times New Roman" w:hAnsi="Times New Roman"/>
          <w:color w:val="auto"/>
          <w:kern w:val="0"/>
          <w:sz w:val="22"/>
          <w:szCs w:val="22"/>
          <w:lang w:val="sk-SK" w:eastAsia="sk-SK" w:bidi="ar-SA"/>
        </w:rPr>
        <w:t>0</w:t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>
          <w:rFonts w:ascii="Times New Roman" w:hAnsi="Times New Roman" w:eastAsia="Arial"/>
          <w:b/>
          <w:sz w:val="28"/>
          <w:szCs w:val="26"/>
          <w:lang w:eastAsia="sk-SK"/>
        </w:rPr>
      </w:pPr>
      <w:r>
        <w:rPr>
          <w:rFonts w:eastAsia="Arial" w:ascii="Times New Roman" w:hAnsi="Times New Roman"/>
          <w:b/>
          <w:sz w:val="28"/>
          <w:szCs w:val="26"/>
          <w:lang w:eastAsia="sk-SK"/>
        </w:rPr>
        <w:t>Čl. I (2) Údaje o konsolidovanom celku</w:t>
      </w:r>
    </w:p>
    <w:p>
      <w:pPr>
        <w:pStyle w:val="Normal"/>
        <w:widowControl w:val="false"/>
        <w:spacing w:lineRule="auto" w:line="240" w:before="60" w:after="120"/>
        <w:jc w:val="both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(2) Údaje o konsolidovanom celku: </w:t>
      </w:r>
    </w:p>
    <w:p>
      <w:pPr>
        <w:pStyle w:val="Normal"/>
        <w:widowControl w:val="false"/>
        <w:spacing w:lineRule="auto" w:line="240" w:before="60" w:after="120"/>
        <w:jc w:val="both"/>
        <w:rPr/>
      </w:pPr>
      <w:r>
        <w:rPr>
          <w:rFonts w:eastAsia="Arial" w:cs="Arial" w:ascii="Times New Roman" w:hAnsi="Times New Roman"/>
          <w:lang w:eastAsia="sk-SK"/>
        </w:rPr>
        <w:t xml:space="preserve">a) </w:t>
      </w:r>
      <w:r>
        <w:rPr>
          <w:rFonts w:eastAsia="Arial" w:cs="Arial" w:ascii="Times New Roman" w:hAnsi="Times New Roman"/>
          <w:u w:val="single"/>
          <w:lang w:eastAsia="sk-SK"/>
        </w:rPr>
        <w:t>obchodné meno a sídlo konsolidujúcej účtovnej jednotky</w:t>
      </w:r>
      <w:r>
        <w:rPr>
          <w:rFonts w:eastAsia="Arial" w:cs="Arial" w:ascii="Times New Roman" w:hAnsi="Times New Roman"/>
          <w:lang w:eastAsia="sk-SK"/>
        </w:rPr>
        <w:t>, ktorá zostavuje konsolidovanú účtovnú závierku za tú skupinu účtovných jednotiek konsolidovaného celku, ktorého súčasťou je aj účtovná jednotka: nie je náplň</w:t>
      </w:r>
    </w:p>
    <w:p>
      <w:pPr>
        <w:pStyle w:val="Normal"/>
        <w:widowControl w:val="false"/>
        <w:spacing w:lineRule="auto" w:line="240" w:before="60" w:after="120"/>
        <w:jc w:val="both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</w:r>
    </w:p>
    <w:p>
      <w:pPr>
        <w:pStyle w:val="Normal"/>
        <w:tabs>
          <w:tab w:val="clear" w:pos="709"/>
          <w:tab w:val="center" w:pos="784" w:leader="none"/>
          <w:tab w:val="center" w:pos="2262" w:leader="none"/>
        </w:tabs>
        <w:spacing w:before="60" w:after="120"/>
        <w:rPr/>
      </w:pPr>
      <w:r>
        <w:rPr>
          <w:rFonts w:eastAsia="Arial" w:cs="Arial" w:ascii="Times New Roman" w:hAnsi="Times New Roman"/>
          <w:b/>
          <w:lang w:eastAsia="sk-SK"/>
        </w:rPr>
        <w:t>povinnos</w:t>
      </w:r>
      <w:r>
        <w:rPr>
          <w:rFonts w:eastAsia="Arial" w:cs="Arial" w:ascii="Times New Roman" w:hAnsi="Times New Roman"/>
          <w:b/>
          <w:lang w:eastAsia="sk-SK"/>
        </w:rPr>
        <w:t>ť zostaviť konsolidovanú účtovnú závierku:</w:t>
        <w:pict>
          <v:shapetype id="_x0000_t201" coordsize="21600,21600" o:spt="201" path="m,l,21600l21600,21600l21600,xe">
            <v:stroke joinstyle="miter"/>
            <v:path shadowok="f" o:extrusionok="f" strokeok="f" fillok="f" o:connecttype="rect"/>
            <o:lock v:ext="edit" shapetype="t"/>
          </v:shapetype>
          <v:shape id="control_shape_0" o:allowincell="f" style="position:absolute;margin-left:321.45pt;margin-top:-2.1pt;width:32.5pt;height:16.7pt;mso-position-vertical:center" type="#_x0000_t201">
            <w10:wrap type="none"/>
          </v:shape>
          <w:control r:id="rId2" w:name="unnamed0" w:shapeid="control_shape_0"/>
        </w:pict>
        <w:pict>
          <v:shape id="control_shape_1" o:allowincell="f" style="position:absolute;margin-left:261.65pt;margin-top:-2.1pt;width:41.4pt;height:16.7pt;mso-position-vertical:center" type="#_x0000_t201">
            <w10:wrap type="none"/>
          </v:shape>
          <w:control r:id="rId3" w:name="unnamed0" w:shapeid="control_shape_1"/>
        </w:pict>
      </w:r>
      <w:r>
        <w:rPr>
          <w:rFonts w:eastAsia="Arial" w:cs="Arial" w:ascii="Times New Roman" w:hAnsi="Times New Roman"/>
          <w:lang w:eastAsia="sk-SK"/>
        </w:rPr>
        <w:tab/>
      </w:r>
    </w:p>
    <w:p>
      <w:pPr>
        <w:pStyle w:val="Normal"/>
        <w:widowControl w:val="false"/>
        <w:spacing w:lineRule="auto" w:line="240" w:before="60" w:after="120"/>
        <w:jc w:val="both"/>
        <w:rPr/>
      </w:pPr>
      <w:r>
        <w:rPr>
          <w:rFonts w:eastAsia="Arial" w:cs="Arial" w:ascii="Times New Roman" w:hAnsi="Times New Roman"/>
          <w:lang w:eastAsia="sk-SK"/>
        </w:rPr>
        <w:t xml:space="preserve">1. pri oslobodení </w:t>
      </w:r>
      <w:r>
        <w:rPr>
          <w:rFonts w:eastAsia="Arial" w:cs="Arial" w:ascii="Times New Roman" w:hAnsi="Times New Roman"/>
          <w:u w:val="single"/>
          <w:lang w:eastAsia="sk-SK"/>
        </w:rPr>
        <w:t xml:space="preserve">podľa </w:t>
      </w:r>
      <w:hyperlink r:id="rId4">
        <w:r>
          <w:rPr>
            <w:rStyle w:val="ListLabel19"/>
            <w:rFonts w:eastAsia="Arial" w:cs="Arial" w:ascii="Times New Roman" w:hAnsi="Times New Roman"/>
            <w:u w:val="single"/>
            <w:lang w:eastAsia="sk-SK"/>
          </w:rPr>
          <w:t>§ 22 ods. 8 zákona</w:t>
        </w:r>
      </w:hyperlink>
      <w:r>
        <w:rPr>
          <w:rFonts w:eastAsia="Arial" w:cs="Arial" w:ascii="Times New Roman" w:hAnsi="Times New Roman"/>
          <w:lang w:eastAsia="sk-SK"/>
        </w:rPr>
        <w:t xml:space="preserve"> </w:t>
      </w:r>
      <w:r>
        <w:rPr>
          <w:rFonts w:eastAsia="Arial" w:cs="Arial" w:ascii="Times New Roman" w:hAnsi="Times New Roman"/>
          <w:u w:val="single"/>
          <w:lang w:eastAsia="sk-SK"/>
        </w:rPr>
        <w:t>obchodné meno a sídlo materskej účtovnej jednotky</w:t>
      </w:r>
      <w:r>
        <w:rPr>
          <w:rFonts w:eastAsia="Arial" w:cs="Arial" w:ascii="Times New Roman" w:hAnsi="Times New Roman"/>
          <w:lang w:eastAsia="sk-SK"/>
        </w:rPr>
        <w:t xml:space="preserve"> zostavujúcej konsolidovanú účtovnú závierku podľa osobitných predpisov: </w:t>
      </w:r>
    </w:p>
    <w:p>
      <w:pPr>
        <w:pStyle w:val="Normal"/>
        <w:widowControl w:val="false"/>
        <w:spacing w:lineRule="auto" w:line="240" w:before="60" w:after="120"/>
        <w:jc w:val="both"/>
        <w:rPr/>
      </w:pPr>
      <w:r>
        <w:rPr>
          <w:rFonts w:eastAsia="Arial" w:cs="Arial" w:ascii="Times New Roman" w:hAnsi="Times New Roman"/>
          <w:lang w:eastAsia="sk-SK"/>
        </w:rPr>
        <w:t xml:space="preserve">2.  pri oslobodení </w:t>
      </w:r>
      <w:r>
        <w:rPr>
          <w:rFonts w:eastAsia="Arial" w:cs="Arial" w:ascii="Times New Roman" w:hAnsi="Times New Roman"/>
          <w:u w:val="single"/>
          <w:lang w:eastAsia="sk-SK"/>
        </w:rPr>
        <w:t xml:space="preserve">podľa </w:t>
      </w:r>
      <w:hyperlink r:id="rId5">
        <w:r>
          <w:rPr>
            <w:rStyle w:val="ListLabel19"/>
            <w:rFonts w:eastAsia="Arial" w:cs="Arial" w:ascii="Times New Roman" w:hAnsi="Times New Roman"/>
            <w:u w:val="single"/>
            <w:lang w:eastAsia="sk-SK"/>
          </w:rPr>
          <w:t>§ 22 ods. 12 zákona</w:t>
        </w:r>
      </w:hyperlink>
      <w:r>
        <w:rPr>
          <w:rFonts w:eastAsia="Arial" w:cs="Arial" w:ascii="Times New Roman" w:hAnsi="Times New Roman"/>
          <w:lang w:eastAsia="sk-SK"/>
        </w:rPr>
        <w:t xml:space="preserve"> </w:t>
      </w:r>
      <w:r>
        <w:rPr>
          <w:rFonts w:eastAsia="Arial" w:cs="Arial" w:ascii="Times New Roman" w:hAnsi="Times New Roman"/>
          <w:u w:val="single"/>
          <w:lang w:eastAsia="sk-SK"/>
        </w:rPr>
        <w:t>obchodné meno a sídlo dcérskych účtovných jednotiek</w:t>
      </w:r>
      <w:r>
        <w:rPr>
          <w:rFonts w:eastAsia="Arial" w:cs="Arial" w:ascii="Times New Roman" w:hAnsi="Times New Roman"/>
          <w:lang w:eastAsia="sk-SK"/>
        </w:rPr>
        <w:t xml:space="preserve">: </w:t>
      </w:r>
    </w:p>
    <w:p>
      <w:pPr>
        <w:pStyle w:val="Normal"/>
        <w:spacing w:before="240" w:after="0"/>
        <w:rPr>
          <w:rFonts w:ascii="Times New Roman" w:hAnsi="Times New Roman" w:eastAsia="Arial"/>
          <w:b/>
          <w:sz w:val="28"/>
          <w:szCs w:val="26"/>
          <w:lang w:eastAsia="sk-SK"/>
        </w:rPr>
      </w:pPr>
      <w:r>
        <w:rPr>
          <w:rFonts w:eastAsia="Arial" w:ascii="Times New Roman" w:hAnsi="Times New Roman"/>
          <w:b/>
          <w:sz w:val="28"/>
          <w:szCs w:val="26"/>
          <w:lang w:eastAsia="sk-SK"/>
        </w:rPr>
        <w:t>Čl. II Informácie o prijatých postupoch</w:t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>
          <w:rFonts w:ascii="Times New Roman" w:hAnsi="Times New Roman" w:eastAsia="Calibri Light" w:cs="Calibri Light"/>
          <w:b/>
          <w:sz w:val="28"/>
          <w:szCs w:val="26"/>
          <w:lang w:eastAsia="sk-SK"/>
        </w:rPr>
      </w:pPr>
      <w:r>
        <w:rPr>
          <w:rFonts w:eastAsia="Calibri Light" w:cs="Calibri Light" w:ascii="Times New Roman" w:hAnsi="Times New Roman"/>
          <w:b/>
          <w:sz w:val="28"/>
          <w:szCs w:val="26"/>
          <w:lang w:eastAsia="sk-SK"/>
        </w:rPr>
        <w:t>Čl. II (1) Nepretržité pokračovanie účtovnej jednotky</w:t>
      </w:r>
    </w:p>
    <w:p>
      <w:pPr>
        <w:pStyle w:val="Normal"/>
        <w:spacing w:before="60" w:after="12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 (1) Účtovná závierka je zostavená za splnenia predpokladu, že účtovná jednotka bude nepretržite pokračovať vo svojej činnosti:</w:t>
      </w:r>
    </w:p>
    <w:p>
      <w:pPr>
        <w:pStyle w:val="Normal"/>
        <w:spacing w:before="60" w:after="120"/>
        <w:rPr>
          <w:rFonts w:ascii="Times New Roman" w:hAnsi="Times New Roman" w:eastAsia="Arial" w:cs="Times New Roman"/>
          <w:lang w:eastAsia="sk-SK"/>
        </w:rPr>
      </w:pPr>
      <w:r>
        <w:rPr>
          <w:rFonts w:eastAsia="Arial" w:cs="Times New Roman" w:ascii="Times New Roman" w:hAnsi="Times New Roman"/>
          <w:lang w:eastAsia="sk-SK"/>
        </w:rPr>
        <w:tab/>
      </w:r>
      <w:r>
        <w:pict>
          <v:shape id="control_shape_2" o:allowincell="f" style="position:absolute;margin-left:31.45pt;margin-top:-1.7pt;width:41.4pt;height:16.7pt;mso-position-vertical:center" type="#_x0000_t201">
            <w10:wrap type="none"/>
          </v:shape>
          <w:control r:id="rId6" w:name="unnamed0" w:shapeid="control_shape_2"/>
        </w:pict>
      </w:r>
      <w:r>
        <w:pict>
          <v:shape id="control_shape_3" o:allowincell="f" style="position:absolute;margin-left:83.6pt;margin-top:-1.7pt;width:32.5pt;height:16.7pt;mso-position-vertical:center" type="#_x0000_t201">
            <w10:wrap type="none"/>
          </v:shape>
          <w:control r:id="rId7" w:name="unnamed0" w:shapeid="control_shape_3"/>
        </w:pict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>
          <w:rFonts w:ascii="Times New Roman" w:hAnsi="Times New Roman" w:eastAsia="Calibri Light" w:cs="Calibri Light"/>
          <w:b/>
          <w:sz w:val="28"/>
          <w:szCs w:val="26"/>
          <w:lang w:eastAsia="sk-SK"/>
        </w:rPr>
      </w:pPr>
      <w:r>
        <w:rPr>
          <w:rFonts w:eastAsia="Calibri Light" w:cs="Calibri Light" w:ascii="Times New Roman" w:hAnsi="Times New Roman"/>
          <w:b/>
          <w:sz w:val="28"/>
          <w:szCs w:val="26"/>
          <w:lang w:eastAsia="sk-SK"/>
        </w:rPr>
        <w:t>Čl. II (2) Spôsob oceňovania jednotlivých položiek majetku a záväzkov</w:t>
      </w:r>
    </w:p>
    <w:p>
      <w:pPr>
        <w:pStyle w:val="Normal"/>
        <w:spacing w:before="60" w:after="120"/>
        <w:ind w:hanging="11" w:left="1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 (2) Spôsob oceňovania jednotlivých položiek majetku a záväzkov</w:t>
      </w:r>
    </w:p>
    <w:tbl>
      <w:tblPr>
        <w:tblW w:w="10522" w:type="dxa"/>
        <w:jc w:val="left"/>
        <w:tblInd w:w="73" w:type="dxa"/>
        <w:tblLayout w:type="fixed"/>
        <w:tblCellMar>
          <w:top w:w="66" w:type="dxa"/>
          <w:left w:w="45" w:type="dxa"/>
          <w:bottom w:w="0" w:type="dxa"/>
          <w:right w:w="115" w:type="dxa"/>
        </w:tblCellMar>
      </w:tblPr>
      <w:tblGrid>
        <w:gridCol w:w="3718"/>
        <w:gridCol w:w="3544"/>
        <w:gridCol w:w="3260"/>
      </w:tblGrid>
      <w:tr>
        <w:trPr>
          <w:trHeight w:val="338" w:hRule="atLeast"/>
        </w:trPr>
        <w:tc>
          <w:tcPr>
            <w:tcW w:w="371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hanging="0" w:left="70" w:right="0"/>
              <w:jc w:val="center"/>
              <w:rPr>
                <w:rFonts w:ascii="Times New Roman" w:hAnsi="Times New Roman" w:eastAsia="Arial" w:cs="Times New Roman"/>
                <w:b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sz w:val="20"/>
                <w:lang w:eastAsia="sk-SK"/>
              </w:rPr>
              <w:t>Popis položky</w:t>
            </w:r>
          </w:p>
        </w:tc>
        <w:tc>
          <w:tcPr>
            <w:tcW w:w="35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hanging="0" w:left="66" w:right="0"/>
              <w:jc w:val="center"/>
              <w:rPr>
                <w:rFonts w:ascii="Times New Roman" w:hAnsi="Times New Roman" w:eastAsia="Arial" w:cs="Times New Roman"/>
                <w:b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sz w:val="20"/>
                <w:lang w:eastAsia="sk-SK"/>
              </w:rPr>
              <w:t>Ocenenie majetku a záväzkov</w:t>
            </w:r>
          </w:p>
        </w:tc>
        <w:tc>
          <w:tcPr>
            <w:tcW w:w="326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hanging="0" w:left="67" w:right="0"/>
              <w:jc w:val="center"/>
              <w:rPr>
                <w:rFonts w:ascii="Times New Roman" w:hAnsi="Times New Roman" w:eastAsia="Arial" w:cs="Times New Roman"/>
                <w:b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sz w:val="20"/>
                <w:lang w:eastAsia="sk-SK"/>
              </w:rPr>
              <w:t>Poznámka k oceneniu</w:t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Dlhodobý nehmotný majetok</w:t>
            </w:r>
          </w:p>
        </w:tc>
        <w:tc>
          <w:tcPr>
            <w:tcW w:w="35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326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Dlhodobý hmotný majetok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napToGrid w:val="false"/>
              <w:spacing w:lineRule="auto" w:line="252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Dlhodobý finančný majetok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contextualSpacing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cs="Times New Roman" w:ascii="Times New Roman" w:hAnsi="Times New Roman"/>
                <w:lang w:eastAsia="sk-SK"/>
              </w:rPr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Zásoby obstarané kúpou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hanging="0" w:left="11" w:right="0"/>
              <w:contextualSpacing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cs="Times New Roman" w:ascii="Times New Roman" w:hAnsi="Times New Roman"/>
                <w:lang w:eastAsia="sk-SK"/>
              </w:rPr>
              <w:t>Obstarávacia cena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napToGrid w:val="false"/>
              <w:spacing w:lineRule="auto" w:line="252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1"/>
                <w:szCs w:val="21"/>
                <w:lang w:eastAsia="sk-SK"/>
              </w:rPr>
              <w:t>Obstarávacia cena zahŕňa cenu obstarania a náklady súvisiace s obstaraním.</w:t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Zásoby vytvorené vlastnou činnosťou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>-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Pohľadávky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hanging="0" w:left="11" w:right="0"/>
              <w:contextualSpacing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cs="Times New Roman" w:ascii="Times New Roman" w:hAnsi="Times New Roman"/>
                <w:lang w:eastAsia="sk-SK"/>
              </w:rPr>
              <w:t>Menovitá hodnota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>V čase ich vzniku</w:t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Krátkodobý finančný majetok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hanging="0" w:left="11" w:right="0"/>
              <w:contextualSpacing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>Menovitá hodnota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>Peňažné prostriedky</w:t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 xml:space="preserve">Záväzky 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hanging="0" w:left="11" w:right="0"/>
              <w:contextualSpacing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cs="Times New Roman" w:ascii="Times New Roman" w:hAnsi="Times New Roman"/>
                <w:lang w:eastAsia="sk-SK"/>
              </w:rPr>
              <w:t>Menovitá hodnota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>V čase ich vzniku</w:t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Rezervy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hanging="0" w:left="11" w:right="0"/>
              <w:contextualSpacing/>
              <w:jc w:val="center"/>
              <w:rPr>
                <w:rFonts w:ascii="Times New Roman" w:hAnsi="Times New Roman" w:eastAsia="Calibri" w:cs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Calibri" w:cs="Times New Roman" w:ascii="Times New Roman" w:hAnsi="Times New Roman"/>
                <w:color w:val="auto"/>
                <w:kern w:val="0"/>
                <w:sz w:val="22"/>
                <w:szCs w:val="22"/>
                <w:lang w:val="sk-SK" w:eastAsia="sk-SK" w:bidi="ar-SA"/>
              </w:rPr>
              <w:t>-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napToGrid w:val="false"/>
              <w:spacing w:lineRule="auto" w:line="252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Arial" w:cs="Times New Roman" w:ascii="Times New Roman" w:hAnsi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Dlhopisy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hanging="0" w:left="11" w:right="0"/>
              <w:contextualSpacing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cs="Times New Roman" w:ascii="Times New Roman" w:hAnsi="Times New Roman"/>
                <w:lang w:eastAsia="sk-SK"/>
              </w:rPr>
              <w:t>-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Pôžičky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hanging="0" w:left="11" w:right="0"/>
              <w:contextualSpacing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cs="Times New Roman" w:ascii="Times New Roman" w:hAnsi="Times New Roman"/>
                <w:lang w:eastAsia="sk-SK"/>
              </w:rPr>
              <w:t>-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Úvery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hanging="0" w:left="11" w:right="0"/>
              <w:contextualSpacing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cs="Times New Roman" w:ascii="Times New Roman" w:hAnsi="Times New Roman"/>
                <w:lang w:eastAsia="sk-SK"/>
              </w:rPr>
              <w:t>Menovitá hodnota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>V čase ich vzniku</w:t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Derivátové operácie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</w:tbl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/>
      </w:pPr>
      <w:r>
        <w:rPr>
          <w:rFonts w:eastAsia="Times New Roman" w:cs="Times New Roman" w:ascii="Times New Roman" w:hAnsi="Times New Roman"/>
          <w:b/>
          <w:bCs/>
          <w:sz w:val="28"/>
          <w:szCs w:val="26"/>
          <w:lang w:eastAsia="sk-SK"/>
        </w:rPr>
        <w:t xml:space="preserve">Čl. II (2) Spôsob oceňovania jednotlivých položiek majetku a záväzkov (účtovanie </w:t>
        <w:br/>
        <w:t>a úbytok zásob</w:t>
      </w:r>
      <w:r>
        <w:rPr>
          <w:rFonts w:eastAsia="Times New Roman" w:cs="Times New Roman" w:ascii="Times New Roman" w:hAnsi="Times New Roman"/>
          <w:bCs/>
          <w:sz w:val="28"/>
          <w:szCs w:val="26"/>
          <w:lang w:eastAsia="sk-SK"/>
        </w:rPr>
        <w:t>)</w:t>
      </w:r>
    </w:p>
    <w:p>
      <w:pPr>
        <w:pStyle w:val="Normal"/>
        <w:spacing w:before="60" w:after="120"/>
        <w:ind w:hanging="11" w:left="11" w:right="0"/>
        <w:rPr/>
      </w:pPr>
      <w:r>
        <w:rPr>
          <w:rFonts w:eastAsia="Arial" w:cs="Arial" w:ascii="Times New Roman" w:hAnsi="Times New Roman"/>
          <w:lang w:eastAsia="sk-SK"/>
        </w:rPr>
        <w:t>Ak ku dňu, ku ktorému sa zostavuje účtovná závierka, sú budúce ekonomické úžitky zásob nižšie ako ich ocenenie v účtovníctve, ocenia sa v čistej realizačnej hodnote. Ku dňu účtovnej závierky účtovná jednotka neeviduje zásoby na sklade.</w:t>
      </w:r>
    </w:p>
    <w:p>
      <w:pPr>
        <w:pStyle w:val="Normal"/>
        <w:spacing w:before="60" w:after="120"/>
        <w:ind w:hanging="11" w:left="11" w:right="0"/>
        <w:rPr/>
      </w:pPr>
      <w:r>
        <w:rPr>
          <w:rFonts w:eastAsia="Arial" w:cs="Arial" w:ascii="Times New Roman" w:hAnsi="Times New Roman"/>
          <w:lang w:eastAsia="sk-SK"/>
        </w:rPr>
        <w:t>Druhy materiálov účtovaných priamo do spotreby bez zaúčtovania na sklad sú uvedené vo vnútornom predpise účtovnej jednotky so zohľadnením toho, že spotreba materiálu vykázaná v účtovnej závierke zodpovedá skutočnej spotrebe materiálu.</w: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 (2) Spôsob oceňovania jednotlivých položiek majetku a záväzkov (účtovanie a úbytok zásob)</w: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Pri účtovaní zásob postupovala účtovná jednotka podľa § 43 postupov účtovania v PÚ:</w:t>
      </w:r>
    </w:p>
    <w:p>
      <w:pPr>
        <w:pStyle w:val="Normal"/>
        <w:spacing w:before="60" w:after="120"/>
        <w:ind w:firstLine="698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 </w:t>
      </w:r>
      <w:r>
        <w:rPr>
          <w:rFonts w:eastAsia="Arial" w:cs="Arial" w:ascii="Times New Roman" w:hAnsi="Times New Roman"/>
          <w:lang w:eastAsia="sk-SK"/>
        </w:rPr>
        <w:tab/>
      </w:r>
      <w:r>
        <w:pict>
          <v:shape id="control_shape_4" o:allowincell="f" style="position:absolute;margin-left:34pt;margin-top:-1.7pt;width:145.85pt;height:16.7pt;mso-position-vertical:center" type="#_x0000_t201">
            <w10:wrap type="none"/>
          </v:shape>
          <w:control r:id="rId8" w:name="unnamed0" w:shapeid="control_shape_4"/>
        </w:pict>
      </w:r>
    </w:p>
    <w:p>
      <w:pPr>
        <w:pStyle w:val="Normal"/>
        <w:spacing w:before="60" w:after="120"/>
        <w:ind w:firstLine="698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 </w:t>
      </w:r>
      <w:r>
        <w:pict>
          <v:shape id="control_shape_5" o:allowincell="f" style="position:absolute;margin-left:34pt;margin-top:-2.1pt;width:145.85pt;height:16.7pt;mso-position-vertical:center" type="#_x0000_t201">
            <w10:wrap type="none"/>
          </v:shape>
          <w:control r:id="rId9" w:name="unnamed0" w:shapeid="control_shape_5"/>
        </w:pict>
      </w:r>
    </w:p>
    <w:p>
      <w:pPr>
        <w:pStyle w:val="Normal"/>
        <w:spacing w:before="60" w:after="120"/>
        <w:ind w:hanging="11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Úbytok zásob rovnakého druhu účtovná jednotka oceňovala:</w:t>
      </w:r>
    </w:p>
    <w:p>
      <w:pPr>
        <w:pStyle w:val="Normal"/>
        <w:spacing w:before="60" w:after="120"/>
        <w:ind w:firstLine="687" w:left="2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 </w:t>
      </w:r>
      <w:r>
        <w:pict>
          <v:shape id="control_shape_6" o:allowincell="f" style="position:absolute;margin-left:34pt;margin-top:-2.1pt;width:400.8pt;height:16.7pt;mso-position-vertical:center" type="#_x0000_t201">
            <w10:wrap type="none"/>
          </v:shape>
          <w:control r:id="rId10" w:name="unnamed0" w:shapeid="control_shape_6"/>
        </w:pict>
      </w:r>
    </w:p>
    <w:p>
      <w:pPr>
        <w:pStyle w:val="Normal"/>
        <w:spacing w:before="60" w:after="120"/>
        <w:ind w:firstLine="687" w:left="2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pict>
          <v:shape id="control_shape_7" o:allowincell="f" style="position:absolute;margin-left:34pt;margin-top:-2.1pt;width:469pt;height:16.7pt;mso-position-vertical:center" type="#_x0000_t201">
            <w10:wrap type="none"/>
          </v:shape>
          <w:control r:id="rId11" w:name="unnamed0" w:shapeid="control_shape_7"/>
        </w:pict>
      </w:r>
    </w:p>
    <w:p>
      <w:pPr>
        <w:pStyle w:val="Normal"/>
        <w:spacing w:before="60" w:after="120"/>
        <w:ind w:firstLine="687" w:left="2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pict>
          <v:shape id="control_shape_8" o:allowincell="f" style="position:absolute;margin-left:34pt;margin-top:-2.1pt;width:400.8pt;height:16.7pt;mso-position-vertical:center" type="#_x0000_t201">
            <w10:wrap type="none"/>
          </v:shape>
          <w:control r:id="rId12" w:name="unnamed0" w:shapeid="control_shape_8"/>
        </w:pict>
      </w:r>
    </w:p>
    <w:p>
      <w:pPr>
        <w:pStyle w:val="Heading2"/>
        <w:spacing w:before="240" w:after="0"/>
        <w:rPr>
          <w:rFonts w:ascii="Times New Roman" w:hAnsi="Times New Roman" w:eastAsia="Times New Roman" w:cs="Times New Roman"/>
          <w:bCs w:val="false"/>
          <w:color w:val="auto"/>
          <w:sz w:val="28"/>
          <w:lang w:eastAsia="sk-SK"/>
        </w:rPr>
      </w:pPr>
      <w:r>
        <w:rPr>
          <w:rFonts w:eastAsia="Times New Roman" w:cs="Times New Roman" w:ascii="Times New Roman" w:hAnsi="Times New Roman"/>
          <w:bCs w:val="false"/>
          <w:color w:val="auto"/>
          <w:sz w:val="28"/>
          <w:lang w:eastAsia="sk-SK"/>
        </w:rPr>
        <w:t>Čl. II (3) Spôsob zostavenia odpisového plánu pre jednotlivé druhy dlhodobého majetku</w: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 (3) Spôsob zostavenia odpisového plánu pre jednotlivé druhy dlhodobého majetku</w:t>
      </w:r>
    </w:p>
    <w:p>
      <w:pPr>
        <w:pStyle w:val="Normal"/>
        <w:widowControl/>
        <w:suppressAutoHyphens w:val="true"/>
        <w:bidi w:val="0"/>
        <w:spacing w:lineRule="auto" w:line="276" w:before="60" w:after="120"/>
        <w:ind w:firstLine="567" w:left="0" w:right="0"/>
        <w:jc w:val="left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 </w:t>
      </w:r>
      <w:r>
        <w:rPr>
          <w:rFonts w:eastAsia="Arial" w:cs="Arial" w:ascii="Times New Roman" w:hAnsi="Times New Roman"/>
          <w:lang w:eastAsia="sk-SK"/>
        </w:rPr>
        <w:t>Dlhodob</w:t>
      </w:r>
      <w:r>
        <w:rPr>
          <w:rFonts w:eastAsia="Arial" w:cs="Arial" w:ascii="Times New Roman" w:hAnsi="Times New Roman"/>
          <w:lang w:eastAsia="sk-SK"/>
        </w:rPr>
        <w:t>ý nehmotný majetok: 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  <w:pict>
          <v:shape id="control_shape_9" o:allowincell="f" style="position:absolute;margin-left:14.15pt;margin-top:-2.5pt;width:15.4pt;height:16.7pt" type="#_x0000_t201">
            <w10:wrap type="none"/>
          </v:shape>
          <w:control r:id="rId13" w:name="unnamed0" w:shapeid="control_shape_9"/>
        </w:pict>
      </w:r>
    </w:p>
    <w:p>
      <w:pPr>
        <w:pStyle w:val="Normal"/>
        <w:widowControl/>
        <w:tabs>
          <w:tab w:val="clear" w:pos="709"/>
          <w:tab w:val="center" w:pos="1054" w:leader="none"/>
          <w:tab w:val="center" w:pos="6543" w:leader="none"/>
        </w:tabs>
        <w:suppressAutoHyphens w:val="true"/>
        <w:bidi w:val="0"/>
        <w:spacing w:lineRule="auto" w:line="276" w:before="60" w:after="120"/>
        <w:ind w:firstLine="567" w:left="0" w:right="0"/>
        <w:jc w:val="left"/>
        <w:rPr/>
      </w:pPr>
      <w:r>
        <w:rPr>
          <w:rFonts w:eastAsia="Calibri" w:cs="Calibri"/>
          <w:lang w:eastAsia="sk-SK"/>
        </w:rPr>
        <w:tab/>
        <w:t xml:space="preserve"> </w:t>
      </w:r>
      <w:r>
        <w:rPr>
          <w:rFonts w:eastAsia="Arial" w:cs="Arial" w:ascii="Times New Roman" w:hAnsi="Times New Roman"/>
          <w:lang w:eastAsia="sk-SK"/>
        </w:rPr>
        <w:t>Dlhodob</w:t>
      </w:r>
      <w:r>
        <w:rPr>
          <w:rFonts w:eastAsia="Arial" w:cs="Arial" w:ascii="Times New Roman" w:hAnsi="Times New Roman"/>
          <w:lang w:eastAsia="sk-SK"/>
        </w:rPr>
        <w:t>ý hmotný majetok: odpisový plán účtovných odpisov sa zostavil interným predpisom, v ktorom sa vychádzalo z predpokladaného opotrebenia zaraďovaného majetku zodpovedajúceho bežným podmienkam jeho využívania. účtovné a daňové odpisy sa nerovnajú.</w:t>
        <w:pict>
          <v:shape id="control_shape_10" o:allowincell="f" style="position:absolute;margin-left:14.15pt;margin-top:-2.5pt;width:15.4pt;height:16.7pt" type="#_x0000_t201">
            <w10:wrap type="none"/>
          </v:shape>
          <w:control r:id="rId14" w:name="unnamed0" w:shapeid="control_shape_10"/>
        </w:pict>
      </w:r>
    </w:p>
    <w:p>
      <w:pPr>
        <w:pStyle w:val="Normal"/>
        <w:widowControl/>
        <w:suppressAutoHyphens w:val="true"/>
        <w:bidi w:val="0"/>
        <w:spacing w:lineRule="auto" w:line="276" w:before="60" w:after="120"/>
        <w:ind w:firstLine="567" w:left="0" w:right="0"/>
        <w:jc w:val="left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 </w:t>
      </w:r>
      <w:r>
        <w:rPr>
          <w:rFonts w:eastAsia="Arial" w:cs="Arial" w:ascii="Times New Roman" w:hAnsi="Times New Roman"/>
          <w:lang w:eastAsia="sk-SK"/>
        </w:rPr>
        <w:t>Dlhodob</w:t>
      </w:r>
      <w:r>
        <w:rPr>
          <w:rFonts w:eastAsia="Arial" w:cs="Arial" w:ascii="Times New Roman" w:hAnsi="Times New Roman"/>
          <w:lang w:eastAsia="sk-SK"/>
        </w:rPr>
        <w:t>ý hmotný majetok: odpisový plán účtovných odpisov sa zostavil interným predpisom, v ktorom sa vychádzalo z metód používaných pri vyčíslovaní daňových odpisov. Účtovné a daňové odpisy sa rovnajú.</w:t>
        <w:pict>
          <v:shape id="control_shape_11" o:allowincell="f" style="position:absolute;margin-left:14.15pt;margin-top:-2.5pt;width:15.4pt;height:16.7pt" type="#_x0000_t201">
            <w10:wrap type="none"/>
          </v:shape>
          <w:control r:id="rId15" w:name="unnamed0" w:shapeid="control_shape_11"/>
        </w:pic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Odpisový plán bol ovplyvnený týmito skutočnosťami:</w: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Spôsob zostavenia odpisového plánu pre jednotlivé druhy dlhodobého nehmotného a hmotného majetku</w:t>
      </w:r>
    </w:p>
    <w:tbl>
      <w:tblPr>
        <w:tblW w:w="10522" w:type="dxa"/>
        <w:jc w:val="left"/>
        <w:tblInd w:w="73" w:type="dxa"/>
        <w:tblLayout w:type="fixed"/>
        <w:tblCellMar>
          <w:top w:w="66" w:type="dxa"/>
          <w:left w:w="45" w:type="dxa"/>
          <w:bottom w:w="0" w:type="dxa"/>
          <w:right w:w="115" w:type="dxa"/>
        </w:tblCellMar>
      </w:tblPr>
      <w:tblGrid>
        <w:gridCol w:w="3717"/>
        <w:gridCol w:w="2413"/>
        <w:gridCol w:w="2266"/>
        <w:gridCol w:w="2125"/>
      </w:tblGrid>
      <w:tr>
        <w:trPr>
          <w:trHeight w:val="338" w:hRule="atLeast"/>
        </w:trPr>
        <w:tc>
          <w:tcPr>
            <w:tcW w:w="371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hanging="0" w:left="70" w:right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Druh majetku</w:t>
            </w:r>
          </w:p>
        </w:tc>
        <w:tc>
          <w:tcPr>
            <w:tcW w:w="241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hanging="0" w:left="66" w:right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Doba odpisovania</w:t>
            </w:r>
          </w:p>
        </w:tc>
        <w:tc>
          <w:tcPr>
            <w:tcW w:w="226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hanging="0" w:left="66" w:right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Sadzba odpisov</w:t>
            </w:r>
          </w:p>
        </w:tc>
        <w:tc>
          <w:tcPr>
            <w:tcW w:w="212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hanging="0" w:left="67" w:right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Odpisová metóda</w:t>
            </w:r>
          </w:p>
        </w:tc>
      </w:tr>
      <w:tr>
        <w:trPr>
          <w:trHeight w:val="289" w:hRule="atLeast"/>
        </w:trPr>
        <w:tc>
          <w:tcPr>
            <w:tcW w:w="3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Normal"/>
              <w:spacing w:before="0" w:after="0"/>
              <w:contextualSpacing/>
              <w:jc w:val="center"/>
              <w:rPr>
                <w:rFonts w:ascii="Times New Roman" w:hAnsi="Times New Roman" w:eastAsia="Arial" w:cs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Arial" w:cs="Times New Roman" w:ascii="Times New Roman" w:hAnsi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r>
          </w:p>
        </w:tc>
        <w:tc>
          <w:tcPr>
            <w:tcW w:w="2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Normal"/>
              <w:spacing w:before="0" w:after="0"/>
              <w:contextualSpacing/>
              <w:jc w:val="center"/>
              <w:rPr>
                <w:rFonts w:ascii="Times New Roman" w:hAnsi="Times New Roman" w:eastAsia="Arial" w:cs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Arial" w:cs="Times New Roman" w:ascii="Times New Roman" w:hAnsi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Normal"/>
              <w:spacing w:before="0" w:after="0"/>
              <w:contextualSpacing/>
              <w:jc w:val="center"/>
              <w:rPr>
                <w:rFonts w:ascii="Times New Roman" w:hAnsi="Times New Roman" w:eastAsia="Arial" w:cs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Arial" w:cs="Times New Roman" w:ascii="Times New Roman" w:hAnsi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before="0" w:after="0"/>
              <w:contextualSpacing/>
              <w:jc w:val="center"/>
              <w:rPr>
                <w:rFonts w:ascii="Times New Roman" w:hAnsi="Times New Roman" w:eastAsia="Arial" w:cs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Arial" w:cs="Times New Roman" w:ascii="Times New Roman" w:hAnsi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r>
          </w:p>
        </w:tc>
      </w:tr>
      <w:tr>
        <w:trPr>
          <w:trHeight w:val="289" w:hRule="atLeast"/>
        </w:trPr>
        <w:tc>
          <w:tcPr>
            <w:tcW w:w="371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Normal"/>
              <w:spacing w:before="0" w:after="0"/>
              <w:contextualSpacing/>
              <w:jc w:val="center"/>
              <w:rPr>
                <w:rFonts w:ascii="Times New Roman" w:hAnsi="Times New Roman" w:eastAsia="Times New Roman" w:cs="Times New Roman"/>
                <w:color w:val="auto"/>
                <w:kern w:val="0"/>
                <w:sz w:val="22"/>
                <w:szCs w:val="22"/>
                <w:lang w:val="sk-SK" w:eastAsia="zh-CN" w:bidi="ar-SA"/>
              </w:rPr>
            </w:pPr>
            <w:r>
              <w:rPr>
                <w:rFonts w:eastAsia="Times New Roman" w:cs="Times New Roman" w:ascii="Times New Roman" w:hAnsi="Times New Roman"/>
                <w:color w:val="auto"/>
                <w:kern w:val="0"/>
                <w:sz w:val="22"/>
                <w:szCs w:val="22"/>
                <w:lang w:val="sk-SK" w:eastAsia="zh-CN" w:bidi="ar-SA"/>
              </w:rPr>
            </w:r>
          </w:p>
        </w:tc>
        <w:tc>
          <w:tcPr>
            <w:tcW w:w="241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Normal"/>
              <w:spacing w:before="0" w:after="0"/>
              <w:contextualSpacing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</w:tc>
        <w:tc>
          <w:tcPr>
            <w:tcW w:w="226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Normal"/>
              <w:spacing w:before="0" w:after="0"/>
              <w:contextualSpacing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</w:tc>
        <w:tc>
          <w:tcPr>
            <w:tcW w:w="212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before="0" w:after="0"/>
              <w:contextualSpacing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</w:tc>
      </w:tr>
      <w:tr>
        <w:trPr>
          <w:trHeight w:val="289" w:hRule="atLeast"/>
        </w:trPr>
        <w:tc>
          <w:tcPr>
            <w:tcW w:w="3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Arial" w:cs="Times New Roman" w:ascii="Times New Roman" w:hAnsi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r>
          </w:p>
        </w:tc>
        <w:tc>
          <w:tcPr>
            <w:tcW w:w="2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left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 xml:space="preserve">   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left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right="0"/>
              <w:jc w:val="left"/>
              <w:rPr/>
            </w:pPr>
            <w:r>
              <w:rPr/>
            </w:r>
          </w:p>
          <w:p>
            <w:pPr>
              <w:pStyle w:val="Normal"/>
              <w:spacing w:lineRule="auto" w:line="259" w:before="0" w:after="0"/>
              <w:ind w:hanging="0" w:right="0"/>
              <w:jc w:val="left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</w:tbl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>
          <w:rFonts w:ascii="Times New Roman" w:hAnsi="Times New Roman" w:eastAsia="Times New Roman" w:cs="Times New Roman"/>
          <w:b/>
          <w:sz w:val="28"/>
          <w:szCs w:val="26"/>
          <w:lang w:eastAsia="sk-SK"/>
        </w:rPr>
      </w:pPr>
      <w:r>
        <w:rPr>
          <w:rFonts w:eastAsia="Times New Roman" w:cs="Times New Roman" w:ascii="Times New Roman" w:hAnsi="Times New Roman"/>
          <w:b/>
          <w:sz w:val="28"/>
          <w:szCs w:val="26"/>
          <w:lang w:eastAsia="sk-SK"/>
        </w:rPr>
        <w:t>Čl. II (4) Zmeny účtovných zásad a zmeny účtovných metód</w:t>
      </w:r>
    </w:p>
    <w:p>
      <w:pPr>
        <w:pStyle w:val="Normal"/>
        <w:spacing w:before="60" w:after="120"/>
        <w:ind w:hanging="10" w:left="10" w:right="142"/>
        <w:rPr/>
      </w:pPr>
      <w:r>
        <w:rPr>
          <w:rFonts w:eastAsia="Arial" w:cs="Arial" w:ascii="Times New Roman" w:hAnsi="Times New Roman"/>
          <w:lang w:eastAsia="sk-SK"/>
        </w:rPr>
        <w:t>Dodržané základné zásady najmä: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zásada dosiahnutia verného a pravdivého obrazu,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zásada bilančnej kontinuity,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akruálny princíp,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zásada stálosti metód,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zásada nepretržitosti pokračovania účtovnej jednotky vo svojej činnosti,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zásada zákazu kompenzácie,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zásada dokladovosti,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zásada opatrnosti,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prednosť podstaty pred formou,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oceňovacie zásady,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vecné a časové priraďovanie nákladov k výnosom, a k nim využité účtovné metódy</w: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 (4) Zmeny účtovných zásad a zmeny účtovných metód</w: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Účtovné metódy a zásady boli aplikované v rámci plat. zákona o účtovníctve, s osobitosťami:</w:t>
      </w:r>
    </w:p>
    <w:tbl>
      <w:tblPr>
        <w:tblW w:w="10448" w:type="dxa"/>
        <w:jc w:val="left"/>
        <w:tblInd w:w="144" w:type="dxa"/>
        <w:tblLayout w:type="fixed"/>
        <w:tblCellMar>
          <w:top w:w="30" w:type="dxa"/>
          <w:left w:w="115" w:type="dxa"/>
          <w:bottom w:w="0" w:type="dxa"/>
          <w:right w:w="115" w:type="dxa"/>
        </w:tblCellMar>
      </w:tblPr>
      <w:tblGrid>
        <w:gridCol w:w="6190"/>
        <w:gridCol w:w="2124"/>
        <w:gridCol w:w="2134"/>
      </w:tblGrid>
      <w:tr>
        <w:trPr>
          <w:trHeight w:val="382" w:hRule="atLeast"/>
        </w:trPr>
        <w:tc>
          <w:tcPr>
            <w:tcW w:w="61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Druh zmeny zásady alebo metódy</w:t>
            </w:r>
          </w:p>
        </w:tc>
        <w:tc>
          <w:tcPr>
            <w:tcW w:w="21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Dôvod zmeny</w:t>
            </w:r>
          </w:p>
        </w:tc>
        <w:tc>
          <w:tcPr>
            <w:tcW w:w="2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sz w:val="18"/>
                <w:szCs w:val="18"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sz w:val="18"/>
                <w:szCs w:val="18"/>
                <w:lang w:eastAsia="sk-SK"/>
              </w:rPr>
              <w:t>Vyčíslenie vplyvu na fin. hodnotu majetku, záväzkov,</w:t>
            </w:r>
          </w:p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sz w:val="18"/>
                <w:szCs w:val="18"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sz w:val="18"/>
                <w:szCs w:val="18"/>
                <w:lang w:eastAsia="sk-SK"/>
              </w:rPr>
              <w:t>základného imania, výsledku hospodárenia</w:t>
            </w:r>
          </w:p>
        </w:tc>
      </w:tr>
      <w:tr>
        <w:trPr>
          <w:trHeight w:val="289" w:hRule="atLeast"/>
        </w:trPr>
        <w:tc>
          <w:tcPr>
            <w:tcW w:w="61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</w:r>
          </w:p>
        </w:tc>
        <w:tc>
          <w:tcPr>
            <w:tcW w:w="21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</w:r>
          </w:p>
        </w:tc>
        <w:tc>
          <w:tcPr>
            <w:tcW w:w="2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</w:r>
          </w:p>
        </w:tc>
      </w:tr>
    </w:tbl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>
          <w:rFonts w:ascii="Times New Roman" w:hAnsi="Times New Roman" w:eastAsia="Arial" w:cs="Times New Roman"/>
          <w:b/>
          <w:sz w:val="28"/>
          <w:szCs w:val="26"/>
          <w:lang w:eastAsia="sk-SK"/>
        </w:rPr>
      </w:pPr>
      <w:r>
        <w:rPr>
          <w:rFonts w:eastAsia="Arial" w:cs="Times New Roman" w:ascii="Times New Roman" w:hAnsi="Times New Roman"/>
          <w:b/>
          <w:sz w:val="28"/>
          <w:szCs w:val="26"/>
          <w:lang w:eastAsia="sk-SK"/>
        </w:rPr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0" w:left="10" w:right="0"/>
        <w:outlineLvl w:val="0"/>
        <w:rPr>
          <w:rFonts w:ascii="Times New Roman" w:hAnsi="Times New Roman" w:eastAsia="Arial" w:cs="Arial"/>
          <w:b/>
          <w:color w:val="000000"/>
          <w:sz w:val="32"/>
          <w:lang w:eastAsia="sk-SK"/>
        </w:rPr>
      </w:pPr>
      <w:r>
        <w:rPr>
          <w:rFonts w:eastAsia="Arial" w:cs="Arial" w:ascii="Times New Roman" w:hAnsi="Times New Roman"/>
          <w:b/>
          <w:color w:val="000000"/>
          <w:sz w:val="32"/>
          <w:lang w:eastAsia="sk-SK"/>
        </w:rPr>
        <w:t>Čl. III Informácie, ktoré vysvetľujú a dopĺňajú súvahu a výkaz ziskov a strát</w:t>
      </w:r>
    </w:p>
    <w:p>
      <w:pPr>
        <w:pStyle w:val="Normal"/>
        <w:spacing w:before="240" w:after="0"/>
        <w:ind w:hanging="0" w:left="0" w:right="0"/>
        <w:rPr>
          <w:rFonts w:ascii="Times New Roman" w:hAnsi="Times New Roman" w:eastAsia="Arial" w:cs="Times New Roman"/>
          <w:b/>
          <w:sz w:val="28"/>
          <w:szCs w:val="26"/>
          <w:lang w:eastAsia="sk-SK"/>
        </w:rPr>
      </w:pPr>
      <w:r>
        <w:rPr>
          <w:rFonts w:eastAsia="Arial" w:cs="Times New Roman" w:ascii="Times New Roman" w:hAnsi="Times New Roman"/>
          <w:b/>
          <w:sz w:val="28"/>
          <w:szCs w:val="26"/>
          <w:lang w:eastAsia="sk-SK"/>
        </w:rPr>
        <w:t>Čl. III (2) a) Celková suma záväzkov so zostatkovou dobou splatnosti dlhšou ako 5 rokov</w:t>
      </w:r>
    </w:p>
    <w:p>
      <w:pPr>
        <w:pStyle w:val="Normal"/>
        <w:spacing w:before="60" w:after="120"/>
        <w:ind w:hanging="11" w:left="1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Účtovná jednotka nemá náplň pre túto položku.</w:t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>
          <w:rFonts w:ascii="Times New Roman" w:hAnsi="Times New Roman" w:eastAsia="Times New Roman" w:cs="Times New Roman"/>
          <w:b/>
          <w:sz w:val="28"/>
          <w:szCs w:val="26"/>
          <w:lang w:eastAsia="sk-SK"/>
        </w:rPr>
      </w:pPr>
      <w:r>
        <w:rPr>
          <w:rFonts w:eastAsia="Times New Roman" w:cs="Times New Roman" w:ascii="Times New Roman" w:hAnsi="Times New Roman"/>
          <w:b/>
          <w:sz w:val="28"/>
          <w:szCs w:val="26"/>
          <w:lang w:eastAsia="sk-SK"/>
        </w:rPr>
        <w:t>Čl. III (2) b) Celková suma zabezpečených záväzkov</w: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III (2) b) Celková suma zabezpečených záväzkov</w:t>
      </w:r>
    </w:p>
    <w:tbl>
      <w:tblPr>
        <w:tblW w:w="10492" w:type="dxa"/>
        <w:jc w:val="left"/>
        <w:tblInd w:w="136" w:type="dxa"/>
        <w:tblLayout w:type="fixed"/>
        <w:tblCellMar>
          <w:top w:w="66" w:type="dxa"/>
          <w:left w:w="108" w:type="dxa"/>
          <w:bottom w:w="0" w:type="dxa"/>
          <w:right w:w="45" w:type="dxa"/>
        </w:tblCellMar>
      </w:tblPr>
      <w:tblGrid>
        <w:gridCol w:w="5761"/>
        <w:gridCol w:w="2592"/>
        <w:gridCol w:w="163"/>
        <w:gridCol w:w="1975"/>
      </w:tblGrid>
      <w:tr>
        <w:trPr>
          <w:trHeight w:val="338" w:hRule="atLeast"/>
        </w:trPr>
        <w:tc>
          <w:tcPr>
            <w:tcW w:w="5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hanging="0" w:left="45" w:right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Opis zabezpečeného záväzku</w:t>
            </w:r>
          </w:p>
        </w:tc>
        <w:tc>
          <w:tcPr>
            <w:tcW w:w="259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Hodnota</w:t>
            </w:r>
          </w:p>
        </w:tc>
        <w:tc>
          <w:tcPr>
            <w:tcW w:w="163" w:type="dxa"/>
            <w:tcBorders>
              <w:top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16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197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hanging="0" w:left="42" w:right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Spôsob zabezpečenia</w:t>
            </w:r>
          </w:p>
        </w:tc>
      </w:tr>
      <w:tr>
        <w:trPr>
          <w:trHeight w:val="289" w:hRule="atLeast"/>
        </w:trPr>
        <w:tc>
          <w:tcPr>
            <w:tcW w:w="5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hanging="0" w:right="0"/>
              <w:jc w:val="center"/>
              <w:rPr/>
            </w:pPr>
            <w:r>
              <w:rPr/>
            </w:r>
          </w:p>
        </w:tc>
        <w:tc>
          <w:tcPr>
            <w:tcW w:w="259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163" w:type="dxa"/>
            <w:tcBorders>
              <w:top w:val="single" w:sz="1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197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hanging="0" w:left="56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576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hanging="0" w:right="0"/>
              <w:jc w:val="center"/>
              <w:rPr/>
            </w:pPr>
            <w:r>
              <w:rPr/>
            </w:r>
          </w:p>
        </w:tc>
        <w:tc>
          <w:tcPr>
            <w:tcW w:w="2592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163" w:type="dxa"/>
            <w:tcBorders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197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hanging="0" w:right="0"/>
              <w:jc w:val="center"/>
              <w:rPr/>
            </w:pPr>
            <w:r>
              <w:rPr/>
            </w:r>
          </w:p>
        </w:tc>
      </w:tr>
    </w:tbl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>
          <w:rFonts w:ascii="Times New Roman" w:hAnsi="Times New Roman" w:eastAsia="Arial" w:cs="Times New Roman"/>
          <w:b/>
          <w:sz w:val="28"/>
          <w:szCs w:val="26"/>
          <w:lang w:eastAsia="sk-SK"/>
        </w:rPr>
      </w:pPr>
      <w:r>
        <w:rPr>
          <w:rFonts w:eastAsia="Arial" w:cs="Times New Roman" w:ascii="Times New Roman" w:hAnsi="Times New Roman"/>
          <w:b/>
          <w:sz w:val="28"/>
          <w:szCs w:val="26"/>
          <w:lang w:eastAsia="sk-SK"/>
        </w:rPr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0" w:left="0" w:right="0"/>
        <w:outlineLvl w:val="1"/>
        <w:rPr>
          <w:rFonts w:ascii="Times New Roman" w:hAnsi="Times New Roman" w:eastAsia="Times New Roman" w:cs="Times New Roman"/>
          <w:b/>
          <w:sz w:val="28"/>
          <w:szCs w:val="26"/>
          <w:lang w:eastAsia="sk-SK"/>
        </w:rPr>
      </w:pPr>
      <w:r>
        <w:rPr>
          <w:rFonts w:eastAsia="Times New Roman" w:cs="Times New Roman" w:ascii="Times New Roman" w:hAnsi="Times New Roman"/>
          <w:b/>
          <w:sz w:val="28"/>
          <w:szCs w:val="26"/>
          <w:lang w:eastAsia="sk-SK"/>
        </w:rPr>
        <w:t>Čl. III (4) Informácie o vytvorení kapitálového fondu z príspevkov</w: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III (4) Informácie, či účtovná jednotka vytvorila kapitálový fond z príspevkov podľa § 123 ods. 2 a 217a Obchodného zákonníka</w:t>
      </w:r>
    </w:p>
    <w:p>
      <w:pPr>
        <w:pStyle w:val="Normal"/>
        <w:spacing w:before="60" w:after="120"/>
        <w:rPr>
          <w:rFonts w:ascii="Times New Roman" w:hAnsi="Times New Roman" w:eastAsia="Arial" w:cs="Times New Roman"/>
          <w:lang w:eastAsia="sk-SK"/>
        </w:rPr>
      </w:pPr>
      <w:r>
        <w:rPr>
          <w:rFonts w:eastAsia="Arial" w:cs="Times New Roman" w:ascii="Times New Roman" w:hAnsi="Times New Roman"/>
          <w:lang w:eastAsia="sk-SK"/>
        </w:rPr>
        <w:tab/>
      </w:r>
      <w:r>
        <w:pict>
          <v:shape id="control_shape_12" o:allowincell="f" style="position:absolute;margin-left:34pt;margin-top:-1.8pt;width:43.6pt;height:16.9pt;mso-position-vertical:center" type="#_x0000_t201">
            <w10:wrap type="none"/>
          </v:shape>
          <w:control r:id="rId16" w:name="unnamed0" w:shapeid="control_shape_12"/>
        </w:pict>
      </w:r>
      <w:r>
        <w:pict>
          <v:shape id="control_shape_13" o:allowincell="f" style="position:absolute;margin-left:95.8pt;margin-top:-1.8pt;width:43.6pt;height:16.9pt;mso-position-vertical:center" type="#_x0000_t201">
            <w10:wrap type="none"/>
          </v:shape>
          <w:control r:id="rId17" w:name="unnamed0" w:shapeid="control_shape_13"/>
        </w:pict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0" w:left="-5" w:right="0"/>
        <w:outlineLvl w:val="0"/>
        <w:rPr>
          <w:rFonts w:ascii="Times New Roman" w:hAnsi="Times New Roman" w:eastAsia="Arial" w:cs="Arial"/>
          <w:b/>
          <w:color w:val="000000"/>
          <w:sz w:val="28"/>
          <w:szCs w:val="28"/>
          <w:lang w:eastAsia="sk-SK"/>
        </w:rPr>
      </w:pPr>
      <w:r>
        <w:rPr>
          <w:rFonts w:eastAsia="Arial" w:cs="Arial" w:ascii="Times New Roman" w:hAnsi="Times New Roman"/>
          <w:b/>
          <w:color w:val="000000"/>
          <w:sz w:val="28"/>
          <w:szCs w:val="28"/>
          <w:lang w:eastAsia="sk-SK"/>
        </w:rPr>
        <w:t>Miesto pre ďalšie záznamy:</w:t>
      </w:r>
    </w:p>
    <w:p>
      <w:pPr>
        <w:pStyle w:val="Normal"/>
        <w:keepNext w:val="true"/>
        <w:keepLines/>
        <w:numPr>
          <w:ilvl w:val="0"/>
          <w:numId w:val="0"/>
        </w:numPr>
        <w:spacing w:before="0" w:after="200"/>
        <w:ind w:hanging="0" w:left="-709" w:right="-709"/>
        <w:outlineLvl w:val="0"/>
        <w:rPr>
          <w:rFonts w:ascii="Times New Roman" w:hAnsi="Times New Roman" w:eastAsia="Arial" w:cs="Arial"/>
          <w:b/>
          <w:color w:val="000000"/>
          <w:sz w:val="32"/>
          <w:lang w:eastAsia="sk-SK"/>
        </w:rPr>
      </w:pPr>
      <w:r>
        <w:rPr>
          <w:rFonts w:eastAsia="Arial" w:cs="Arial" w:ascii="Times New Roman" w:hAnsi="Times New Roman"/>
          <w:b/>
          <w:color w:val="000000"/>
          <w:sz w:val="32"/>
          <w:lang w:eastAsia="sk-SK"/>
        </w:rPr>
      </w:r>
    </w:p>
    <w:p>
      <w:pPr>
        <w:pStyle w:val="Normal"/>
        <w:spacing w:before="144" w:after="288"/>
        <w:ind w:hanging="0" w:left="0" w:right="964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</w:r>
    </w:p>
    <w:p>
      <w:pPr>
        <w:pStyle w:val="Normal"/>
        <w:spacing w:before="144" w:after="288"/>
        <w:ind w:hanging="0" w:left="0" w:right="964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</w:r>
    </w:p>
    <w:p>
      <w:pPr>
        <w:pStyle w:val="Normal"/>
        <w:spacing w:before="0" w:after="40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</w:r>
    </w:p>
    <w:p>
      <w:pPr>
        <w:pStyle w:val="Normal"/>
        <w:spacing w:before="60" w:after="120"/>
        <w:ind w:hanging="11" w:left="1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</w:r>
    </w:p>
    <w:p>
      <w:pPr>
        <w:pStyle w:val="Normal"/>
        <w:rPr>
          <w:rFonts w:ascii="Times New Roman" w:hAnsi="Times New Roman" w:eastAsia="Arial"/>
          <w:b/>
          <w:sz w:val="28"/>
          <w:szCs w:val="26"/>
          <w:lang w:eastAsia="sk-SK"/>
        </w:rPr>
      </w:pPr>
      <w:r>
        <w:rPr>
          <w:rFonts w:eastAsia="Arial" w:ascii="Times New Roman" w:hAnsi="Times New Roman"/>
          <w:b/>
          <w:sz w:val="28"/>
          <w:szCs w:val="26"/>
          <w:lang w:eastAsia="sk-SK"/>
        </w:rPr>
      </w:r>
    </w:p>
    <w:p>
      <w:pPr>
        <w:pStyle w:val="Normal"/>
        <w:spacing w:before="0" w:after="200"/>
        <w:ind w:hanging="0" w:left="-709" w:right="-709"/>
        <w:rPr/>
      </w:pPr>
      <w:r>
        <w:rPr/>
      </w:r>
    </w:p>
    <w:sectPr>
      <w:headerReference w:type="even" r:id="rId18"/>
      <w:headerReference w:type="default" r:id="rId19"/>
      <w:headerReference w:type="first" r:id="rId20"/>
      <w:type w:val="nextPage"/>
      <w:pgSz w:w="11906" w:h="16838"/>
      <w:pgMar w:left="794" w:right="794" w:gutter="0" w:header="680" w:top="1134" w:footer="0" w:bottom="1134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Times New Roman">
    <w:charset w:val="01"/>
    <w:family w:val="roman"/>
    <w:pitch w:val="variable"/>
  </w:font>
  <w:font w:name="Cambria">
    <w:charset w:val="01"/>
    <w:family w:val="roman"/>
    <w:pitch w:val="variable"/>
  </w:font>
  <w:font w:name="Tahoma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Arial">
    <w:charset w:val="01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tabs>
        <w:tab w:val="clear" w:pos="4536"/>
        <w:tab w:val="clear" w:pos="9072"/>
        <w:tab w:val="left" w:pos="4820" w:leader="none"/>
      </w:tabs>
      <w:rPr/>
    </w:pPr>
    <w:r>
      <mc:AlternateContent>
        <mc:Choice Requires="wps">
          <w:drawing>
            <wp:anchor behindDoc="1" distT="0" distB="0" distL="0" distR="0" simplePos="0" locked="0" layoutInCell="1" allowOverlap="1" relativeHeight="16">
              <wp:simplePos x="0" y="0"/>
              <wp:positionH relativeFrom="column">
                <wp:posOffset>181610</wp:posOffset>
              </wp:positionH>
              <wp:positionV relativeFrom="paragraph">
                <wp:posOffset>32385</wp:posOffset>
              </wp:positionV>
              <wp:extent cx="1700530" cy="165735"/>
              <wp:effectExtent l="3810" t="4445" r="3810" b="3175"/>
              <wp:wrapNone/>
              <wp:docPr id="1" name="Útvar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00640" cy="165600"/>
                      </a:xfrm>
                      <a:prstGeom prst="rect">
                        <a:avLst/>
                      </a:prstGeom>
                      <a:noFill/>
                      <a:ln w="684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0" w:after="0"/>
                            <w:ind w:firstLine="170" w:left="0" w:right="0"/>
                            <w:rPr>
                              <w:color w:val="000000"/>
                            </w:rPr>
                          </w:pPr>
                          <w:r>
                            <w:rPr>
                              <w:rFonts w:ascii="Times New Roman" w:hAnsi="Times New Roman"/>
                              <w:color w:val="000000"/>
                            </w:rPr>
                            <w:t>Poznámky Úč MÚJ 3 - 01</w:t>
                          </w:r>
                        </w:p>
                      </w:txbxContent>
                    </wps:txbx>
                    <wps:bodyPr lIns="3240" rIns="3240" tIns="3240" bIns="324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Útvar3" path="m0,0l-2147483645,0l-2147483645,-2147483646l0,-2147483646xe" stroked="t" o:allowincell="f" style="position:absolute;margin-left:14.3pt;margin-top:2.55pt;width:133.85pt;height:13pt;mso-wrap-style:square;v-text-anchor:top">
              <v:fill o:detectmouseclick="t" on="false"/>
              <v:stroke color="black" weight="6840" joinstyle="round" endcap="flat"/>
              <v:textbox>
                <w:txbxContent>
                  <w:p>
                    <w:pPr>
                      <w:pStyle w:val="Obsahrmca"/>
                      <w:spacing w:lineRule="auto" w:line="240" w:before="0" w:after="0"/>
                      <w:ind w:firstLine="170" w:left="0" w:right="0"/>
                      <w:rPr>
                        <w:color w:val="000000"/>
                      </w:rPr>
                    </w:pPr>
                    <w:r>
                      <w:rPr>
                        <w:rFonts w:ascii="Times New Roman" w:hAnsi="Times New Roman"/>
                        <w:color w:val="000000"/>
                      </w:rPr>
                      <w:t>Poznámky Úč MÚJ 3 - 01</w:t>
                    </w:r>
                  </w:p>
                </w:txbxContent>
              </v:textbox>
              <w10:wrap type="none"/>
            </v:rect>
          </w:pict>
        </mc:Fallback>
      </mc:AlternateContent>
    </w:r>
    <w:r>
      <w:rPr>
        <w:rFonts w:cs="Times New Roman" w:ascii="Times New Roman" w:hAnsi="Times New Roman"/>
      </w:rPr>
      <w:tab/>
    </w:r>
    <w:r>
      <w:rPr>
        <w:rFonts w:cs="Times New Roman" w:ascii="Times New Roman" w:hAnsi="Times New Roman"/>
        <w:position w:val="30"/>
      </w:rPr>
      <w:t>IČO</w:t>
    </w:r>
  </w:p>
  <w:p>
    <w:pPr>
      <w:pStyle w:val="Header"/>
      <w:tabs>
        <w:tab w:val="clear" w:pos="4536"/>
        <w:tab w:val="center" w:pos="6237" w:leader="none"/>
        <w:tab w:val="right" w:pos="9072" w:leader="none"/>
      </w:tabs>
      <w:rPr>
        <w:rFonts w:ascii="Times New Roman" w:hAnsi="Times New Roman" w:cs="Times New Roman"/>
        <w:sz w:val="2"/>
      </w:rPr>
    </w:pPr>
    <w:r>
      <w:rPr>
        <w:rFonts w:cs="Times New Roman" w:ascii="Times New Roman" w:hAnsi="Times New Roman"/>
        <w:sz w:val="2"/>
      </w:rPr>
      <mc:AlternateContent>
        <mc:Choice Requires="wps">
          <w:drawing>
            <wp:anchor behindDoc="1" distT="0" distB="0" distL="0" distR="0" simplePos="0" locked="0" layoutInCell="0" allowOverlap="1" relativeHeight="8">
              <wp:simplePos x="0" y="0"/>
              <wp:positionH relativeFrom="page">
                <wp:posOffset>3825875</wp:posOffset>
              </wp:positionH>
              <wp:positionV relativeFrom="page">
                <wp:posOffset>370205</wp:posOffset>
              </wp:positionV>
              <wp:extent cx="2988310" cy="247650"/>
              <wp:effectExtent l="0" t="0" r="0" b="0"/>
              <wp:wrapSquare wrapText="bothSides"/>
              <wp:docPr id="2" name="Rámec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988360" cy="24768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tbl>
                          <w:tblPr>
                            <w:tblW w:w="4699" w:type="dxa"/>
                            <w:jc w:val="left"/>
                            <w:tblInd w:w="131" w:type="dxa"/>
                            <w:tblLayout w:type="fixed"/>
                            <w:tblCellMar>
                              <w:top w:w="80" w:type="dxa"/>
                              <w:left w:w="62" w:type="dxa"/>
                              <w:bottom w:w="0" w:type="dxa"/>
                              <w:right w:w="62" w:type="dxa"/>
                            </w:tblCellMar>
                          </w:tblPr>
                          <w:tblGrid>
                            <w:gridCol w:w="224"/>
                            <w:gridCol w:w="228"/>
                            <w:gridCol w:w="239"/>
                            <w:gridCol w:w="236"/>
                            <w:gridCol w:w="236"/>
                            <w:gridCol w:w="234"/>
                            <w:gridCol w:w="235"/>
                            <w:gridCol w:w="236"/>
                            <w:gridCol w:w="519"/>
                            <w:gridCol w:w="225"/>
                            <w:gridCol w:w="230"/>
                            <w:gridCol w:w="233"/>
                            <w:gridCol w:w="234"/>
                            <w:gridCol w:w="231"/>
                            <w:gridCol w:w="230"/>
                            <w:gridCol w:w="234"/>
                            <w:gridCol w:w="234"/>
                            <w:gridCol w:w="230"/>
                            <w:gridCol w:w="230"/>
                          </w:tblGrid>
                          <w:tr>
                            <w:trPr>
                              <w:trHeight w:val="170" w:hRule="atLeast"/>
                            </w:trPr>
                            <w:tc>
                              <w:tcPr>
                                <w:tcW w:w="22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5</w:t>
                                </w:r>
                              </w:p>
                            </w:tc>
                            <w:tc>
                              <w:tcPr>
                                <w:tcW w:w="228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6</w:t>
                                </w:r>
                              </w:p>
                            </w:tc>
                            <w:tc>
                              <w:tcPr>
                                <w:tcW w:w="239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8</w:t>
                                </w:r>
                              </w:p>
                            </w:tc>
                            <w:tc>
                              <w:tcPr>
                                <w:tcW w:w="236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3</w:t>
                                </w:r>
                              </w:p>
                            </w:tc>
                            <w:tc>
                              <w:tcPr>
                                <w:tcW w:w="236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33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235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236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6</w:t>
                                </w:r>
                              </w:p>
                            </w:tc>
                            <w:tc>
                              <w:tcPr>
                                <w:tcW w:w="519" w:type="dxa"/>
                                <w:tcBorders>
                                  <w:left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jc w:val="center"/>
                                  <w:rPr>
                                    <w:rFonts w:ascii="Times New Roman" w:hAnsi="Times New Roman" w:cs="Times New Roman"/>
                                    <w:szCs w:val="24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Cs w:val="24"/>
                                    <w:lang w:eastAsia="sk-SK"/>
                                  </w:rPr>
                                  <w:t>DIČ</w:t>
                                </w:r>
                              </w:p>
                            </w:tc>
                            <w:tc>
                              <w:tcPr>
                                <w:tcW w:w="225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233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31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4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6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8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5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6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8</w:t>
                                </w:r>
                              </w:p>
                            </w:tc>
                          </w:tr>
                        </w:tbl>
                        <w:p>
                          <w:pPr>
                            <w:pStyle w:val="Obsahrmce"/>
                            <w:spacing w:before="0" w:after="20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Rámec6" path="m0,0l-2147483645,0l-2147483645,-2147483646l0,-2147483646xe" stroked="f" o:allowincell="f" style="position:absolute;margin-left:301.25pt;margin-top:29.15pt;width:235.25pt;height:19.45pt;mso-wrap-style:none;v-text-anchor:middle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tbl>
                    <w:tblPr>
                      <w:tblW w:w="4699" w:type="dxa"/>
                      <w:jc w:val="left"/>
                      <w:tblInd w:w="131" w:type="dxa"/>
                      <w:tblLayout w:type="fixed"/>
                      <w:tblCellMar>
                        <w:top w:w="80" w:type="dxa"/>
                        <w:left w:w="62" w:type="dxa"/>
                        <w:bottom w:w="0" w:type="dxa"/>
                        <w:right w:w="62" w:type="dxa"/>
                      </w:tblCellMar>
                    </w:tblPr>
                    <w:tblGrid>
                      <w:gridCol w:w="224"/>
                      <w:gridCol w:w="228"/>
                      <w:gridCol w:w="239"/>
                      <w:gridCol w:w="236"/>
                      <w:gridCol w:w="236"/>
                      <w:gridCol w:w="234"/>
                      <w:gridCol w:w="235"/>
                      <w:gridCol w:w="236"/>
                      <w:gridCol w:w="519"/>
                      <w:gridCol w:w="225"/>
                      <w:gridCol w:w="230"/>
                      <w:gridCol w:w="233"/>
                      <w:gridCol w:w="234"/>
                      <w:gridCol w:w="231"/>
                      <w:gridCol w:w="230"/>
                      <w:gridCol w:w="234"/>
                      <w:gridCol w:w="234"/>
                      <w:gridCol w:w="230"/>
                      <w:gridCol w:w="230"/>
                    </w:tblGrid>
                    <w:tr>
                      <w:trPr>
                        <w:trHeight w:val="170" w:hRule="atLeast"/>
                      </w:trPr>
                      <w:tc>
                        <w:tcPr>
                          <w:tcW w:w="22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5</w:t>
                          </w:r>
                        </w:p>
                      </w:tc>
                      <w:tc>
                        <w:tcPr>
                          <w:tcW w:w="228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6</w:t>
                          </w:r>
                        </w:p>
                      </w:tc>
                      <w:tc>
                        <w:tcPr>
                          <w:tcW w:w="239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8</w:t>
                          </w:r>
                        </w:p>
                      </w:tc>
                      <w:tc>
                        <w:tcPr>
                          <w:tcW w:w="236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3</w:t>
                          </w:r>
                        </w:p>
                      </w:tc>
                      <w:tc>
                        <w:tcPr>
                          <w:tcW w:w="236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33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0</w:t>
                          </w:r>
                        </w:p>
                      </w:tc>
                      <w:tc>
                        <w:tcPr>
                          <w:tcW w:w="235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1</w:t>
                          </w:r>
                        </w:p>
                      </w:tc>
                      <w:tc>
                        <w:tcPr>
                          <w:tcW w:w="236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6</w:t>
                          </w:r>
                        </w:p>
                      </w:tc>
                      <w:tc>
                        <w:tcPr>
                          <w:tcW w:w="519" w:type="dxa"/>
                          <w:tcBorders>
                            <w:left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jc w:val="center"/>
                            <w:rPr>
                              <w:rFonts w:ascii="Times New Roman" w:hAnsi="Times New Roman" w:cs="Times New Roman"/>
                              <w:szCs w:val="24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Cs w:val="24"/>
                              <w:lang w:eastAsia="sk-SK"/>
                            </w:rPr>
                            <w:t>DIČ</w:t>
                          </w:r>
                        </w:p>
                      </w:tc>
                      <w:tc>
                        <w:tcPr>
                          <w:tcW w:w="225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1</w:t>
                          </w:r>
                        </w:p>
                      </w:tc>
                      <w:tc>
                        <w:tcPr>
                          <w:tcW w:w="233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231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4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6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8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5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6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8</w:t>
                          </w:r>
                        </w:p>
                      </w:tc>
                    </w:tr>
                  </w:tbl>
                  <w:p>
                    <w:pPr>
                      <w:pStyle w:val="Obsahrmce"/>
                      <w:spacing w:before="0" w:after="20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</w:r>
                  </w:p>
                </w:txbxContent>
              </v:textbox>
              <w10:wrap type="square"/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tabs>
        <w:tab w:val="clear" w:pos="4536"/>
        <w:tab w:val="clear" w:pos="9072"/>
        <w:tab w:val="left" w:pos="4820" w:leader="none"/>
      </w:tabs>
      <w:rPr/>
    </w:pPr>
    <w:r>
      <mc:AlternateContent>
        <mc:Choice Requires="wps">
          <w:drawing>
            <wp:anchor behindDoc="1" distT="0" distB="0" distL="0" distR="0" simplePos="0" locked="0" layoutInCell="1" allowOverlap="1" relativeHeight="16">
              <wp:simplePos x="0" y="0"/>
              <wp:positionH relativeFrom="column">
                <wp:posOffset>181610</wp:posOffset>
              </wp:positionH>
              <wp:positionV relativeFrom="paragraph">
                <wp:posOffset>32385</wp:posOffset>
              </wp:positionV>
              <wp:extent cx="1700530" cy="165735"/>
              <wp:effectExtent l="3810" t="4445" r="3810" b="3175"/>
              <wp:wrapNone/>
              <wp:docPr id="3" name="Útvar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00640" cy="165600"/>
                      </a:xfrm>
                      <a:prstGeom prst="rect">
                        <a:avLst/>
                      </a:prstGeom>
                      <a:noFill/>
                      <a:ln w="684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0" w:after="0"/>
                            <w:ind w:firstLine="170" w:left="0" w:right="0"/>
                            <w:rPr>
                              <w:color w:val="000000"/>
                            </w:rPr>
                          </w:pPr>
                          <w:r>
                            <w:rPr>
                              <w:rFonts w:ascii="Times New Roman" w:hAnsi="Times New Roman"/>
                              <w:color w:val="000000"/>
                            </w:rPr>
                            <w:t>Poznámky Úč MÚJ 3 - 01</w:t>
                          </w:r>
                        </w:p>
                      </w:txbxContent>
                    </wps:txbx>
                    <wps:bodyPr lIns="3240" rIns="3240" tIns="3240" bIns="324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Útvar3" path="m0,0l-2147483645,0l-2147483645,-2147483646l0,-2147483646xe" stroked="t" o:allowincell="f" style="position:absolute;margin-left:14.3pt;margin-top:2.55pt;width:133.85pt;height:13pt;mso-wrap-style:square;v-text-anchor:top">
              <v:fill o:detectmouseclick="t" on="false"/>
              <v:stroke color="black" weight="6840" joinstyle="round" endcap="flat"/>
              <v:textbox>
                <w:txbxContent>
                  <w:p>
                    <w:pPr>
                      <w:pStyle w:val="Obsahrmca"/>
                      <w:spacing w:lineRule="auto" w:line="240" w:before="0" w:after="0"/>
                      <w:ind w:firstLine="170" w:left="0" w:right="0"/>
                      <w:rPr>
                        <w:color w:val="000000"/>
                      </w:rPr>
                    </w:pPr>
                    <w:r>
                      <w:rPr>
                        <w:rFonts w:ascii="Times New Roman" w:hAnsi="Times New Roman"/>
                        <w:color w:val="000000"/>
                      </w:rPr>
                      <w:t>Poznámky Úč MÚJ 3 - 01</w:t>
                    </w:r>
                  </w:p>
                </w:txbxContent>
              </v:textbox>
              <w10:wrap type="none"/>
            </v:rect>
          </w:pict>
        </mc:Fallback>
      </mc:AlternateContent>
    </w:r>
    <w:r>
      <w:rPr>
        <w:rFonts w:cs="Times New Roman" w:ascii="Times New Roman" w:hAnsi="Times New Roman"/>
      </w:rPr>
      <w:tab/>
    </w:r>
    <w:r>
      <w:rPr>
        <w:rFonts w:cs="Times New Roman" w:ascii="Times New Roman" w:hAnsi="Times New Roman"/>
        <w:position w:val="30"/>
      </w:rPr>
      <w:t>IČO</w:t>
    </w:r>
  </w:p>
  <w:p>
    <w:pPr>
      <w:pStyle w:val="Header"/>
      <w:tabs>
        <w:tab w:val="clear" w:pos="4536"/>
        <w:tab w:val="center" w:pos="6237" w:leader="none"/>
        <w:tab w:val="right" w:pos="9072" w:leader="none"/>
      </w:tabs>
      <w:rPr>
        <w:rFonts w:ascii="Times New Roman" w:hAnsi="Times New Roman" w:cs="Times New Roman"/>
        <w:sz w:val="2"/>
      </w:rPr>
    </w:pPr>
    <w:r>
      <w:rPr>
        <w:rFonts w:cs="Times New Roman" w:ascii="Times New Roman" w:hAnsi="Times New Roman"/>
        <w:sz w:val="2"/>
      </w:rPr>
      <mc:AlternateContent>
        <mc:Choice Requires="wps">
          <w:drawing>
            <wp:anchor behindDoc="1" distT="0" distB="0" distL="0" distR="0" simplePos="0" locked="0" layoutInCell="0" allowOverlap="1" relativeHeight="8">
              <wp:simplePos x="0" y="0"/>
              <wp:positionH relativeFrom="page">
                <wp:posOffset>3825875</wp:posOffset>
              </wp:positionH>
              <wp:positionV relativeFrom="page">
                <wp:posOffset>370205</wp:posOffset>
              </wp:positionV>
              <wp:extent cx="2988310" cy="247650"/>
              <wp:effectExtent l="0" t="0" r="0" b="0"/>
              <wp:wrapSquare wrapText="bothSides"/>
              <wp:docPr id="4" name="Rámec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988360" cy="24768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tbl>
                          <w:tblPr>
                            <w:tblW w:w="4699" w:type="dxa"/>
                            <w:jc w:val="left"/>
                            <w:tblInd w:w="131" w:type="dxa"/>
                            <w:tblLayout w:type="fixed"/>
                            <w:tblCellMar>
                              <w:top w:w="80" w:type="dxa"/>
                              <w:left w:w="62" w:type="dxa"/>
                              <w:bottom w:w="0" w:type="dxa"/>
                              <w:right w:w="62" w:type="dxa"/>
                            </w:tblCellMar>
                          </w:tblPr>
                          <w:tblGrid>
                            <w:gridCol w:w="224"/>
                            <w:gridCol w:w="228"/>
                            <w:gridCol w:w="239"/>
                            <w:gridCol w:w="236"/>
                            <w:gridCol w:w="236"/>
                            <w:gridCol w:w="234"/>
                            <w:gridCol w:w="235"/>
                            <w:gridCol w:w="236"/>
                            <w:gridCol w:w="519"/>
                            <w:gridCol w:w="225"/>
                            <w:gridCol w:w="230"/>
                            <w:gridCol w:w="233"/>
                            <w:gridCol w:w="234"/>
                            <w:gridCol w:w="231"/>
                            <w:gridCol w:w="230"/>
                            <w:gridCol w:w="234"/>
                            <w:gridCol w:w="234"/>
                            <w:gridCol w:w="230"/>
                            <w:gridCol w:w="230"/>
                          </w:tblGrid>
                          <w:tr>
                            <w:trPr>
                              <w:trHeight w:val="170" w:hRule="atLeast"/>
                            </w:trPr>
                            <w:tc>
                              <w:tcPr>
                                <w:tcW w:w="22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5</w:t>
                                </w:r>
                              </w:p>
                            </w:tc>
                            <w:tc>
                              <w:tcPr>
                                <w:tcW w:w="228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6</w:t>
                                </w:r>
                              </w:p>
                            </w:tc>
                            <w:tc>
                              <w:tcPr>
                                <w:tcW w:w="239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8</w:t>
                                </w:r>
                              </w:p>
                            </w:tc>
                            <w:tc>
                              <w:tcPr>
                                <w:tcW w:w="236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3</w:t>
                                </w:r>
                              </w:p>
                            </w:tc>
                            <w:tc>
                              <w:tcPr>
                                <w:tcW w:w="236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33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235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236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6</w:t>
                                </w:r>
                              </w:p>
                            </w:tc>
                            <w:tc>
                              <w:tcPr>
                                <w:tcW w:w="519" w:type="dxa"/>
                                <w:tcBorders>
                                  <w:left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jc w:val="center"/>
                                  <w:rPr>
                                    <w:rFonts w:ascii="Times New Roman" w:hAnsi="Times New Roman" w:cs="Times New Roman"/>
                                    <w:szCs w:val="24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Cs w:val="24"/>
                                    <w:lang w:eastAsia="sk-SK"/>
                                  </w:rPr>
                                  <w:t>DIČ</w:t>
                                </w:r>
                              </w:p>
                            </w:tc>
                            <w:tc>
                              <w:tcPr>
                                <w:tcW w:w="225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233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31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4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6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8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5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6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8</w:t>
                                </w:r>
                              </w:p>
                            </w:tc>
                          </w:tr>
                        </w:tbl>
                        <w:p>
                          <w:pPr>
                            <w:pStyle w:val="Obsahrmce"/>
                            <w:spacing w:before="0" w:after="20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Rámec6" path="m0,0l-2147483645,0l-2147483645,-2147483646l0,-2147483646xe" stroked="f" o:allowincell="f" style="position:absolute;margin-left:301.25pt;margin-top:29.15pt;width:235.25pt;height:19.45pt;mso-wrap-style:none;v-text-anchor:middle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tbl>
                    <w:tblPr>
                      <w:tblW w:w="4699" w:type="dxa"/>
                      <w:jc w:val="left"/>
                      <w:tblInd w:w="131" w:type="dxa"/>
                      <w:tblLayout w:type="fixed"/>
                      <w:tblCellMar>
                        <w:top w:w="80" w:type="dxa"/>
                        <w:left w:w="62" w:type="dxa"/>
                        <w:bottom w:w="0" w:type="dxa"/>
                        <w:right w:w="62" w:type="dxa"/>
                      </w:tblCellMar>
                    </w:tblPr>
                    <w:tblGrid>
                      <w:gridCol w:w="224"/>
                      <w:gridCol w:w="228"/>
                      <w:gridCol w:w="239"/>
                      <w:gridCol w:w="236"/>
                      <w:gridCol w:w="236"/>
                      <w:gridCol w:w="234"/>
                      <w:gridCol w:w="235"/>
                      <w:gridCol w:w="236"/>
                      <w:gridCol w:w="519"/>
                      <w:gridCol w:w="225"/>
                      <w:gridCol w:w="230"/>
                      <w:gridCol w:w="233"/>
                      <w:gridCol w:w="234"/>
                      <w:gridCol w:w="231"/>
                      <w:gridCol w:w="230"/>
                      <w:gridCol w:w="234"/>
                      <w:gridCol w:w="234"/>
                      <w:gridCol w:w="230"/>
                      <w:gridCol w:w="230"/>
                    </w:tblGrid>
                    <w:tr>
                      <w:trPr>
                        <w:trHeight w:val="170" w:hRule="atLeast"/>
                      </w:trPr>
                      <w:tc>
                        <w:tcPr>
                          <w:tcW w:w="22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5</w:t>
                          </w:r>
                        </w:p>
                      </w:tc>
                      <w:tc>
                        <w:tcPr>
                          <w:tcW w:w="228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6</w:t>
                          </w:r>
                        </w:p>
                      </w:tc>
                      <w:tc>
                        <w:tcPr>
                          <w:tcW w:w="239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8</w:t>
                          </w:r>
                        </w:p>
                      </w:tc>
                      <w:tc>
                        <w:tcPr>
                          <w:tcW w:w="236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3</w:t>
                          </w:r>
                        </w:p>
                      </w:tc>
                      <w:tc>
                        <w:tcPr>
                          <w:tcW w:w="236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33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0</w:t>
                          </w:r>
                        </w:p>
                      </w:tc>
                      <w:tc>
                        <w:tcPr>
                          <w:tcW w:w="235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1</w:t>
                          </w:r>
                        </w:p>
                      </w:tc>
                      <w:tc>
                        <w:tcPr>
                          <w:tcW w:w="236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6</w:t>
                          </w:r>
                        </w:p>
                      </w:tc>
                      <w:tc>
                        <w:tcPr>
                          <w:tcW w:w="519" w:type="dxa"/>
                          <w:tcBorders>
                            <w:left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jc w:val="center"/>
                            <w:rPr>
                              <w:rFonts w:ascii="Times New Roman" w:hAnsi="Times New Roman" w:cs="Times New Roman"/>
                              <w:szCs w:val="24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Cs w:val="24"/>
                              <w:lang w:eastAsia="sk-SK"/>
                            </w:rPr>
                            <w:t>DIČ</w:t>
                          </w:r>
                        </w:p>
                      </w:tc>
                      <w:tc>
                        <w:tcPr>
                          <w:tcW w:w="225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1</w:t>
                          </w:r>
                        </w:p>
                      </w:tc>
                      <w:tc>
                        <w:tcPr>
                          <w:tcW w:w="233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231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4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6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8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5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6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8</w:t>
                          </w:r>
                        </w:p>
                      </w:tc>
                    </w:tr>
                  </w:tbl>
                  <w:p>
                    <w:pPr>
                      <w:pStyle w:val="Obsahrmce"/>
                      <w:spacing w:before="0" w:after="20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</w:r>
                  </w:p>
                </w:txbxContent>
              </v:textbox>
              <w10:wrap type="square"/>
            </v:rect>
          </w:pict>
        </mc:Fallback>
      </mc:AlternateConten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-"/>
      <w:lvlJc w:val="left"/>
      <w:pPr>
        <w:tabs>
          <w:tab w:val="num" w:pos="0"/>
        </w:tabs>
        <w:ind w:left="86" w:hanging="0"/>
      </w:pPr>
      <w:rPr>
        <w:rFonts w:ascii="Arial" w:hAnsi="Arial" w:cs="Aria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080" w:hanging="0"/>
      </w:pPr>
      <w:rPr>
        <w:rFonts w:ascii="Arial" w:hAnsi="Arial" w:cs="Arial" w:hint="default"/>
      </w:rPr>
    </w:lvl>
    <w:lvl w:ilvl="2">
      <w:start w:val="1"/>
      <w:numFmt w:val="bullet"/>
      <w:lvlText w:val="▪"/>
      <w:lvlJc w:val="left"/>
      <w:pPr>
        <w:tabs>
          <w:tab w:val="num" w:pos="0"/>
        </w:tabs>
        <w:ind w:left="1800" w:hanging="0"/>
      </w:pPr>
      <w:rPr>
        <w:rFonts w:ascii="Arial" w:hAnsi="Arial" w:cs="Arial" w:hint="default"/>
      </w:rPr>
    </w:lvl>
    <w:lvl w:ilvl="3">
      <w:start w:val="1"/>
      <w:numFmt w:val="bullet"/>
      <w:lvlText w:val="•"/>
      <w:lvlJc w:val="left"/>
      <w:pPr>
        <w:tabs>
          <w:tab w:val="num" w:pos="0"/>
        </w:tabs>
        <w:ind w:left="2520" w:hanging="0"/>
      </w:pPr>
      <w:rPr>
        <w:rFonts w:ascii="Arial" w:hAnsi="Arial" w:cs="Aria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240" w:hanging="0"/>
      </w:pPr>
      <w:rPr>
        <w:rFonts w:ascii="Arial" w:hAnsi="Arial" w:cs="Arial" w:hint="default"/>
      </w:rPr>
    </w:lvl>
    <w:lvl w:ilvl="5">
      <w:start w:val="1"/>
      <w:numFmt w:val="bullet"/>
      <w:lvlText w:val="▪"/>
      <w:lvlJc w:val="left"/>
      <w:pPr>
        <w:tabs>
          <w:tab w:val="num" w:pos="0"/>
        </w:tabs>
        <w:ind w:left="3960" w:hanging="0"/>
      </w:pPr>
      <w:rPr>
        <w:rFonts w:ascii="Arial" w:hAnsi="Arial" w:cs="Arial" w:hint="default"/>
      </w:rPr>
    </w:lvl>
    <w:lvl w:ilvl="6">
      <w:start w:val="1"/>
      <w:numFmt w:val="bullet"/>
      <w:lvlText w:val="•"/>
      <w:lvlJc w:val="left"/>
      <w:pPr>
        <w:tabs>
          <w:tab w:val="num" w:pos="0"/>
        </w:tabs>
        <w:ind w:left="4680" w:hanging="0"/>
      </w:pPr>
      <w:rPr>
        <w:rFonts w:ascii="Arial" w:hAnsi="Arial" w:cs="Aria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400" w:hanging="0"/>
      </w:pPr>
      <w:rPr>
        <w:rFonts w:ascii="Arial" w:hAnsi="Arial" w:cs="Arial" w:hint="default"/>
      </w:rPr>
    </w:lvl>
    <w:lvl w:ilvl="8">
      <w:start w:val="1"/>
      <w:numFmt w:val="bullet"/>
      <w:lvlText w:val="▪"/>
      <w:lvlJc w:val="left"/>
      <w:pPr>
        <w:tabs>
          <w:tab w:val="num" w:pos="0"/>
        </w:tabs>
        <w:ind w:left="6120" w:hanging="0"/>
      </w:pPr>
      <w:rPr>
        <w:rFonts w:ascii="Arial" w:hAnsi="Arial" w:cs="Arial" w:hint="default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30"/>
  <w:defaultTabStop w:val="709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ahoma"/>
        <w:szCs w:val="22"/>
        <w:lang w:val="sk-SK" w:eastAsia="en-US" w:bidi="ar-SA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overflowPunct w:val="true"/>
      <w:bidi w:val="0"/>
      <w:spacing w:lineRule="auto" w:line="276" w:before="0" w:after="200"/>
      <w:jc w:val="left"/>
    </w:pPr>
    <w:rPr>
      <w:rFonts w:ascii="Calibri" w:hAnsi="Calibri" w:eastAsia="Calibri" w:cs="Tahoma"/>
      <w:color w:val="auto"/>
      <w:kern w:val="0"/>
      <w:sz w:val="22"/>
      <w:szCs w:val="22"/>
      <w:lang w:val="sk-SK" w:eastAsia="en-US" w:bidi="ar-SA"/>
    </w:rPr>
  </w:style>
  <w:style w:type="paragraph" w:styleId="Heading1">
    <w:name w:val="Heading 1"/>
    <w:next w:val="Normal"/>
    <w:qFormat/>
    <w:pPr>
      <w:keepNext w:val="true"/>
      <w:keepLines/>
      <w:widowControl/>
      <w:suppressAutoHyphens w:val="true"/>
      <w:overflowPunct w:val="true"/>
      <w:bidi w:val="0"/>
      <w:spacing w:lineRule="auto" w:line="247" w:before="120" w:after="236"/>
      <w:ind w:hanging="10" w:left="10" w:right="0"/>
      <w:jc w:val="left"/>
      <w:outlineLvl w:val="0"/>
    </w:pPr>
    <w:rPr>
      <w:rFonts w:ascii="Times New Roman" w:hAnsi="Times New Roman" w:eastAsia="Arial" w:cs="Arial"/>
      <w:b/>
      <w:color w:val="000000"/>
      <w:kern w:val="0"/>
      <w:sz w:val="32"/>
      <w:szCs w:val="22"/>
      <w:lang w:val="sk-SK" w:eastAsia="sk-SK" w:bidi="ar-SA"/>
    </w:rPr>
  </w:style>
  <w:style w:type="paragraph" w:styleId="Heading2">
    <w:name w:val="Heading 2"/>
    <w:basedOn w:val="Normal"/>
    <w:next w:val="Normal"/>
    <w:qFormat/>
    <w:pPr>
      <w:keepNext w:val="true"/>
      <w:keepLines/>
      <w:spacing w:before="200" w:after="0"/>
      <w:outlineLvl w:val="1"/>
    </w:pPr>
    <w:rPr>
      <w:rFonts w:ascii="Cambria" w:hAnsi="Cambria" w:eastAsia="Calibri" w:cs="Tahoma"/>
      <w:b/>
      <w:bCs/>
      <w:color w:val="4F81BD"/>
      <w:sz w:val="26"/>
      <w:szCs w:val="26"/>
    </w:rPr>
  </w:style>
  <w:style w:type="character" w:styleId="DefaultParagraphFont">
    <w:name w:val="Default Paragraph Font"/>
    <w:qFormat/>
    <w:rPr/>
  </w:style>
  <w:style w:type="character" w:styleId="TextbublinyChar">
    <w:name w:val="Text bubliny Char"/>
    <w:basedOn w:val="DefaultParagraphFont"/>
    <w:qFormat/>
    <w:rPr>
      <w:rFonts w:ascii="Tahoma" w:hAnsi="Tahoma" w:cs="Tahoma"/>
      <w:sz w:val="16"/>
      <w:szCs w:val="16"/>
    </w:rPr>
  </w:style>
  <w:style w:type="character" w:styleId="HlavikaChar">
    <w:name w:val="Hlavička Char"/>
    <w:basedOn w:val="DefaultParagraphFont"/>
    <w:qFormat/>
    <w:rPr/>
  </w:style>
  <w:style w:type="character" w:styleId="PtaChar">
    <w:name w:val="Päta Char"/>
    <w:basedOn w:val="DefaultParagraphFont"/>
    <w:qFormat/>
    <w:rPr/>
  </w:style>
  <w:style w:type="character" w:styleId="Nadpis1Char">
    <w:name w:val="Nadpis 1 Char"/>
    <w:basedOn w:val="DefaultParagraphFont"/>
    <w:qFormat/>
    <w:rPr>
      <w:rFonts w:ascii="Times New Roman" w:hAnsi="Times New Roman" w:eastAsia="Arial" w:cs="Arial"/>
      <w:b/>
      <w:color w:val="000000"/>
      <w:sz w:val="32"/>
      <w:lang w:eastAsia="sk-SK"/>
    </w:rPr>
  </w:style>
  <w:style w:type="character" w:styleId="Nadpis2Char">
    <w:name w:val="Nadpis 2 Char"/>
    <w:basedOn w:val="DefaultParagraphFont"/>
    <w:qFormat/>
    <w:rPr>
      <w:rFonts w:ascii="Cambria" w:hAnsi="Cambria" w:eastAsia="Calibri" w:cs="Tahoma"/>
      <w:b/>
      <w:bCs/>
      <w:color w:val="4F81BD"/>
      <w:sz w:val="26"/>
      <w:szCs w:val="26"/>
    </w:rPr>
  </w:style>
  <w:style w:type="character" w:styleId="annotationreference">
    <w:name w:val="annotation reference"/>
    <w:basedOn w:val="DefaultParagraphFont"/>
    <w:qFormat/>
    <w:rPr>
      <w:sz w:val="16"/>
      <w:szCs w:val="16"/>
    </w:rPr>
  </w:style>
  <w:style w:type="character" w:styleId="TextkomentraChar">
    <w:name w:val="Text komentára Char"/>
    <w:basedOn w:val="DefaultParagraphFont"/>
    <w:qFormat/>
    <w:rPr>
      <w:rFonts w:ascii="Times New Roman" w:hAnsi="Times New Roman" w:eastAsia="Arial" w:cs="Arial"/>
      <w:sz w:val="20"/>
      <w:szCs w:val="20"/>
      <w:lang w:eastAsia="sk-SK"/>
    </w:rPr>
  </w:style>
  <w:style w:type="character" w:styleId="PlaceholderText">
    <w:name w:val="Placeholder Text"/>
    <w:basedOn w:val="DefaultParagraphFont"/>
    <w:qFormat/>
    <w:rPr>
      <w:color w:val="808080"/>
    </w:rPr>
  </w:style>
  <w:style w:type="character" w:styleId="Hyperlink">
    <w:name w:val="Hyperlink"/>
    <w:rPr>
      <w:color w:val="000080"/>
      <w:u w:val="single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BodyText">
    <w:name w:val="Body Text"/>
    <w:basedOn w:val="Normal"/>
    <w:pPr>
      <w:spacing w:before="0" w:after="140"/>
    </w:pPr>
    <w:rPr/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Mangal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Hlavikaapta">
    <w:name w:val="Hlavička a päta"/>
    <w:basedOn w:val="Normal"/>
    <w:qFormat/>
    <w:pPr/>
    <w:rPr/>
  </w:style>
  <w:style w:type="paragraph" w:styleId="Zhlavazpat">
    <w:name w:val="Záhlaví a zápatí"/>
    <w:basedOn w:val="Normal"/>
    <w:qFormat/>
    <w:pPr/>
    <w:rPr/>
  </w:style>
  <w:style w:type="paragraph" w:styleId="Header">
    <w:name w:val="Header"/>
    <w:basedOn w:val="Normal"/>
    <w:pPr>
      <w:tabs>
        <w:tab w:val="clear" w:pos="709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pPr>
      <w:tabs>
        <w:tab w:val="clear" w:pos="709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AnnotationText">
    <w:name w:val="Annotation Text"/>
    <w:basedOn w:val="Normal"/>
    <w:qFormat/>
    <w:pPr>
      <w:spacing w:lineRule="auto" w:line="240" w:before="0" w:after="863"/>
      <w:ind w:hanging="10" w:left="10" w:right="6300"/>
    </w:pPr>
    <w:rPr>
      <w:rFonts w:ascii="Times New Roman" w:hAnsi="Times New Roman" w:eastAsia="Arial" w:cs="Arial"/>
      <w:sz w:val="20"/>
      <w:szCs w:val="20"/>
      <w:lang w:eastAsia="sk-SK"/>
    </w:rPr>
  </w:style>
  <w:style w:type="paragraph" w:styleId="Obsahrmca">
    <w:name w:val="Obsah rámca"/>
    <w:basedOn w:val="Normal"/>
    <w:qFormat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Obsahrmce">
    <w:name w:val="Obsah rámce"/>
    <w:basedOn w:val="Normal"/>
    <w:qFormat/>
    <w:pPr/>
    <w:rPr/>
  </w:style>
  <w:style w:type="paragraph" w:styleId="Obsahtabulky">
    <w:name w:val="Obsah tabulky"/>
    <w:basedOn w:val="Normal"/>
    <w:qFormat/>
    <w:pPr>
      <w:suppressLineNumbers/>
    </w:pPr>
    <w:rPr/>
  </w:style>
  <w:style w:type="paragraph" w:styleId="Nadpistabulky">
    <w:name w:val="Nadpis tabulky"/>
    <w:basedOn w:val="Obsahtabulky"/>
    <w:qFormat/>
    <w:pPr>
      <w:suppressLineNumbers/>
      <w:jc w:val="center"/>
    </w:pPr>
    <w:rPr>
      <w:b/>
      <w:bCs/>
    </w:rPr>
  </w:style>
  <w:style w:type="numbering" w:styleId="Bezseznamu">
    <w:name w:val="Bez seznamu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control" Target="activeX/activeX1.xml"/><Relationship Id="rId3" Type="http://schemas.openxmlformats.org/officeDocument/2006/relationships/control" Target="activeX/activeX2.xml"/><Relationship Id="rId4" Type="http://schemas.openxmlformats.org/officeDocument/2006/relationships/hyperlink" Target="aspi://module=&apos;ASPI&apos;&amp;link=&apos;431/2002%20Z.z.%252322&apos;&amp;ucin-k-dni=&apos;18.%207.2021&apos;" TargetMode="External"/><Relationship Id="rId5" Type="http://schemas.openxmlformats.org/officeDocument/2006/relationships/hyperlink" Target="aspi://module=&apos;ASPI&apos;&amp;link=&apos;431/2002%20Z.z.%252322&apos;&amp;ucin-k-dni=&apos;18.%207.2021&apos;" TargetMode="External"/><Relationship Id="rId6" Type="http://schemas.openxmlformats.org/officeDocument/2006/relationships/control" Target="activeX/activeX3.xml"/><Relationship Id="rId7" Type="http://schemas.openxmlformats.org/officeDocument/2006/relationships/control" Target="activeX/activeX4.xml"/><Relationship Id="rId8" Type="http://schemas.openxmlformats.org/officeDocument/2006/relationships/control" Target="activeX/activeX5.xml"/><Relationship Id="rId9" Type="http://schemas.openxmlformats.org/officeDocument/2006/relationships/control" Target="activeX/activeX6.xml"/><Relationship Id="rId10" Type="http://schemas.openxmlformats.org/officeDocument/2006/relationships/control" Target="activeX/activeX7.xml"/><Relationship Id="rId11" Type="http://schemas.openxmlformats.org/officeDocument/2006/relationships/control" Target="activeX/activeX8.xml"/><Relationship Id="rId12" Type="http://schemas.openxmlformats.org/officeDocument/2006/relationships/control" Target="activeX/activeX9.xml"/><Relationship Id="rId13" Type="http://schemas.openxmlformats.org/officeDocument/2006/relationships/control" Target="activeX/activeX10.xml"/><Relationship Id="rId14" Type="http://schemas.openxmlformats.org/officeDocument/2006/relationships/control" Target="activeX/activeX11.xml"/><Relationship Id="rId15" Type="http://schemas.openxmlformats.org/officeDocument/2006/relationships/control" Target="activeX/activeX12.xml"/><Relationship Id="rId16" Type="http://schemas.openxmlformats.org/officeDocument/2006/relationships/control" Target="activeX/activeX13.xml"/><Relationship Id="rId17" Type="http://schemas.openxmlformats.org/officeDocument/2006/relationships/control" Target="activeX/activeX14.xml"/><Relationship Id="rId18" Type="http://schemas.openxmlformats.org/officeDocument/2006/relationships/header" Target="header1.xml"/><Relationship Id="rId19" Type="http://schemas.openxmlformats.org/officeDocument/2006/relationships/header" Target="header2.xml"/><Relationship Id="rId20" Type="http://schemas.openxmlformats.org/officeDocument/2006/relationships/header" Target="header3.xml"/><Relationship Id="rId21" Type="http://schemas.openxmlformats.org/officeDocument/2006/relationships/numbering" Target="numbering.xml"/><Relationship Id="rId22" Type="http://schemas.openxmlformats.org/officeDocument/2006/relationships/fontTable" Target="fontTable.xml"/><Relationship Id="rId23" Type="http://schemas.openxmlformats.org/officeDocument/2006/relationships/settings" Target="settings.xml"/><Relationship Id="rId24" Type="http://schemas.openxmlformats.org/officeDocument/2006/relationships/theme" Target="theme/theme1.xml"/>
</Relationships>
</file>

<file path=word/activeX/_rels/activeX1.xml.rels><?xml version="1.0" encoding="UTF-8"?>
<Relationships xmlns="http://schemas.openxmlformats.org/package/2006/relationships"><Relationship Id="rId1" Type="http://schemas.microsoft.com/office/2006/relationships/activeXControlBinary" Target="activeX1.bin"/>
</Relationships>
</file>

<file path=word/activeX/_rels/activeX10.xml.rels><?xml version="1.0" encoding="UTF-8"?>
<Relationships xmlns="http://schemas.openxmlformats.org/package/2006/relationships"><Relationship Id="rId1" Type="http://schemas.microsoft.com/office/2006/relationships/activeXControlBinary" Target="activeX10.bin"/>
</Relationships>
</file>

<file path=word/activeX/_rels/activeX11.xml.rels><?xml version="1.0" encoding="UTF-8"?>
<Relationships xmlns="http://schemas.openxmlformats.org/package/2006/relationships"><Relationship Id="rId1" Type="http://schemas.microsoft.com/office/2006/relationships/activeXControlBinary" Target="activeX11.bin"/>
</Relationships>
</file>

<file path=word/activeX/_rels/activeX12.xml.rels><?xml version="1.0" encoding="UTF-8"?>
<Relationships xmlns="http://schemas.openxmlformats.org/package/2006/relationships"><Relationship Id="rId1" Type="http://schemas.microsoft.com/office/2006/relationships/activeXControlBinary" Target="activeX12.bin"/>
</Relationships>
</file>

<file path=word/activeX/_rels/activeX13.xml.rels><?xml version="1.0" encoding="UTF-8"?>
<Relationships xmlns="http://schemas.openxmlformats.org/package/2006/relationships"><Relationship Id="rId1" Type="http://schemas.microsoft.com/office/2006/relationships/activeXControlBinary" Target="activeX13.bin"/>
</Relationships>
</file>

<file path=word/activeX/_rels/activeX14.xml.rels><?xml version="1.0" encoding="UTF-8"?>
<Relationships xmlns="http://schemas.openxmlformats.org/package/2006/relationships"><Relationship Id="rId1" Type="http://schemas.microsoft.com/office/2006/relationships/activeXControlBinary" Target="activeX14.bin"/>
</Relationships>
</file>

<file path=word/activeX/_rels/activeX2.xml.rels><?xml version="1.0" encoding="UTF-8"?>
<Relationships xmlns="http://schemas.openxmlformats.org/package/2006/relationships"><Relationship Id="rId1" Type="http://schemas.microsoft.com/office/2006/relationships/activeXControlBinary" Target="activeX2.bin"/>
</Relationships>
</file>

<file path=word/activeX/_rels/activeX3.xml.rels><?xml version="1.0" encoding="UTF-8"?>
<Relationships xmlns="http://schemas.openxmlformats.org/package/2006/relationships"><Relationship Id="rId1" Type="http://schemas.microsoft.com/office/2006/relationships/activeXControlBinary" Target="activeX3.bin"/>
</Relationships>
</file>

<file path=word/activeX/_rels/activeX4.xml.rels><?xml version="1.0" encoding="UTF-8"?>
<Relationships xmlns="http://schemas.openxmlformats.org/package/2006/relationships"><Relationship Id="rId1" Type="http://schemas.microsoft.com/office/2006/relationships/activeXControlBinary" Target="activeX4.bin"/>
</Relationships>
</file>

<file path=word/activeX/_rels/activeX5.xml.rels><?xml version="1.0" encoding="UTF-8"?>
<Relationships xmlns="http://schemas.openxmlformats.org/package/2006/relationships"><Relationship Id="rId1" Type="http://schemas.microsoft.com/office/2006/relationships/activeXControlBinary" Target="activeX5.bin"/>
</Relationships>
</file>

<file path=word/activeX/_rels/activeX6.xml.rels><?xml version="1.0" encoding="UTF-8"?>
<Relationships xmlns="http://schemas.openxmlformats.org/package/2006/relationships"><Relationship Id="rId1" Type="http://schemas.microsoft.com/office/2006/relationships/activeXControlBinary" Target="activeX6.bin"/>
</Relationships>
</file>

<file path=word/activeX/_rels/activeX7.xml.rels><?xml version="1.0" encoding="UTF-8"?>
<Relationships xmlns="http://schemas.openxmlformats.org/package/2006/relationships"><Relationship Id="rId1" Type="http://schemas.microsoft.com/office/2006/relationships/activeXControlBinary" Target="activeX7.bin"/>
</Relationships>
</file>

<file path=word/activeX/_rels/activeX8.xml.rels><?xml version="1.0" encoding="UTF-8"?>
<Relationships xmlns="http://schemas.openxmlformats.org/package/2006/relationships"><Relationship Id="rId1" Type="http://schemas.microsoft.com/office/2006/relationships/activeXControlBinary" Target="activeX8.bin"/>
</Relationships>
</file>

<file path=word/activeX/_rels/activeX9.xml.rels><?xml version="1.0" encoding="UTF-8"?>
<Relationships xmlns="http://schemas.openxmlformats.org/package/2006/relationships"><Relationship Id="rId1" Type="http://schemas.microsoft.com/office/2006/relationships/activeXControlBinary" Target="activeX9.bin"/>
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243</TotalTime>
  <Application>LibreOffice/24.2.7.2$Linux_X86_64 LibreOffice_project/420$Build-2</Application>
  <AppVersion>15.0000</AppVersion>
  <DocSecurity>0</DocSecurity>
  <Pages>4</Pages>
  <Words>750</Words>
  <Characters>4415</Characters>
  <CharactersWithSpaces>5080</CharactersWithSpaces>
  <Paragraphs>120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Michaela</dc:creator>
  <dc:description/>
  <dc:language>sk-SK</dc:language>
  <cp:lastModifiedBy/>
  <dcterms:modified xsi:type="dcterms:W3CDTF">2026-03-11T11:28:38Z</dcterms:modified>
  <cp:revision>59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