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0" w:after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</w:r>
    </w:p>
    <w:p>
      <w:pPr>
        <w:pStyle w:val="Normal"/>
        <w:spacing w:before="2880" w:after="200"/>
        <w:jc w:val="center"/>
        <w:rPr>
          <w:b/>
          <w:bCs/>
          <w:sz w:val="56"/>
          <w:szCs w:val="56"/>
        </w:rPr>
      </w:pPr>
      <w:r>
        <w:rPr>
          <w:b/>
          <w:bCs/>
          <w:sz w:val="56"/>
          <w:szCs w:val="56"/>
        </w:rPr>
        <w:t>VÝROČNÁ SPRÁVA</w:t>
      </w:r>
    </w:p>
    <w:p>
      <w:pPr>
        <w:pStyle w:val="Normal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</w:r>
    </w:p>
    <w:p>
      <w:pPr>
        <w:pStyle w:val="Normal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  DOLNÉ   ZAHORANY</w:t>
      </w:r>
    </w:p>
    <w:p>
      <w:pPr>
        <w:pStyle w:val="Normal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</w:r>
    </w:p>
    <w:p>
      <w:pPr>
        <w:pStyle w:val="Normal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2025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  <w:t xml:space="preserve">  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Heading1"/>
        <w:numPr>
          <w:ilvl w:val="0"/>
          <w:numId w:val="2"/>
        </w:numPr>
        <w:rPr/>
      </w:pPr>
      <w:bookmarkStart w:id="0" w:name="_Toc390182055"/>
      <w:r>
        <w:rPr/>
        <w:t xml:space="preserve">Základná charakteristika obce </w:t>
      </w:r>
      <w:bookmarkEnd w:id="0"/>
      <w:r>
        <w:rPr/>
        <w:t>Dolné Zahorany</w:t>
      </w:r>
    </w:p>
    <w:p>
      <w:pPr>
        <w:pStyle w:val="Normal"/>
        <w:rPr/>
      </w:pPr>
      <w:r>
        <w:rPr/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>
      <w:pPr>
        <w:pStyle w:val="Normal"/>
        <w:rPr/>
      </w:pPr>
      <w:r>
        <w:rPr/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>
      <w:pPr>
        <w:pStyle w:val="ListParagraph"/>
        <w:numPr>
          <w:ilvl w:val="0"/>
          <w:numId w:val="3"/>
        </w:numPr>
        <w:rPr/>
      </w:pPr>
      <w:r>
        <w:rPr/>
        <w:t>geografická poloha obce: Gemer</w:t>
      </w:r>
    </w:p>
    <w:p>
      <w:pPr>
        <w:pStyle w:val="ListParagraph"/>
        <w:numPr>
          <w:ilvl w:val="0"/>
          <w:numId w:val="3"/>
        </w:numPr>
        <w:rPr/>
      </w:pPr>
      <w:r>
        <w:rPr/>
        <w:t>susedné obce: Husiná, Dúžava, Veľké Dravce</w:t>
      </w:r>
    </w:p>
    <w:p>
      <w:pPr>
        <w:pStyle w:val="ListParagraph"/>
        <w:numPr>
          <w:ilvl w:val="0"/>
          <w:numId w:val="3"/>
        </w:numPr>
        <w:rPr/>
      </w:pPr>
      <w:r>
        <w:rPr/>
        <w:t>celková rozloha obce: 638 ha</w:t>
      </w:r>
    </w:p>
    <w:p>
      <w:pPr>
        <w:pStyle w:val="Normal"/>
        <w:rPr/>
      </w:pPr>
      <w:r>
        <w:rPr/>
        <w:t xml:space="preserve">V súčasnosti obec zabezpečuje spoločenský a kultúrny život aj prostredníctvom zrealizovania spoločenskej akcie v kultúrnom dome. </w:t>
      </w:r>
    </w:p>
    <w:p>
      <w:pPr>
        <w:pStyle w:val="Normal"/>
        <w:rPr/>
      </w:pPr>
      <w:r>
        <w:rPr/>
        <w:t>Poskytovateľmi služieb sú: Autobus s potavinami trikrát týždenne.</w:t>
      </w:r>
    </w:p>
    <w:p>
      <w:pPr>
        <w:pStyle w:val="Heading1"/>
        <w:numPr>
          <w:ilvl w:val="0"/>
          <w:numId w:val="2"/>
        </w:numPr>
        <w:rPr/>
      </w:pPr>
      <w:bookmarkStart w:id="1" w:name="_Toc390182056"/>
      <w:r>
        <w:rPr/>
        <w:t>Organizačná štruktúra obce</w:t>
      </w:r>
      <w:bookmarkEnd w:id="1"/>
    </w:p>
    <w:p>
      <w:pPr>
        <w:pStyle w:val="Normal"/>
        <w:rPr/>
      </w:pPr>
      <w:r>
        <w:rPr/>
        <w:t>Starostu volia obyvatelia obce v priamych voľbách na štyri roky. Predstaviteľom obce a najvyšším výkonným orgánom obce je starosta obce  Barnabáš Kováč.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>
      <w:pPr>
        <w:pStyle w:val="Normal"/>
        <w:rPr/>
      </w:pPr>
      <w:r>
        <w:rPr>
          <w:b/>
          <w:bCs/>
        </w:rPr>
        <w:t>Obecné zastupiteľstvo</w:t>
      </w:r>
      <w:r>
        <w:rPr>
          <w:rFonts w:cs="TimesNewRomanPS-BoldMT" w:ascii="TimesNewRomanPS-BoldMT" w:hAnsi="TimesNewRomanPS-BoldMT"/>
          <w:b/>
          <w:bCs/>
        </w:rPr>
        <w:t xml:space="preserve"> </w:t>
      </w:r>
      <w:r>
        <w:rPr/>
        <w:t>je zastupiteľský zbor zložený z 5 poslancov:</w:t>
      </w:r>
    </w:p>
    <w:p>
      <w:pPr>
        <w:pStyle w:val="ListParagraph"/>
        <w:numPr>
          <w:ilvl w:val="0"/>
          <w:numId w:val="3"/>
        </w:numPr>
        <w:spacing w:before="0" w:after="0"/>
        <w:rPr/>
      </w:pPr>
      <w:r>
        <w:rPr/>
        <w:t>Ing. Tibor Bodor, Attila Bodor, Endre Bodor, Zoltán Bodor sa vzdal funkcie a na jeho poslanecké miesto nastúpil Jozef Stehlík,</w:t>
      </w:r>
    </w:p>
    <w:p>
      <w:pPr>
        <w:pStyle w:val="ListParagraph"/>
        <w:numPr>
          <w:ilvl w:val="0"/>
          <w:numId w:val="3"/>
        </w:numPr>
        <w:spacing w:before="0" w:after="0"/>
        <w:rPr/>
      </w:pPr>
      <w:r>
        <w:rPr/>
        <w:t>Bódi Dorota – je zástupcom starostu obce.</w:t>
      </w:r>
    </w:p>
    <w:p>
      <w:pPr>
        <w:pStyle w:val="Normal"/>
        <w:rPr/>
      </w:pPr>
      <w:r>
        <w:rPr/>
        <w:t>Obecné zastupiteľstvo rozhoduje o základných otázkach života obce, určuje zásady hospodárenia a nakladania s majetkom obce, schvaľuje rozpočet obce a jeho zmeny, schvaľuje územný plán obce, rozhoduje o zavedení a zrušení miestnej dane alebo miestneho poplatku, určuje náležitosti miestnej dane alebo miestneho poplatku a verejnej dávky a rozhoduje o prijatí úveru alebo pôžičky, vyhlasuje hlasovanie obyvateľov obce o najdôležitejších otázkach života a rozvoja obce, zvoláva verejné zhromaždenia občanov, určuje organizáciu obecného úradu a určuje plat starostu a hlavného kontrolóra, schvaľuje majetkovú účasť obce v právnickej osobe.</w:t>
      </w:r>
    </w:p>
    <w:p>
      <w:pPr>
        <w:pStyle w:val="Normal"/>
        <w:rPr/>
      </w:pPr>
      <w:r>
        <w:rPr>
          <w:b/>
          <w:bCs/>
        </w:rPr>
        <w:t>Obecný úrad</w:t>
      </w:r>
      <w:r>
        <w:rPr/>
        <w:t xml:space="preserve"> je orgánom obecného zastupiteľstva a starostu obce, zabezpečuje organizačné a administratívne veci. Prácu obecného úradu organizuje starostka obce.</w:t>
      </w:r>
    </w:p>
    <w:p>
      <w:pPr>
        <w:pStyle w:val="Normal"/>
        <w:rPr/>
      </w:pPr>
      <w:r>
        <w:rPr>
          <w:b/>
          <w:bCs/>
        </w:rPr>
        <w:t>Hlavný kontrolór obce</w:t>
      </w:r>
      <w:r>
        <w:rPr/>
        <w:t xml:space="preserve"> – Ladislav Kisfaludi – pracuje v zmysle plánu práce schváleného obecným zastupiteľstvom. </w:t>
      </w:r>
    </w:p>
    <w:p>
      <w:pPr>
        <w:pStyle w:val="Heading1"/>
        <w:numPr>
          <w:ilvl w:val="0"/>
          <w:numId w:val="2"/>
        </w:numPr>
        <w:rPr/>
      </w:pPr>
      <w:bookmarkStart w:id="2" w:name="_Toc390182057"/>
      <w:r>
        <w:rPr/>
        <w:t>Rozpočet obce na rok 2025 a jeho plnenie</w:t>
      </w:r>
      <w:bookmarkEnd w:id="2"/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2025</w:t>
      </w:r>
    </w:p>
    <w:p>
      <w:pPr>
        <w:pStyle w:val="Normal"/>
        <w:rPr/>
      </w:pPr>
      <w:r>
        <w:rPr/>
        <w:t>Základným nástrojom finančného hospodárenia obce Dolné Zahorany bol rozpočet obce na rok 2025 a skutočne dosiahnuté príjmy a výdavky.</w:t>
      </w:r>
    </w:p>
    <w:p>
      <w:pPr>
        <w:pStyle w:val="Normal"/>
        <w:spacing w:before="0" w:after="0"/>
        <w:rPr>
          <w:color w:val="FF0000"/>
        </w:rPr>
      </w:pPr>
      <w:r>
        <w:rPr/>
        <w:t>Obce Dolné Zahorany na rok 2025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2025 bol zostavený ako prebytkový.</w:t>
      </w:r>
    </w:p>
    <w:p>
      <w:pPr>
        <w:pStyle w:val="Normal"/>
        <w:spacing w:before="0" w:after="0"/>
        <w:rPr>
          <w:color w:val="FF0000"/>
        </w:rPr>
      </w:pPr>
      <w:r>
        <w:rPr/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>
      <w:pPr>
        <w:pStyle w:val="Normal"/>
        <w:spacing w:lineRule="auto" w:line="240" w:before="0" w:after="0"/>
        <w:rPr/>
      </w:pPr>
      <w:r>
        <w:rPr/>
        <w:t>Rozpočet obce bol schválený obecným zastupiteľstvom dňa 28.03.2025 uznesením č.15/2025</w:t>
      </w:r>
    </w:p>
    <w:p>
      <w:pPr>
        <w:pStyle w:val="Normal"/>
        <w:spacing w:lineRule="auto" w:line="240" w:before="0" w:after="0"/>
        <w:rPr/>
      </w:pPr>
      <w:r>
        <w:rPr/>
        <w:t>Rozpočet nebol zmenený.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W w:w="9923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2410"/>
        <w:gridCol w:w="1983"/>
        <w:gridCol w:w="1984"/>
        <w:gridCol w:w="1987"/>
        <w:gridCol w:w="1559"/>
      </w:tblGrid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31.12.2025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lineRule="auto" w:line="240" w:before="0"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66 200,00</w:t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66 200,00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65 216,01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98,51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z toho :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Bežné príjmy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66 200,00</w:t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66 200,00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65 216,01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98,51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Kapitálové príjmy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center"/>
              <w:outlineLvl w:val="0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center"/>
              <w:outlineLvl w:val="0"/>
              <w:rPr/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center"/>
              <w:outlineLvl w:val="0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center"/>
              <w:outlineLvl w:val="0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Finančné príjmy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62 280,00</w:t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62 280,00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64 792,77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104,03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z toho :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Bežné výdavky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62 280,00</w:t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62 280,00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64 792,77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  <w:t>104,03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Kapitálové výdavky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rPr/>
            </w:pPr>
            <w:r>
              <w:rPr/>
              <w:t>Finančné výdavky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start"/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3 920,00</w:t>
            </w:r>
          </w:p>
        </w:tc>
        <w:tc>
          <w:tcPr>
            <w:tcW w:w="198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3 920,00</w:t>
            </w:r>
          </w:p>
        </w:tc>
        <w:tc>
          <w:tcPr>
            <w:tcW w:w="19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  <w:t>423,24</w:t>
            </w:r>
          </w:p>
        </w:tc>
        <w:tc>
          <w:tcPr>
            <w:tcW w:w="15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tabs>
                <w:tab w:val="clear" w:pos="708"/>
                <w:tab w:val="right" w:pos="8460" w:leader="none"/>
              </w:tabs>
              <w:spacing w:lineRule="auto" w:line="240" w:before="0" w:after="0"/>
              <w:jc w:val="center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ListParagraph"/>
        <w:numPr>
          <w:ilvl w:val="0"/>
          <w:numId w:val="1"/>
        </w:numPr>
        <w:spacing w:before="0" w:after="0"/>
        <w:rPr>
          <w:b/>
          <w:bCs/>
        </w:rPr>
      </w:pPr>
      <w:r>
        <w:rPr>
          <w:b/>
          <w:bCs/>
        </w:rPr>
        <w:t>Bilancia výsledku rozpočtového hospodárenia</w:t>
      </w:r>
    </w:p>
    <w:p>
      <w:pPr>
        <w:pStyle w:val="ListParagraph"/>
        <w:numPr>
          <w:ilvl w:val="0"/>
          <w:numId w:val="0"/>
        </w:numPr>
        <w:spacing w:before="0" w:after="0"/>
        <w:ind w:hanging="0" w:start="720"/>
        <w:rPr>
          <w:b/>
          <w:bCs/>
        </w:rPr>
      </w:pPr>
      <w:r>
        <w:rPr>
          <w:b/>
          <w:bCs/>
        </w:rPr>
      </w:r>
    </w:p>
    <w:tbl>
      <w:tblPr>
        <w:tblW w:w="9866" w:type="dxa"/>
        <w:jc w:val="start"/>
        <w:tblInd w:w="80" w:type="dxa"/>
        <w:tblLayout w:type="fixed"/>
        <w:tblCellMar>
          <w:top w:w="0" w:type="dxa"/>
          <w:start w:w="22" w:type="dxa"/>
          <w:bottom w:w="0" w:type="dxa"/>
          <w:end w:w="10" w:type="dxa"/>
        </w:tblCellMar>
        <w:tblLook w:firstRow="1" w:noVBand="1" w:lastRow="0" w:firstColumn="1" w:lastColumn="0" w:noHBand="0" w:val="04a0"/>
      </w:tblPr>
      <w:tblGrid>
        <w:gridCol w:w="5358"/>
        <w:gridCol w:w="4508"/>
      </w:tblGrid>
      <w:tr>
        <w:trPr>
          <w:trHeight w:val="300" w:hRule="atLeast"/>
        </w:trPr>
        <w:tc>
          <w:tcPr>
            <w:tcW w:w="5358" w:type="dxa"/>
            <w:tcBorders>
              <w:top w:val="double" w:sz="6" w:space="0" w:color="000000"/>
              <w:start w:val="double" w:sz="6" w:space="0" w:color="000000"/>
              <w:end w:val="single" w:sz="8" w:space="0" w:color="000000"/>
            </w:tcBorders>
            <w:shd w:color="auto" w:fill="D9D9D9" w:val="clear"/>
            <w:vAlign w:val="center"/>
          </w:tcPr>
          <w:p>
            <w:pPr>
              <w:pStyle w:val="Normal"/>
              <w:jc w:val="center"/>
              <w:rPr>
                <w:rStyle w:val="Strong"/>
              </w:rPr>
            </w:pPr>
            <w:r>
              <w:rPr/>
            </w:r>
          </w:p>
          <w:p>
            <w:pPr>
              <w:pStyle w:val="Normal"/>
              <w:spacing w:before="0" w:after="200"/>
              <w:jc w:val="center"/>
              <w:rPr/>
            </w:pPr>
            <w:r>
              <w:rPr>
                <w:rStyle w:val="Strong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000000"/>
              <w:start w:val="single" w:sz="8" w:space="0" w:color="000000"/>
              <w:bottom w:val="single" w:sz="8" w:space="0" w:color="000000"/>
              <w:end w:val="double" w:sz="6" w:space="0" w:color="000000"/>
            </w:tcBorders>
            <w:shd w:color="auto" w:fill="D9D9D9" w:val="clear"/>
            <w:vAlign w:val="center"/>
          </w:tcPr>
          <w:p>
            <w:pPr>
              <w:pStyle w:val="Normal"/>
              <w:tabs>
                <w:tab w:val="clear" w:pos="708"/>
                <w:tab w:val="right" w:pos="8820" w:leader="none"/>
              </w:tabs>
              <w:jc w:val="center"/>
              <w:rPr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tabs>
                <w:tab w:val="clear" w:pos="708"/>
                <w:tab w:val="right" w:pos="8820" w:leader="none"/>
              </w:tabs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Skutočnosť k 31.12.2025 v EUR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before="0" w:after="200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4508" w:type="dxa"/>
            <w:vMerge w:val="continue"/>
            <w:tcBorders>
              <w:top w:val="double" w:sz="6" w:space="0" w:color="000000"/>
              <w:start w:val="single" w:sz="8" w:space="0" w:color="000000"/>
              <w:bottom w:val="single" w:sz="8" w:space="0" w:color="000000"/>
              <w:end w:val="double" w:sz="6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DD9C3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65 216,01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vAlign w:val="center"/>
          </w:tcPr>
          <w:p>
            <w:pPr>
              <w:pStyle w:val="Normal"/>
              <w:spacing w:before="0" w:after="200"/>
              <w:jc w:val="end"/>
              <w:rPr>
                <w:rStyle w:val="Emphasis"/>
                <w:i w:val="false"/>
                <w:iCs w:val="false"/>
              </w:rPr>
            </w:pPr>
            <w:r>
              <w:rPr>
                <w:rStyle w:val="Emphasis"/>
              </w:rPr>
              <w:t>64 792,77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423,24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DD9C3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DD9C3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bottom w:val="single" w:sz="4" w:space="0" w:color="000000"/>
              <w:end w:val="double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before="0" w:after="20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DD9C3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4508" w:type="dxa"/>
            <w:tcBorders>
              <w:bottom w:val="single" w:sz="8" w:space="0" w:color="000000"/>
              <w:end w:val="double" w:sz="6" w:space="0" w:color="000000"/>
            </w:tcBorders>
            <w:shd w:color="auto" w:fill="DDD9C3" w:val="clear"/>
            <w:vAlign w:val="cente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423,24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bottom w:val="single" w:sz="4" w:space="0" w:color="000000"/>
              <w:end w:val="double" w:sz="6" w:space="0" w:color="000000"/>
            </w:tcBorders>
            <w:vAlign w:val="center"/>
          </w:tcPr>
          <w:p>
            <w:pPr>
              <w:pStyle w:val="Normal"/>
              <w:spacing w:before="0" w:after="200"/>
              <w:jc w:val="end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bottom w:val="single" w:sz="4" w:space="0" w:color="000000"/>
              <w:end w:val="double" w:sz="6" w:space="0" w:color="000000"/>
            </w:tcBorders>
            <w:vAlign w:val="center"/>
          </w:tcPr>
          <w:p>
            <w:pPr>
              <w:pStyle w:val="Normal"/>
              <w:spacing w:before="0" w:after="200"/>
              <w:jc w:val="end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0"/>
              <w:start w:val="double" w:sz="6" w:space="0" w:color="000000"/>
              <w:bottom w:val="single" w:sz="8" w:space="0" w:color="000000"/>
              <w:end w:val="single" w:sz="8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000000"/>
              <w:bottom w:val="single" w:sz="8" w:space="0" w:color="000000"/>
              <w:end w:val="double" w:sz="6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6" w:space="0" w:color="000000"/>
              <w:start w:val="double" w:sz="6" w:space="0" w:color="000000"/>
              <w:bottom w:val="single" w:sz="6" w:space="0" w:color="000000"/>
              <w:end w:val="single" w:sz="6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star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double" w:sz="6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end="-51"/>
              <w:jc w:val="end"/>
              <w:rPr/>
            </w:pPr>
            <w:r>
              <w:rPr/>
              <w:t>65 216,01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6" w:space="0" w:color="000000"/>
              <w:start w:val="double" w:sz="6" w:space="0" w:color="000000"/>
              <w:bottom w:val="single" w:sz="6" w:space="0" w:color="000000"/>
              <w:end w:val="single" w:sz="6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start="-85"/>
              <w:rPr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start w:val="single" w:sz="6" w:space="0" w:color="000000"/>
              <w:bottom w:val="single" w:sz="6" w:space="0" w:color="000000"/>
              <w:end w:val="double" w:sz="6" w:space="0" w:color="000000"/>
            </w:tcBorders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end="-51"/>
              <w:jc w:val="end"/>
              <w:rPr/>
            </w:pPr>
            <w:r>
              <w:rPr/>
              <w:t>64 792,77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6" w:space="0" w:color="000000"/>
              <w:start w:val="double" w:sz="6" w:space="0" w:color="000000"/>
              <w:bottom w:val="double" w:sz="6" w:space="0" w:color="000000"/>
              <w:end w:val="single" w:sz="6" w:space="0" w:color="000000"/>
            </w:tcBorders>
            <w:shd w:color="auto" w:fill="DDD9C3" w:val="clear"/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start="-85"/>
              <w:rPr/>
            </w:pPr>
            <w:r>
              <w:rPr>
                <w:rStyle w:val="Emphasis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start w:val="single" w:sz="6" w:space="0" w:color="000000"/>
              <w:bottom w:val="double" w:sz="6" w:space="0" w:color="000000"/>
              <w:end w:val="double" w:sz="6" w:space="0" w:color="000000"/>
            </w:tcBorders>
            <w:shd w:color="auto" w:fill="DDD9C3" w:val="clear"/>
            <w:tcMar>
              <w:start w:w="108" w:type="dxa"/>
              <w:end w:w="108" w:type="dxa"/>
            </w:tcMar>
          </w:tcPr>
          <w:p>
            <w:pPr>
              <w:pStyle w:val="Normal"/>
              <w:spacing w:before="0" w:after="200"/>
              <w:ind w:end="-51"/>
              <w:jc w:val="end"/>
              <w:rPr>
                <w:b/>
              </w:rPr>
            </w:pPr>
            <w:r>
              <w:rPr>
                <w:b/>
              </w:rPr>
              <w:t>423,24</w:t>
            </w:r>
          </w:p>
        </w:tc>
      </w:tr>
    </w:tbl>
    <w:p>
      <w:pPr>
        <w:pStyle w:val="Normal"/>
        <w:rPr>
          <w:b/>
        </w:rPr>
      </w:pPr>
      <w:r>
        <w:rPr>
          <w:b/>
          <w:bCs/>
          <w:color w:val="FF0000"/>
        </w:rPr>
        <w:tab/>
      </w:r>
    </w:p>
    <w:p>
      <w:pPr>
        <w:pStyle w:val="Normal"/>
        <w:tabs>
          <w:tab w:val="clear" w:pos="708"/>
          <w:tab w:val="right" w:pos="7740" w:leader="none"/>
        </w:tabs>
        <w:rPr/>
      </w:pPr>
      <w:r>
        <w:rPr>
          <w:b/>
        </w:rPr>
        <w:t>Prebytok rozpočtu</w:t>
      </w:r>
      <w:r>
        <w:rPr/>
        <w:t xml:space="preserve"> v sume 423,24 EUR  zistený podľa ustanovenia § 10 ods. 3 písm. a) a b) zákona č. 583/2004 Z.z. o rozpočtových pravidlách územnej samosprávy a o zmene a doplnení niektorých zákonov v znení neskorších predpisov, </w:t>
      </w:r>
      <w:r>
        <w:rPr>
          <w:color w:val="auto"/>
        </w:rPr>
        <w:t>navrhujeme použiť na tvorbu rezervného fondu obce.</w:t>
      </w:r>
      <w:r>
        <w:rPr>
          <w:color w:val="auto"/>
        </w:rPr>
        <w:tab/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2025</w:t>
      </w:r>
    </w:p>
    <w:p>
      <w:pPr>
        <w:pStyle w:val="Normal"/>
        <w:rPr>
          <w:b/>
        </w:rPr>
      </w:pPr>
      <w:r>
        <w:rPr>
          <w:b/>
        </w:rPr>
        <w:t>A K T Í V A </w:t>
      </w:r>
    </w:p>
    <w:tbl>
      <w:tblPr>
        <w:tblW w:w="9990" w:type="dxa"/>
        <w:jc w:val="start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3755"/>
        <w:gridCol w:w="3117"/>
        <w:gridCol w:w="3118"/>
      </w:tblGrid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ZS  k  1.1.2025  v EUR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KZ  k  31.12.2025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153 721,25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146 880,91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139 965,57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134 062,57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86 624,57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80 721,57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53 143,92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47 882,92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13 755,68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12 818,34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453,36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610,36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13 302,32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12 207,98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</w:tbl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 xml:space="preserve">P A S Í V A </w:t>
      </w:r>
    </w:p>
    <w:tbl>
      <w:tblPr>
        <w:tblW w:w="9990" w:type="dxa"/>
        <w:jc w:val="start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3755"/>
        <w:gridCol w:w="3117"/>
        <w:gridCol w:w="3118"/>
      </w:tblGrid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ZS  k  1.1.2025 v EUR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KZ  k  31.12.2025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153 721,25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C4BC96" w:val="clear"/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146 880,91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145 702,09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139 150,32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145 702,09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139 150,32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3 061,66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2 773,09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444,20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444,97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2 617,46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2 328,11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/>
            </w:pPr>
            <w:r>
              <w:rPr/>
              <w:t>0,00</w:t>
            </w:r>
          </w:p>
        </w:tc>
      </w:tr>
    </w:tbl>
    <w:p>
      <w:pPr>
        <w:pStyle w:val="ListParagraph"/>
        <w:rPr>
          <w:b/>
          <w:bCs/>
        </w:rPr>
      </w:pPr>
      <w:r>
        <w:rPr>
          <w:b/>
          <w:bCs/>
        </w:rPr>
      </w:r>
    </w:p>
    <w:p>
      <w:pPr>
        <w:pStyle w:val="ListParagraph"/>
        <w:rPr>
          <w:b/>
          <w:bCs/>
        </w:rPr>
      </w:pPr>
      <w:r>
        <w:rPr>
          <w:b/>
          <w:bCs/>
        </w:rPr>
      </w:r>
    </w:p>
    <w:p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2025</w:t>
      </w:r>
    </w:p>
    <w:tbl>
      <w:tblPr>
        <w:tblW w:w="9960" w:type="dxa"/>
        <w:jc w:val="start"/>
        <w:tblInd w:w="1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3924"/>
        <w:gridCol w:w="2688"/>
        <w:gridCol w:w="3348"/>
      </w:tblGrid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DD9C3" w:val="clear"/>
          </w:tcPr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DD9C3" w:val="clear"/>
          </w:tcPr>
          <w:p>
            <w:pPr>
              <w:pStyle w:val="Normal"/>
              <w:ind w:firstLine="188" w:start="-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>
            <w:pPr>
              <w:pStyle w:val="Normal"/>
              <w:spacing w:before="0" w:after="200"/>
              <w:ind w:firstLine="188" w:start="-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1.1.2025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DD9C3" w:val="clear"/>
          </w:tcPr>
          <w:p>
            <w:pPr>
              <w:pStyle w:val="Normal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>
            <w:pPr>
              <w:pStyle w:val="Normal"/>
              <w:spacing w:before="0" w:after="20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31.12.2025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72 227,30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72 582,93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50 – Spotrebované nákupy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12 711,38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10 899,63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51 – Služby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16 036,06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20 943,83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52 – Osobné náklady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33 308,63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33 288,81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53 – Dane a  poplatky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54 – Ostatné náklady na prevádzkovú činnosť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615,12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1 139,06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55 – Odpisy, rezervy a OP z prevádzkovej a finančnej činnosti a zúčtovanie časového rozlíšenia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9 153,60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5 903,00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56 – Finančné náklady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402,41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408,60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color w:val="0000FF"/>
              </w:rPr>
            </w:pPr>
            <w:r>
              <w:rPr>
                <w:color w:val="0000FF"/>
              </w:rPr>
              <w:t>57 – Mimoriadne náklady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58 – Náklady na transfery a náklady z odvodov príjmov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59 – Dane z príjmov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69 637,59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66 031,16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60 – Tržby za vlastné výkony a tovar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900,00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520,00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61–Zmena stavu vnútroorganizačných služieb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62 – Aktivácia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63 – Daňové a colné výnosy a výnosy z poplatkov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63 502,85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64 101,13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64 – Ostatné výnosy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231,18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1 19,18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65 – Zúčtovanie rezerv a OP z prevádzkovej a finančnej činnosti a zúčtovanie časového rozlíšenia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66 – Finančné výnosy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39,68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rPr>
                <w:color w:val="auto"/>
              </w:rPr>
            </w:pPr>
            <w:r>
              <w:rPr>
                <w:color w:val="auto"/>
              </w:rPr>
              <w:t>67 – Mimoriadne výnosy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/>
              <w:t>69 – Výnosy z transferov a rozpočtových príjmov v obciach, VÚC a v RO a PO zriadených obcou alebo VÚC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4 963,88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390,89</w:t>
            </w:r>
          </w:p>
        </w:tc>
      </w:tr>
      <w:tr>
        <w:trPr/>
        <w:tc>
          <w:tcPr>
            <w:tcW w:w="39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rPr>
                <w:b/>
              </w:rPr>
            </w:pPr>
            <w:r>
              <w:rPr>
                <w:b/>
              </w:rPr>
              <w:t>Hospodársky výsledok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360" w:before="0" w:after="200"/>
              <w:jc w:val="both"/>
              <w:rPr/>
            </w:pPr>
            <w:r>
              <w:rPr>
                <w:b/>
              </w:rPr>
              <w:t>/+ kladný HV, - záporný HV/</w:t>
            </w:r>
          </w:p>
        </w:tc>
        <w:tc>
          <w:tcPr>
            <w:tcW w:w="26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-2 589,71</w:t>
            </w:r>
          </w:p>
        </w:tc>
        <w:tc>
          <w:tcPr>
            <w:tcW w:w="334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spacing w:before="0" w:after="200"/>
              <w:jc w:val="end"/>
              <w:rPr>
                <w:b/>
              </w:rPr>
            </w:pPr>
            <w:r>
              <w:rPr>
                <w:b/>
              </w:rPr>
              <w:t>-6 551,77</w:t>
            </w:r>
          </w:p>
        </w:tc>
      </w:tr>
    </w:tbl>
    <w:p>
      <w:pPr>
        <w:pStyle w:val="ListParagraph"/>
        <w:rPr>
          <w:b/>
        </w:rPr>
      </w:pPr>
      <w:r>
        <w:rPr>
          <w:b/>
        </w:rPr>
      </w:r>
    </w:p>
    <w:p>
      <w:pPr>
        <w:pStyle w:val="ListParagraph"/>
        <w:ind w:hanging="0" w:start="0"/>
        <w:rPr/>
      </w:pPr>
      <w:r>
        <w:rPr/>
        <w:t>Hospodársky výsledok bol záporný v sume 6 551,77 EUR bol zúčtovaný na účet 428 - Nevysporiadaný výsledok hospodárenia minulých rokov.</w:t>
      </w:r>
    </w:p>
    <w:p>
      <w:pPr>
        <w:pStyle w:val="Normal"/>
        <w:spacing w:lineRule="auto" w:line="240" w:before="0" w:after="0"/>
        <w:jc w:val="star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 Ostatné významné skutočnosti, ktoré mali vplyv na hospodárenie  </w:t>
      </w:r>
      <w:r>
        <w:rPr>
          <w:b/>
          <w:sz w:val="28"/>
          <w:szCs w:val="28"/>
        </w:rPr>
        <w:t xml:space="preserve">a </w:t>
      </w:r>
      <w:r>
        <w:rPr>
          <w:b/>
          <w:sz w:val="28"/>
          <w:szCs w:val="28"/>
        </w:rPr>
        <w:t>činnosť obce</w:t>
      </w:r>
    </w:p>
    <w:p>
      <w:pPr>
        <w:pStyle w:val="Normal"/>
        <w:spacing w:lineRule="auto" w:line="240" w:before="0" w:after="0"/>
        <w:jc w:val="start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before="0" w:after="0"/>
        <w:rPr>
          <w:b/>
        </w:rPr>
      </w:pPr>
      <w:r>
        <w:rPr>
          <w:b/>
        </w:rPr>
        <w:t xml:space="preserve">Prijaté granty a transfery </w:t>
      </w:r>
    </w:p>
    <w:p>
      <w:pPr>
        <w:pStyle w:val="Normal"/>
        <w:spacing w:before="0" w:after="0"/>
        <w:rPr>
          <w:b/>
        </w:rPr>
      </w:pPr>
      <w:r>
        <w:rPr/>
        <w:t>V roku 2025 obec prijala nasledovné granty a transfery.</w:t>
      </w:r>
    </w:p>
    <w:p>
      <w:pPr>
        <w:pStyle w:val="Normal"/>
        <w:spacing w:before="0" w:after="0"/>
        <w:rPr/>
      </w:pPr>
      <w:r>
        <w:rPr/>
        <w:t>Z rozpočtovaných bežných grantov a transferov 1 600,00 EUR bol skutočný príjem vo výške 390,89 EUR.</w:t>
      </w:r>
    </w:p>
    <w:p>
      <w:pPr>
        <w:pStyle w:val="Normal"/>
        <w:rPr/>
      </w:pPr>
      <w:r>
        <w:rPr>
          <w:b/>
        </w:rPr>
        <w:t>Prijaté bežné granty a transfery:</w:t>
      </w:r>
    </w:p>
    <w:tbl>
      <w:tblPr>
        <w:tblW w:w="9923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2694"/>
        <w:gridCol w:w="1840"/>
        <w:gridCol w:w="2553"/>
        <w:gridCol w:w="2836"/>
      </w:tblGrid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  <w:t>Poznámka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 xml:space="preserve">MV SR 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end"/>
              <w:outlineLvl w:val="0"/>
              <w:rPr>
                <w:bCs/>
              </w:rPr>
            </w:pPr>
            <w:r>
              <w:rPr>
                <w:bCs/>
              </w:rPr>
              <w:t>18,00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Register adries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end"/>
              <w:outlineLvl w:val="0"/>
              <w:rPr>
                <w:bCs/>
              </w:rPr>
            </w:pPr>
            <w:r>
              <w:rPr>
                <w:bCs/>
              </w:rPr>
              <w:t>57,42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Regob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MŽP SR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end"/>
              <w:outlineLvl w:val="0"/>
              <w:rPr>
                <w:bCs/>
              </w:rPr>
            </w:pPr>
            <w:r>
              <w:rPr>
                <w:bCs/>
              </w:rPr>
              <w:t>22,75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Životné prostredie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end"/>
              <w:outlineLvl w:val="0"/>
              <w:rPr>
                <w:bCs/>
              </w:rPr>
            </w:pPr>
            <w:r>
              <w:rPr>
                <w:bCs/>
              </w:rPr>
              <w:t>7,52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Cestná komunikácia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Úrad pre územ.plán.</w:t>
            </w:r>
          </w:p>
        </w:tc>
        <w:tc>
          <w:tcPr>
            <w:tcW w:w="18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end"/>
              <w:outlineLvl w:val="0"/>
              <w:rPr>
                <w:bCs/>
              </w:rPr>
            </w:pPr>
            <w:r>
              <w:rPr>
                <w:bCs/>
              </w:rPr>
              <w:t>285,20</w:t>
            </w:r>
          </w:p>
        </w:tc>
        <w:tc>
          <w:tcPr>
            <w:tcW w:w="255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Cs/>
              </w:rPr>
            </w:pPr>
            <w:r>
              <w:rPr>
                <w:bCs/>
              </w:rPr>
              <w:t>Územné plánovanie</w:t>
            </w:r>
          </w:p>
        </w:tc>
        <w:tc>
          <w:tcPr>
            <w:tcW w:w="283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ind w:hanging="0" w:start="0"/>
              <w:jc w:val="start"/>
              <w:outlineLvl w:val="0"/>
              <w:rPr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rPr>
          <w:b/>
        </w:rPr>
      </w:pPr>
      <w:r>
        <w:rPr/>
      </w:r>
    </w:p>
    <w:p>
      <w:pPr>
        <w:pStyle w:val="Normal"/>
        <w:rPr/>
      </w:pPr>
      <w:r>
        <w:rPr/>
        <w:t>Prijaté granty a transfery boli účelovo učené na bežné výdavky a boli použité v súlade s ich účelom</w:t>
      </w:r>
    </w:p>
    <w:p>
      <w:pPr>
        <w:pStyle w:val="Normal"/>
        <w:spacing w:before="0" w:after="0"/>
        <w:rPr>
          <w:b/>
        </w:rPr>
      </w:pPr>
      <w:r>
        <w:rPr>
          <w:b/>
        </w:rPr>
        <w:t xml:space="preserve">Poskytnuté dotácie </w:t>
      </w:r>
    </w:p>
    <w:p>
      <w:pPr>
        <w:pStyle w:val="Normal"/>
        <w:rPr/>
      </w:pPr>
      <w:r>
        <w:rPr/>
        <w:t>V roku 2025 obec neposkytla zo svojho rozpočtu dotácie v zmysle VZN  o poskytovaní dotácií z rozpočtu obce.</w:t>
      </w:r>
    </w:p>
    <w:p>
      <w:pPr>
        <w:pStyle w:val="Normal"/>
        <w:spacing w:before="0" w:after="0"/>
        <w:rPr>
          <w:b/>
        </w:rPr>
      </w:pPr>
      <w:r>
        <w:rPr>
          <w:b/>
        </w:rPr>
        <w:t>Významné investičné akcie v roku 2025</w:t>
      </w:r>
    </w:p>
    <w:p>
      <w:pPr>
        <w:pStyle w:val="Normal"/>
        <w:tabs>
          <w:tab w:val="clear" w:pos="708"/>
          <w:tab w:val="left" w:pos="2880" w:leader="none"/>
          <w:tab w:val="right" w:pos="8820" w:leader="none"/>
        </w:tabs>
        <w:spacing w:before="0" w:after="0"/>
        <w:rPr/>
      </w:pPr>
      <w:r>
        <w:rPr/>
        <w:t xml:space="preserve">Najvýznamnejšie investičné akcie realizované v roku 2025: </w:t>
      </w:r>
    </w:p>
    <w:p>
      <w:pPr>
        <w:pStyle w:val="Normal"/>
        <w:tabs>
          <w:tab w:val="clear" w:pos="708"/>
          <w:tab w:val="left" w:pos="2880" w:leader="none"/>
          <w:tab w:val="right" w:pos="8820" w:leader="none"/>
        </w:tabs>
        <w:spacing w:before="0" w:after="0"/>
        <w:rPr/>
      </w:pPr>
      <w:r>
        <w:rPr/>
        <w:t>-kovové schody do cintorína,</w:t>
      </w:r>
    </w:p>
    <w:p>
      <w:pPr>
        <w:pStyle w:val="Normal"/>
        <w:tabs>
          <w:tab w:val="clear" w:pos="708"/>
          <w:tab w:val="left" w:pos="2880" w:leader="none"/>
          <w:tab w:val="right" w:pos="8820" w:leader="none"/>
        </w:tabs>
        <w:spacing w:before="0" w:after="0"/>
        <w:rPr/>
      </w:pPr>
      <w:r>
        <w:rPr/>
        <w:t>-altánok pri kultúrnom dome</w:t>
      </w:r>
    </w:p>
    <w:p>
      <w:pPr>
        <w:pStyle w:val="Normal"/>
        <w:tabs>
          <w:tab w:val="clear" w:pos="708"/>
          <w:tab w:val="left" w:pos="2880" w:leader="none"/>
          <w:tab w:val="right" w:pos="8820" w:leader="none"/>
        </w:tabs>
        <w:spacing w:before="0" w:after="0"/>
        <w:rPr/>
      </w:pPr>
      <w:r>
        <w:rPr/>
      </w:r>
    </w:p>
    <w:p>
      <w:pPr>
        <w:pStyle w:val="Normal"/>
        <w:spacing w:before="0" w:after="0"/>
        <w:rPr>
          <w:b/>
        </w:rPr>
      </w:pPr>
      <w:r>
        <w:rPr>
          <w:b/>
        </w:rPr>
        <w:t xml:space="preserve">Predpokladaný budúci vývoj činnosti </w:t>
      </w:r>
    </w:p>
    <w:p>
      <w:pPr>
        <w:pStyle w:val="Normal"/>
        <w:spacing w:before="0" w:after="0"/>
        <w:rPr/>
      </w:pPr>
      <w:r>
        <w:rPr/>
        <w:t>Predpokladané investičné akcie realizované v budúcich rokoch:</w:t>
      </w:r>
    </w:p>
    <w:p>
      <w:pPr>
        <w:pStyle w:val="Normal"/>
        <w:spacing w:before="0" w:after="0"/>
        <w:rPr/>
      </w:pPr>
      <w:r>
        <w:rPr/>
        <w:t>-čistenie jarkov.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>
          <w:b/>
        </w:rPr>
      </w:pPr>
      <w:r>
        <w:rPr>
          <w:b/>
        </w:rPr>
        <w:t xml:space="preserve">Udalosti osobitného významu po skončení účtovného obdobia </w:t>
      </w:r>
    </w:p>
    <w:p>
      <w:pPr>
        <w:pStyle w:val="Normal"/>
        <w:spacing w:before="0" w:after="0"/>
        <w:rPr/>
      </w:pPr>
      <w:r>
        <w:rPr/>
        <w:t>Obec nezaznamenala žiadnu udalosť osobitného významu po skončení účtovného obdobia, za ktoré sa vyhotovuje výročná správa.</w:t>
      </w:r>
    </w:p>
    <w:p>
      <w:pPr>
        <w:pStyle w:val="Normal"/>
        <w:rPr/>
      </w:pPr>
      <w:r>
        <w:rPr/>
        <w:t>Obec nemá bankový úver.</w:t>
      </w:r>
    </w:p>
    <w:p>
      <w:pPr>
        <w:pStyle w:val="Normal"/>
        <w:spacing w:before="0" w:after="0"/>
        <w:rPr>
          <w:b/>
        </w:rPr>
      </w:pPr>
      <w:r>
        <w:rPr>
          <w:b/>
        </w:rPr>
        <w:t xml:space="preserve">Významné riziká a neistoty, ktorým je účtovná jednotka vystavená  </w:t>
      </w:r>
    </w:p>
    <w:p>
      <w:pPr>
        <w:pStyle w:val="Normal"/>
        <w:spacing w:before="0" w:after="0"/>
        <w:ind w:start="360"/>
        <w:rPr>
          <w:color w:themeColor="text1" w:val="000000"/>
        </w:rPr>
      </w:pPr>
      <w:bookmarkStart w:id="3" w:name="_Hlk123891289"/>
      <w:r>
        <w:rPr>
          <w:color w:themeColor="text1" w:val="000000"/>
        </w:rPr>
        <w:t>Obec nevedie súdny spor .</w:t>
      </w:r>
      <w:bookmarkEnd w:id="3"/>
    </w:p>
    <w:p>
      <w:pPr>
        <w:pStyle w:val="Normal"/>
        <w:rPr/>
      </w:pPr>
      <w:r>
        <w:rPr/>
        <w:t xml:space="preserve">Predložená správa o plnení rozpočtu a záverečný účet obce Dolné Zahorany za rok 2025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>
      <w:pPr>
        <w:pStyle w:val="Normal"/>
        <w:rPr/>
      </w:pPr>
      <w:r>
        <w:rPr/>
        <w:t>Táto výročná správa sa vyhotovuje za účtovné obdobie od 01.01.2025 do 31.12.2025.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>
      <w:pPr>
        <w:pStyle w:val="Normal"/>
        <w:rPr/>
      </w:pPr>
      <w:r>
        <w:rPr/>
      </w:r>
    </w:p>
    <w:p>
      <w:pPr>
        <w:pStyle w:val="Normal"/>
        <w:spacing w:before="0" w:after="0"/>
        <w:rPr/>
      </w:pPr>
      <w:r>
        <w:rPr/>
        <w:t>V Dolných Zahoranoch, dňa: 13.05.2026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                                 </w:t>
      </w:r>
      <w:r>
        <w:rPr/>
        <w:t>...………..............................</w:t>
      </w:r>
    </w:p>
    <w:p>
      <w:pPr>
        <w:pStyle w:val="Normal"/>
        <w:spacing w:before="0" w:after="0"/>
        <w:rPr/>
      </w:pPr>
      <w:r>
        <w:rPr/>
        <w:t xml:space="preserve">                                                                                          </w:t>
      </w:r>
      <w:r>
        <w:rPr/>
        <w:t>Barnabáš Kováč -  starosta obce</w:t>
      </w:r>
    </w:p>
    <w:p>
      <w:pPr>
        <w:pStyle w:val="Normal"/>
        <w:spacing w:before="0" w:after="0"/>
        <w:rPr/>
      </w:pPr>
      <w:r>
        <w:rPr/>
      </w:r>
    </w:p>
    <w:p>
      <w:pPr>
        <w:pStyle w:val="Normal"/>
        <w:tabs>
          <w:tab w:val="clear" w:pos="708"/>
          <w:tab w:val="center" w:pos="6804" w:leader="none"/>
        </w:tabs>
        <w:spacing w:lineRule="auto" w:line="240" w:before="0" w:after="120"/>
        <w:rPr/>
      </w:pPr>
      <w:r>
        <w:rPr/>
      </w:r>
    </w:p>
    <w:p>
      <w:pPr>
        <w:pStyle w:val="Normal"/>
        <w:tabs>
          <w:tab w:val="clear" w:pos="708"/>
          <w:tab w:val="center" w:pos="6804" w:leader="none"/>
        </w:tabs>
        <w:spacing w:lineRule="auto" w:line="240" w:before="0" w:after="120"/>
        <w:rPr/>
      </w:pPr>
      <w:r>
        <w:rPr/>
        <w:t>Vypracoval:  Ladislav Kisfaludi  -  HK obce</w:t>
      </w:r>
    </w:p>
    <w:p>
      <w:pPr>
        <w:pStyle w:val="Normal"/>
        <w:spacing w:before="0" w:after="200"/>
        <w:rPr>
          <w:b/>
          <w:bCs/>
        </w:rPr>
      </w:pPr>
      <w:r>
        <w:rPr>
          <w:b/>
          <w:bCs/>
        </w:rPr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1417" w:footer="708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Tahoma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TimesNewRomanPS-BoldMT">
    <w:charset w:val="ee" w:characterSet="windows-1250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end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10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upperLetter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numFmt w:val="bullet"/>
      <w:lvlText w:val="-"/>
      <w:lvlJc w:val="start"/>
      <w:pPr>
        <w:tabs>
          <w:tab w:val="num" w:pos="0"/>
        </w:tabs>
        <w:ind w:star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hyphenationZone w:val="425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35f71"/>
    <w:pPr>
      <w:widowControl/>
      <w:suppressAutoHyphens w:val="true"/>
      <w:bidi w:val="0"/>
      <w:spacing w:lineRule="auto" w:line="360" w:before="0" w:after="20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Heading1">
    <w:name w:val="heading 1"/>
    <w:basedOn w:val="Normal"/>
    <w:next w:val="Normal"/>
    <w:link w:val="Cmsor1Char"/>
    <w:uiPriority w:val="99"/>
    <w:qFormat/>
    <w:rsid w:val="00435f71"/>
    <w:pPr>
      <w:keepNext w:val="true"/>
      <w:keepLines/>
      <w:numPr>
        <w:ilvl w:val="0"/>
        <w:numId w:val="2"/>
      </w:numPr>
      <w:spacing w:before="480" w:after="0"/>
      <w:outlineLvl w:val="0"/>
    </w:pPr>
    <w:rPr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msor1Char" w:customStyle="1">
    <w:name w:val="Címsor 1 Char"/>
    <w:basedOn w:val="DefaultParagraphFont"/>
    <w:uiPriority w:val="99"/>
    <w:qFormat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character" w:styleId="BuborkszvegChar" w:customStyle="1">
    <w:name w:val="Buborékszöveg Char"/>
    <w:basedOn w:val="DefaultParagraphFont"/>
    <w:link w:val="BalloonText"/>
    <w:uiPriority w:val="99"/>
    <w:semiHidden/>
    <w:qFormat/>
    <w:locked/>
    <w:rsid w:val="00435f71"/>
    <w:rPr>
      <w:rFonts w:ascii="Tahoma" w:hAnsi="Tahoma" w:cs="Tahoma"/>
      <w:sz w:val="16"/>
      <w:szCs w:val="16"/>
    </w:rPr>
  </w:style>
  <w:style w:type="character" w:styleId="lfejChar" w:customStyle="1">
    <w:name w:val="Élőfej Char"/>
    <w:basedOn w:val="DefaultParagraphFont"/>
    <w:uiPriority w:val="99"/>
    <w:semiHidden/>
    <w:qFormat/>
    <w:locked/>
    <w:rsid w:val="00d25feb"/>
    <w:rPr>
      <w:rFonts w:ascii="Times New Roman" w:hAnsi="Times New Roman" w:cs="Times New Roman"/>
      <w:sz w:val="24"/>
      <w:szCs w:val="24"/>
    </w:rPr>
  </w:style>
  <w:style w:type="character" w:styleId="llbChar" w:customStyle="1">
    <w:name w:val="Élőláb Char"/>
    <w:basedOn w:val="DefaultParagraphFont"/>
    <w:uiPriority w:val="99"/>
    <w:qFormat/>
    <w:locked/>
    <w:rsid w:val="00d25fe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1c0b5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locked/>
    <w:rsid w:val="00614822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14822"/>
    <w:rPr>
      <w:i/>
      <w:iCs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99"/>
    <w:qFormat/>
    <w:rsid w:val="00b041dd"/>
    <w:pPr>
      <w:ind w:start="720"/>
    </w:pPr>
    <w:rPr/>
  </w:style>
  <w:style w:type="paragraph" w:styleId="BalloonText">
    <w:name w:val="Balloon Text"/>
    <w:basedOn w:val="Normal"/>
    <w:link w:val="BuborkszvegChar"/>
    <w:uiPriority w:val="99"/>
    <w:semiHidden/>
    <w:qFormat/>
    <w:rsid w:val="00435f71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lfejChar"/>
    <w:uiPriority w:val="99"/>
    <w:semiHidden/>
    <w:rsid w:val="00d25fe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llbChar"/>
    <w:uiPriority w:val="99"/>
    <w:rsid w:val="00d25fe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IndexHeading">
    <w:name w:val="index heading"/>
    <w:basedOn w:val="Nadpisuser"/>
    <w:pPr/>
    <w:rPr/>
  </w:style>
  <w:style w:type="paragraph" w:styleId="TOCHeading">
    <w:name w:val="TOC Heading"/>
    <w:basedOn w:val="Heading1"/>
    <w:next w:val="Normal"/>
    <w:uiPriority w:val="99"/>
    <w:qFormat/>
    <w:rsid w:val="001c0b55"/>
    <w:pPr>
      <w:numPr>
        <w:ilvl w:val="0"/>
        <w:numId w:val="0"/>
      </w:numPr>
      <w:spacing w:lineRule="auto" w:line="276"/>
      <w:jc w:val="start"/>
      <w:outlineLvl w:val="9"/>
    </w:pPr>
    <w:rPr>
      <w:rFonts w:ascii="Cambria" w:hAnsi="Cambria" w:cs="Cambria"/>
      <w:color w:val="365F91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1c0b55"/>
    <w:pPr>
      <w:spacing w:before="0" w:after="100"/>
    </w:pPr>
    <w:rPr/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LibreOffice/25.8.6.1$Windows_X86_64 LibreOffice_project/85297ec6e49ec4e6faaa6f11880d49294fc70e60</Application>
  <AppVersion>15.0000</AppVersion>
  <Pages>10</Pages>
  <Words>1535</Words>
  <Characters>8679</Characters>
  <CharactersWithSpaces>10167</CharactersWithSpaces>
  <Paragraphs>306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2026-05-13T07:25:00Z</dcterms:created>
  <dc:creator>Obec Studená</dc:creator>
  <dc:description/>
  <dc:language>sk-SK</dc:language>
  <cp:lastModifiedBy/>
  <cp:lastPrinted>2014-06-13T06:14:00Z</cp:lastPrinted>
  <dcterms:modified xsi:type="dcterms:W3CDTF">2026-05-18T14:11:45Z</dcterms:modified>
  <cp:revision>16</cp:revision>
  <dc:subject/>
  <dc:title>VÝROČNÁ SPRÁVA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