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BBCC8E">
      <w:pPr>
        <w:jc w:val="center"/>
      </w:pPr>
    </w:p>
    <w:p w14:paraId="34D6DE39">
      <w:pPr>
        <w:jc w:val="center"/>
      </w:pPr>
    </w:p>
    <w:p w14:paraId="46C7900D">
      <w:pPr>
        <w:jc w:val="center"/>
      </w:pPr>
    </w:p>
    <w:p w14:paraId="318DB707">
      <w:pPr>
        <w:jc w:val="center"/>
      </w:pPr>
    </w:p>
    <w:p w14:paraId="0FD21B0C">
      <w:pPr>
        <w:jc w:val="center"/>
      </w:pPr>
      <w:bookmarkStart w:id="13" w:name="_GoBack"/>
      <w:bookmarkEnd w:id="13"/>
    </w:p>
    <w:p w14:paraId="5B2A40FD">
      <w:pPr>
        <w:jc w:val="center"/>
      </w:pPr>
    </w:p>
    <w:p w14:paraId="719AA1E8">
      <w:pPr>
        <w:jc w:val="center"/>
      </w:pPr>
    </w:p>
    <w:p w14:paraId="5199F97B">
      <w:pPr>
        <w:jc w:val="center"/>
      </w:pPr>
    </w:p>
    <w:p w14:paraId="7743870D">
      <w:pPr>
        <w:jc w:val="center"/>
      </w:pPr>
    </w:p>
    <w:p w14:paraId="6E22E7F1">
      <w:pPr>
        <w:jc w:val="center"/>
      </w:pPr>
    </w:p>
    <w:p w14:paraId="5439CF6B">
      <w:pPr>
        <w:jc w:val="center"/>
      </w:pPr>
    </w:p>
    <w:p w14:paraId="6B953891">
      <w:pPr>
        <w:jc w:val="center"/>
      </w:pPr>
    </w:p>
    <w:p w14:paraId="69277384">
      <w:pPr>
        <w:jc w:val="center"/>
      </w:pPr>
    </w:p>
    <w:p w14:paraId="63A3B5F5">
      <w:pPr>
        <w:jc w:val="center"/>
      </w:pPr>
    </w:p>
    <w:p w14:paraId="28FD8110">
      <w:pPr>
        <w:jc w:val="center"/>
      </w:pPr>
    </w:p>
    <w:p w14:paraId="1F8FB501">
      <w:pPr>
        <w:jc w:val="center"/>
      </w:pPr>
    </w:p>
    <w:p w14:paraId="5D94563A">
      <w:pPr>
        <w:jc w:val="center"/>
      </w:pPr>
    </w:p>
    <w:p w14:paraId="32D64455">
      <w:pPr>
        <w:jc w:val="center"/>
      </w:pPr>
    </w:p>
    <w:p w14:paraId="6666AEFB">
      <w:pPr>
        <w:jc w:val="center"/>
      </w:pPr>
    </w:p>
    <w:p w14:paraId="01D44BE4">
      <w:pPr>
        <w:jc w:val="center"/>
      </w:pPr>
    </w:p>
    <w:p w14:paraId="79D218EC">
      <w:pPr>
        <w:jc w:val="center"/>
        <w:rPr>
          <w:b/>
          <w:sz w:val="36"/>
          <w:szCs w:val="36"/>
        </w:rPr>
      </w:pPr>
    </w:p>
    <w:p w14:paraId="41295942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 xml:space="preserve">Výročná správa občianskeho združenia </w:t>
      </w:r>
      <w:r>
        <w:rPr>
          <w:sz w:val="36"/>
          <w:szCs w:val="36"/>
        </w:rPr>
        <w:t>Noble Martial Arts   o. z</w:t>
      </w:r>
      <w:r>
        <w:rPr>
          <w:sz w:val="22"/>
          <w:szCs w:val="22"/>
        </w:rPr>
        <w:t xml:space="preserve">. </w:t>
      </w:r>
      <w:r>
        <w:rPr>
          <w:rFonts w:ascii="Calibri" w:hAnsi="Calibri"/>
          <w:b/>
          <w:sz w:val="36"/>
          <w:szCs w:val="36"/>
        </w:rPr>
        <w:t xml:space="preserve"> za rok </w:t>
      </w:r>
      <w:r>
        <w:rPr>
          <w:sz w:val="32"/>
          <w:szCs w:val="32"/>
        </w:rPr>
        <w:t>2025</w:t>
      </w:r>
    </w:p>
    <w:p w14:paraId="758EC924">
      <w:pPr>
        <w:jc w:val="center"/>
        <w:rPr>
          <w:rFonts w:ascii="Calibri" w:hAnsi="Calibri"/>
          <w:sz w:val="32"/>
          <w:szCs w:val="32"/>
        </w:rPr>
      </w:pPr>
    </w:p>
    <w:p w14:paraId="5306AE84">
      <w:pPr>
        <w:jc w:val="center"/>
        <w:rPr>
          <w:rFonts w:ascii="Calibri" w:hAnsi="Calibri"/>
          <w:sz w:val="32"/>
          <w:szCs w:val="32"/>
        </w:rPr>
      </w:pPr>
    </w:p>
    <w:p w14:paraId="40F2CBFB">
      <w:pPr>
        <w:jc w:val="center"/>
        <w:rPr>
          <w:rFonts w:ascii="Calibri" w:hAnsi="Calibri"/>
          <w:sz w:val="32"/>
          <w:szCs w:val="32"/>
        </w:rPr>
      </w:pPr>
    </w:p>
    <w:p w14:paraId="2F7D6B88">
      <w:pPr>
        <w:jc w:val="center"/>
        <w:rPr>
          <w:rFonts w:ascii="Calibri" w:hAnsi="Calibri"/>
          <w:sz w:val="32"/>
          <w:szCs w:val="32"/>
        </w:rPr>
      </w:pPr>
    </w:p>
    <w:p w14:paraId="11949D0D">
      <w:pPr>
        <w:jc w:val="center"/>
        <w:rPr>
          <w:rFonts w:ascii="Calibri" w:hAnsi="Calibri"/>
          <w:sz w:val="32"/>
          <w:szCs w:val="32"/>
        </w:rPr>
      </w:pPr>
    </w:p>
    <w:p w14:paraId="23613D0D">
      <w:pPr>
        <w:jc w:val="center"/>
        <w:rPr>
          <w:rFonts w:ascii="Calibri" w:hAnsi="Calibri"/>
          <w:sz w:val="32"/>
          <w:szCs w:val="32"/>
        </w:rPr>
      </w:pPr>
    </w:p>
    <w:p w14:paraId="43A919BD">
      <w:pPr>
        <w:jc w:val="center"/>
        <w:rPr>
          <w:rFonts w:ascii="Calibri" w:hAnsi="Calibri"/>
          <w:sz w:val="32"/>
          <w:szCs w:val="32"/>
        </w:rPr>
      </w:pPr>
    </w:p>
    <w:p w14:paraId="17FB20CA">
      <w:pPr>
        <w:jc w:val="center"/>
        <w:rPr>
          <w:rFonts w:ascii="Calibri" w:hAnsi="Calibri"/>
          <w:sz w:val="32"/>
          <w:szCs w:val="32"/>
        </w:rPr>
      </w:pPr>
    </w:p>
    <w:p w14:paraId="5D73FC66">
      <w:pPr>
        <w:jc w:val="center"/>
        <w:rPr>
          <w:rFonts w:ascii="Calibri" w:hAnsi="Calibri"/>
          <w:sz w:val="32"/>
          <w:szCs w:val="32"/>
        </w:rPr>
      </w:pPr>
    </w:p>
    <w:p w14:paraId="3560EEDA">
      <w:pPr>
        <w:jc w:val="center"/>
        <w:rPr>
          <w:rFonts w:ascii="Calibri" w:hAnsi="Calibri"/>
          <w:sz w:val="32"/>
          <w:szCs w:val="32"/>
        </w:rPr>
      </w:pPr>
    </w:p>
    <w:p w14:paraId="4AB0186A">
      <w:pPr>
        <w:jc w:val="center"/>
        <w:rPr>
          <w:rFonts w:ascii="Calibri" w:hAnsi="Calibri"/>
          <w:sz w:val="32"/>
          <w:szCs w:val="32"/>
        </w:rPr>
      </w:pPr>
    </w:p>
    <w:p w14:paraId="2883B048">
      <w:pPr>
        <w:jc w:val="center"/>
        <w:rPr>
          <w:rFonts w:ascii="Calibri" w:hAnsi="Calibri"/>
          <w:sz w:val="32"/>
          <w:szCs w:val="32"/>
        </w:rPr>
      </w:pPr>
    </w:p>
    <w:p w14:paraId="7C8187B3">
      <w:pPr>
        <w:jc w:val="center"/>
        <w:rPr>
          <w:rFonts w:ascii="Calibri" w:hAnsi="Calibri"/>
          <w:sz w:val="32"/>
          <w:szCs w:val="32"/>
        </w:rPr>
      </w:pPr>
    </w:p>
    <w:p w14:paraId="1B6FFF19">
      <w:pPr>
        <w:jc w:val="center"/>
        <w:rPr>
          <w:rFonts w:ascii="Calibri" w:hAnsi="Calibri"/>
          <w:sz w:val="32"/>
          <w:szCs w:val="32"/>
        </w:rPr>
      </w:pPr>
    </w:p>
    <w:p w14:paraId="61C31122">
      <w:pPr>
        <w:jc w:val="center"/>
        <w:rPr>
          <w:rFonts w:ascii="Calibri" w:hAnsi="Calibri"/>
          <w:sz w:val="32"/>
          <w:szCs w:val="32"/>
        </w:rPr>
      </w:pPr>
    </w:p>
    <w:p w14:paraId="1B056120">
      <w:pPr>
        <w:jc w:val="center"/>
        <w:rPr>
          <w:rFonts w:ascii="Calibri" w:hAnsi="Calibri"/>
          <w:sz w:val="32"/>
          <w:szCs w:val="32"/>
        </w:rPr>
      </w:pPr>
    </w:p>
    <w:p w14:paraId="5CADCE35">
      <w:pPr>
        <w:jc w:val="center"/>
        <w:rPr>
          <w:rFonts w:ascii="Calibri" w:hAnsi="Calibri"/>
          <w:sz w:val="32"/>
          <w:szCs w:val="32"/>
        </w:rPr>
      </w:pPr>
    </w:p>
    <w:p w14:paraId="591CE0A7">
      <w:pPr>
        <w:rPr>
          <w:sz w:val="32"/>
          <w:szCs w:val="32"/>
        </w:rPr>
      </w:pPr>
      <w:r>
        <w:rPr>
          <w:rFonts w:ascii="Calibri" w:hAnsi="Calibri"/>
          <w:sz w:val="32"/>
          <w:szCs w:val="32"/>
        </w:rPr>
        <w:t xml:space="preserve">V </w:t>
      </w:r>
      <w:r>
        <w:rPr>
          <w:sz w:val="32"/>
          <w:szCs w:val="32"/>
        </w:rPr>
        <w:t>Prešove, 18.05.2026</w:t>
      </w:r>
    </w:p>
    <w:p w14:paraId="7FEA78FD">
      <w:pPr>
        <w:jc w:val="both"/>
        <w:rPr>
          <w:rFonts w:ascii="Calibri" w:hAnsi="Calibri"/>
          <w:sz w:val="32"/>
          <w:szCs w:val="32"/>
        </w:rPr>
      </w:pPr>
    </w:p>
    <w:p w14:paraId="49C208A8">
      <w:pPr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t>OBSAH:</w:t>
      </w:r>
    </w:p>
    <w:p w14:paraId="0E259795">
      <w:pPr>
        <w:jc w:val="both"/>
        <w:rPr>
          <w:rFonts w:ascii="Calibri" w:hAnsi="Calibri"/>
          <w:sz w:val="28"/>
          <w:szCs w:val="28"/>
        </w:rPr>
      </w:pPr>
    </w:p>
    <w:p w14:paraId="3482406F">
      <w:pPr>
        <w:pStyle w:val="14"/>
        <w:tabs>
          <w:tab w:val="right" w:leader="dot" w:pos="9062"/>
        </w:tabs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TOC \o "1-3" \h \z \u </w:instrText>
      </w:r>
      <w:r>
        <w:rPr>
          <w:rFonts w:ascii="Calibri" w:hAnsi="Calibri"/>
          <w:sz w:val="28"/>
          <w:szCs w:val="28"/>
        </w:rPr>
        <w:fldChar w:fldCharType="separate"/>
      </w:r>
      <w:r>
        <w:fldChar w:fldCharType="begin"/>
      </w:r>
      <w:r>
        <w:instrText xml:space="preserve"> HYPERLINK \l "_Toc276040636" </w:instrText>
      </w:r>
      <w:r>
        <w:fldChar w:fldCharType="separate"/>
      </w:r>
      <w:r>
        <w:rPr>
          <w:rStyle w:val="11"/>
          <w:rFonts w:ascii="Calibri" w:hAnsi="Calibri"/>
          <w:caps/>
          <w:sz w:val="28"/>
          <w:szCs w:val="28"/>
        </w:rPr>
        <w:t>1.  ÚVOD</w:t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PAGEREF _Toc276040636 \h </w:instrText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t>3</w:t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fldChar w:fldCharType="end"/>
      </w:r>
    </w:p>
    <w:p w14:paraId="25FB6855">
      <w:pPr>
        <w:pStyle w:val="14"/>
        <w:tabs>
          <w:tab w:val="right" w:leader="dot" w:pos="9062"/>
        </w:tabs>
        <w:rPr>
          <w:rFonts w:ascii="Calibri" w:hAnsi="Calibri"/>
          <w:sz w:val="28"/>
          <w:szCs w:val="28"/>
        </w:rPr>
      </w:pPr>
      <w:r>
        <w:fldChar w:fldCharType="begin"/>
      </w:r>
      <w:r>
        <w:instrText xml:space="preserve"> HYPERLINK \l "_Toc276040637" </w:instrText>
      </w:r>
      <w:r>
        <w:fldChar w:fldCharType="separate"/>
      </w:r>
      <w:r>
        <w:rPr>
          <w:rStyle w:val="11"/>
          <w:rFonts w:ascii="Calibri" w:hAnsi="Calibri"/>
          <w:bCs/>
          <w:caps/>
          <w:sz w:val="28"/>
          <w:szCs w:val="28"/>
        </w:rPr>
        <w:t>2. Prehľad činností uskutočnených organizáciou za rok 2025</w:t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PAGEREF _Toc276040637 \h </w:instrText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t>3</w:t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fldChar w:fldCharType="end"/>
      </w:r>
    </w:p>
    <w:p w14:paraId="69CEC6F2">
      <w:pPr>
        <w:pStyle w:val="14"/>
        <w:tabs>
          <w:tab w:val="right" w:leader="dot" w:pos="9062"/>
        </w:tabs>
        <w:rPr>
          <w:rFonts w:ascii="Calibri" w:hAnsi="Calibri"/>
          <w:sz w:val="28"/>
          <w:szCs w:val="28"/>
        </w:rPr>
      </w:pPr>
      <w:r>
        <w:fldChar w:fldCharType="begin"/>
      </w:r>
      <w:r>
        <w:instrText xml:space="preserve"> HYPERLINK \l "_Toc276040638" </w:instrText>
      </w:r>
      <w:r>
        <w:fldChar w:fldCharType="separate"/>
      </w:r>
      <w:r>
        <w:rPr>
          <w:rStyle w:val="11"/>
          <w:rFonts w:ascii="Calibri" w:hAnsi="Calibri"/>
          <w:bCs/>
          <w:caps/>
          <w:sz w:val="28"/>
          <w:szCs w:val="28"/>
        </w:rPr>
        <w:t>3. Ročná účtovná závierka a zhodnotenie základných údajov v nej   obsiahnutých</w:t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PAGEREF _Toc276040638 \h </w:instrText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t>3</w:t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fldChar w:fldCharType="end"/>
      </w:r>
    </w:p>
    <w:p w14:paraId="404DDA2B">
      <w:pPr>
        <w:pStyle w:val="14"/>
        <w:tabs>
          <w:tab w:val="right" w:leader="dot" w:pos="9062"/>
        </w:tabs>
        <w:rPr>
          <w:rFonts w:ascii="Calibri" w:hAnsi="Calibri"/>
          <w:sz w:val="28"/>
          <w:szCs w:val="28"/>
        </w:rPr>
      </w:pPr>
      <w:r>
        <w:fldChar w:fldCharType="begin"/>
      </w:r>
      <w:r>
        <w:instrText xml:space="preserve"> HYPERLINK \l "_Toc276040640" </w:instrText>
      </w:r>
      <w:r>
        <w:fldChar w:fldCharType="separate"/>
      </w:r>
      <w:r>
        <w:rPr>
          <w:rStyle w:val="11"/>
          <w:rFonts w:ascii="Calibri" w:hAnsi="Calibri"/>
          <w:bCs/>
          <w:caps/>
          <w:sz w:val="28"/>
          <w:szCs w:val="28"/>
        </w:rPr>
        <w:t>4. Prehľad o peňažných príjmoch a výdavkov</w:t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PAGEREF _Toc276040640 \h </w:instrText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t>4</w:t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fldChar w:fldCharType="end"/>
      </w:r>
    </w:p>
    <w:p w14:paraId="6BCE0250">
      <w:pPr>
        <w:pStyle w:val="14"/>
        <w:tabs>
          <w:tab w:val="right" w:leader="dot" w:pos="9062"/>
        </w:tabs>
        <w:rPr>
          <w:rFonts w:ascii="Calibri" w:hAnsi="Calibri"/>
          <w:sz w:val="28"/>
          <w:szCs w:val="28"/>
        </w:rPr>
      </w:pPr>
      <w:r>
        <w:fldChar w:fldCharType="begin"/>
      </w:r>
      <w:r>
        <w:instrText xml:space="preserve"> HYPERLINK \l "_Toc276040641" </w:instrText>
      </w:r>
      <w:r>
        <w:fldChar w:fldCharType="separate"/>
      </w:r>
      <w:r>
        <w:rPr>
          <w:rStyle w:val="11"/>
          <w:rFonts w:ascii="Calibri" w:hAnsi="Calibri"/>
          <w:bCs/>
          <w:caps/>
          <w:sz w:val="28"/>
          <w:szCs w:val="28"/>
        </w:rPr>
        <w:t>5. Stav a pohyb majetku a záväzkov organizácie</w:t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PAGEREF _Toc276040641 \h </w:instrText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t>4</w:t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fldChar w:fldCharType="end"/>
      </w:r>
    </w:p>
    <w:p w14:paraId="18859DA1">
      <w:pPr>
        <w:pStyle w:val="14"/>
        <w:tabs>
          <w:tab w:val="right" w:leader="dot" w:pos="9062"/>
        </w:tabs>
        <w:rPr>
          <w:rFonts w:ascii="Calibri" w:hAnsi="Calibri"/>
          <w:sz w:val="28"/>
          <w:szCs w:val="28"/>
        </w:rPr>
      </w:pPr>
      <w:r>
        <w:fldChar w:fldCharType="begin"/>
      </w:r>
      <w:r>
        <w:instrText xml:space="preserve"> HYPERLINK \l "_Toc276040642" </w:instrText>
      </w:r>
      <w:r>
        <w:fldChar w:fldCharType="separate"/>
      </w:r>
      <w:r>
        <w:rPr>
          <w:rStyle w:val="11"/>
          <w:rFonts w:ascii="Calibri" w:hAnsi="Calibri"/>
          <w:bCs/>
          <w:caps/>
          <w:sz w:val="28"/>
          <w:szCs w:val="28"/>
        </w:rPr>
        <w:t>6. Zmeny a nové zloženie organizácie</w:t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PAGEREF _Toc276040642 \h </w:instrText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t>4</w:t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fldChar w:fldCharType="end"/>
      </w:r>
    </w:p>
    <w:p w14:paraId="40174D89">
      <w:pPr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28"/>
          <w:szCs w:val="28"/>
        </w:rPr>
        <w:fldChar w:fldCharType="end"/>
      </w:r>
    </w:p>
    <w:p w14:paraId="2F9319EB">
      <w:pPr>
        <w:jc w:val="both"/>
        <w:rPr>
          <w:rFonts w:ascii="Calibri" w:hAnsi="Calibri"/>
          <w:sz w:val="32"/>
          <w:szCs w:val="32"/>
        </w:rPr>
      </w:pPr>
    </w:p>
    <w:p w14:paraId="14F4E9E5">
      <w:pPr>
        <w:jc w:val="both"/>
        <w:rPr>
          <w:rFonts w:ascii="Calibri" w:hAnsi="Calibri"/>
          <w:sz w:val="32"/>
          <w:szCs w:val="32"/>
        </w:rPr>
      </w:pPr>
    </w:p>
    <w:p w14:paraId="10C6C335">
      <w:pPr>
        <w:jc w:val="both"/>
        <w:rPr>
          <w:rFonts w:ascii="Calibri" w:hAnsi="Calibri"/>
          <w:sz w:val="32"/>
          <w:szCs w:val="32"/>
        </w:rPr>
      </w:pPr>
    </w:p>
    <w:p w14:paraId="1FE16E34">
      <w:pPr>
        <w:jc w:val="both"/>
        <w:rPr>
          <w:rFonts w:ascii="Calibri" w:hAnsi="Calibri"/>
          <w:sz w:val="32"/>
          <w:szCs w:val="32"/>
        </w:rPr>
      </w:pPr>
    </w:p>
    <w:p w14:paraId="5E6DDC9F">
      <w:pPr>
        <w:jc w:val="both"/>
        <w:rPr>
          <w:rFonts w:ascii="Calibri" w:hAnsi="Calibri"/>
          <w:sz w:val="32"/>
          <w:szCs w:val="32"/>
        </w:rPr>
      </w:pPr>
    </w:p>
    <w:p w14:paraId="69543E7A">
      <w:pPr>
        <w:jc w:val="both"/>
        <w:rPr>
          <w:rFonts w:ascii="Calibri" w:hAnsi="Calibri"/>
          <w:sz w:val="32"/>
          <w:szCs w:val="32"/>
        </w:rPr>
      </w:pPr>
    </w:p>
    <w:p w14:paraId="71EE402D">
      <w:pPr>
        <w:jc w:val="both"/>
        <w:rPr>
          <w:rFonts w:ascii="Calibri" w:hAnsi="Calibri"/>
          <w:sz w:val="32"/>
          <w:szCs w:val="32"/>
        </w:rPr>
      </w:pPr>
    </w:p>
    <w:p w14:paraId="0B733B89">
      <w:pPr>
        <w:jc w:val="both"/>
        <w:rPr>
          <w:rFonts w:ascii="Calibri" w:hAnsi="Calibri"/>
          <w:sz w:val="32"/>
          <w:szCs w:val="32"/>
        </w:rPr>
      </w:pPr>
    </w:p>
    <w:p w14:paraId="0A6FF004">
      <w:pPr>
        <w:jc w:val="both"/>
        <w:rPr>
          <w:rFonts w:ascii="Calibri" w:hAnsi="Calibri"/>
          <w:sz w:val="32"/>
          <w:szCs w:val="32"/>
        </w:rPr>
      </w:pPr>
    </w:p>
    <w:p w14:paraId="4E1DEB13">
      <w:pPr>
        <w:jc w:val="both"/>
        <w:rPr>
          <w:rFonts w:ascii="Calibri" w:hAnsi="Calibri"/>
          <w:sz w:val="32"/>
          <w:szCs w:val="32"/>
        </w:rPr>
      </w:pPr>
    </w:p>
    <w:p w14:paraId="29D12EF3">
      <w:pPr>
        <w:jc w:val="both"/>
        <w:rPr>
          <w:rFonts w:ascii="Calibri" w:hAnsi="Calibri"/>
          <w:sz w:val="32"/>
          <w:szCs w:val="32"/>
        </w:rPr>
      </w:pPr>
    </w:p>
    <w:p w14:paraId="5ACC87C5">
      <w:pPr>
        <w:jc w:val="both"/>
        <w:rPr>
          <w:rFonts w:ascii="Calibri" w:hAnsi="Calibri"/>
          <w:sz w:val="32"/>
          <w:szCs w:val="32"/>
        </w:rPr>
      </w:pPr>
    </w:p>
    <w:p w14:paraId="56566005">
      <w:pPr>
        <w:jc w:val="both"/>
        <w:rPr>
          <w:rFonts w:ascii="Calibri" w:hAnsi="Calibri"/>
          <w:sz w:val="32"/>
          <w:szCs w:val="32"/>
        </w:rPr>
      </w:pPr>
    </w:p>
    <w:p w14:paraId="59876602">
      <w:pPr>
        <w:jc w:val="both"/>
        <w:rPr>
          <w:rFonts w:ascii="Calibri" w:hAnsi="Calibri"/>
          <w:sz w:val="32"/>
          <w:szCs w:val="32"/>
        </w:rPr>
      </w:pPr>
    </w:p>
    <w:p w14:paraId="45E2F8DA">
      <w:pPr>
        <w:jc w:val="both"/>
        <w:rPr>
          <w:rFonts w:ascii="Calibri" w:hAnsi="Calibri"/>
          <w:sz w:val="32"/>
          <w:szCs w:val="32"/>
        </w:rPr>
      </w:pPr>
    </w:p>
    <w:p w14:paraId="1A6E3CD7">
      <w:pPr>
        <w:jc w:val="both"/>
        <w:rPr>
          <w:rFonts w:ascii="Calibri" w:hAnsi="Calibri"/>
          <w:sz w:val="32"/>
          <w:szCs w:val="32"/>
        </w:rPr>
      </w:pPr>
    </w:p>
    <w:p w14:paraId="3637E8EC">
      <w:pPr>
        <w:jc w:val="both"/>
        <w:rPr>
          <w:rFonts w:ascii="Calibri" w:hAnsi="Calibri"/>
          <w:sz w:val="32"/>
          <w:szCs w:val="32"/>
        </w:rPr>
      </w:pPr>
    </w:p>
    <w:p w14:paraId="768FFC16">
      <w:pPr>
        <w:jc w:val="both"/>
        <w:rPr>
          <w:rFonts w:ascii="Calibri" w:hAnsi="Calibri"/>
          <w:sz w:val="32"/>
          <w:szCs w:val="32"/>
        </w:rPr>
      </w:pPr>
    </w:p>
    <w:p w14:paraId="54FA7559">
      <w:pPr>
        <w:jc w:val="both"/>
        <w:rPr>
          <w:rFonts w:ascii="Calibri" w:hAnsi="Calibri"/>
          <w:sz w:val="32"/>
          <w:szCs w:val="32"/>
        </w:rPr>
      </w:pPr>
    </w:p>
    <w:p w14:paraId="00181B9D">
      <w:pPr>
        <w:jc w:val="both"/>
        <w:rPr>
          <w:rFonts w:ascii="Calibri" w:hAnsi="Calibri"/>
          <w:sz w:val="32"/>
          <w:szCs w:val="32"/>
        </w:rPr>
      </w:pPr>
    </w:p>
    <w:p w14:paraId="663F38E9">
      <w:pPr>
        <w:jc w:val="both"/>
        <w:rPr>
          <w:rFonts w:ascii="Calibri" w:hAnsi="Calibri"/>
          <w:sz w:val="32"/>
          <w:szCs w:val="32"/>
        </w:rPr>
      </w:pPr>
    </w:p>
    <w:p w14:paraId="42F545BD">
      <w:pPr>
        <w:jc w:val="both"/>
        <w:rPr>
          <w:rFonts w:ascii="Calibri" w:hAnsi="Calibri"/>
          <w:sz w:val="32"/>
          <w:szCs w:val="32"/>
        </w:rPr>
      </w:pPr>
    </w:p>
    <w:p w14:paraId="32FC4A1D">
      <w:pPr>
        <w:jc w:val="both"/>
        <w:rPr>
          <w:rFonts w:ascii="Calibri" w:hAnsi="Calibri"/>
          <w:sz w:val="32"/>
          <w:szCs w:val="32"/>
        </w:rPr>
      </w:pPr>
    </w:p>
    <w:p w14:paraId="0B5A985B">
      <w:pPr>
        <w:jc w:val="both"/>
        <w:rPr>
          <w:rFonts w:ascii="Calibri" w:hAnsi="Calibri"/>
          <w:sz w:val="32"/>
          <w:szCs w:val="32"/>
        </w:rPr>
      </w:pPr>
    </w:p>
    <w:p w14:paraId="09C15A1B">
      <w:pPr>
        <w:pStyle w:val="2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/>
          <w:caps/>
          <w:sz w:val="32"/>
          <w:szCs w:val="32"/>
        </w:rPr>
        <w:t xml:space="preserve">1.  </w:t>
      </w:r>
      <w:bookmarkStart w:id="2" w:name="_Toc276040533"/>
      <w:r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14:paraId="130CAA9A">
      <w:pPr>
        <w:ind w:left="360"/>
        <w:jc w:val="both"/>
        <w:rPr>
          <w:rFonts w:ascii="Calibri" w:hAnsi="Calibri"/>
          <w:sz w:val="32"/>
          <w:szCs w:val="32"/>
        </w:rPr>
      </w:pPr>
    </w:p>
    <w:p w14:paraId="02F4B373">
      <w:pPr>
        <w:ind w:left="360"/>
        <w:jc w:val="both"/>
        <w:rPr>
          <w:rFonts w:ascii="Calibri" w:hAnsi="Calibri"/>
          <w:sz w:val="32"/>
          <w:szCs w:val="32"/>
        </w:rPr>
      </w:pPr>
    </w:p>
    <w:p w14:paraId="5FEFCB3D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Občianske združenie Noble Martial Arts o. z. so sídlom: Prešov, ul. Čerešňová 11979/1A  IČO: 55904866 vznikla dňa 27/11/2023 na základe rozhodnutia Okresného úradu v Prešove.</w:t>
      </w:r>
    </w:p>
    <w:p w14:paraId="4117F0B4">
      <w:pPr>
        <w:ind w:left="360"/>
        <w:jc w:val="both"/>
        <w:rPr>
          <w:sz w:val="22"/>
          <w:szCs w:val="22"/>
        </w:rPr>
      </w:pPr>
    </w:p>
    <w:p w14:paraId="54DED9BB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Občianske združenie Noble Martial Arts o. z.  poskytuje služby: </w:t>
      </w:r>
    </w:p>
    <w:p w14:paraId="0F623283">
      <w:pPr>
        <w:pStyle w:val="18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Športová reprezentácia klubu; </w:t>
      </w:r>
    </w:p>
    <w:p w14:paraId="6D6F3D03">
      <w:pPr>
        <w:pStyle w:val="18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Organizovanie tréningov, súťaží  a školení  o bojových športoch najmä na území SR </w:t>
      </w:r>
    </w:p>
    <w:p w14:paraId="77602CF8">
      <w:pPr>
        <w:pStyle w:val="18"/>
        <w:rPr>
          <w:sz w:val="22"/>
          <w:szCs w:val="22"/>
        </w:rPr>
      </w:pPr>
    </w:p>
    <w:p w14:paraId="066201EE">
      <w:pPr>
        <w:pStyle w:val="18"/>
        <w:rPr>
          <w:sz w:val="22"/>
          <w:szCs w:val="22"/>
        </w:rPr>
      </w:pPr>
    </w:p>
    <w:p w14:paraId="6D54476D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Orgánmi neziskovej organizácie sú: </w:t>
      </w:r>
    </w:p>
    <w:p w14:paraId="6B4EB00E">
      <w:pPr>
        <w:pStyle w:val="18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Členská schôdza ; </w:t>
      </w:r>
    </w:p>
    <w:p w14:paraId="2D4CA418">
      <w:pPr>
        <w:pStyle w:val="18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Predseda združenia; </w:t>
      </w:r>
    </w:p>
    <w:p w14:paraId="63292B74">
      <w:pPr>
        <w:pStyle w:val="18"/>
        <w:rPr>
          <w:sz w:val="22"/>
          <w:szCs w:val="22"/>
        </w:rPr>
      </w:pPr>
    </w:p>
    <w:p w14:paraId="3976BDB7">
      <w:pPr>
        <w:ind w:left="360"/>
        <w:jc w:val="both"/>
        <w:rPr>
          <w:rFonts w:ascii="Calibri" w:hAnsi="Calibri"/>
          <w:sz w:val="32"/>
          <w:szCs w:val="32"/>
        </w:rPr>
      </w:pPr>
    </w:p>
    <w:p w14:paraId="705BEFA4">
      <w:pPr>
        <w:pStyle w:val="2"/>
        <w:rPr>
          <w:rFonts w:ascii="Calibri" w:hAnsi="Calibri"/>
          <w:b/>
          <w:bCs/>
          <w:caps/>
          <w:sz w:val="32"/>
        </w:rPr>
      </w:pPr>
      <w:bookmarkStart w:id="3" w:name="_Toc276040637"/>
      <w:bookmarkStart w:id="4" w:name="_Toc276040534"/>
      <w:r>
        <w:rPr>
          <w:rFonts w:ascii="Calibri" w:hAnsi="Calibri"/>
          <w:b/>
          <w:bCs/>
          <w:caps/>
          <w:sz w:val="32"/>
        </w:rPr>
        <w:t>2. Prehľad činností uskutočnených organizáciou za rok 20</w:t>
      </w:r>
      <w:bookmarkEnd w:id="3"/>
      <w:bookmarkEnd w:id="4"/>
      <w:r>
        <w:rPr>
          <w:rFonts w:ascii="Calibri" w:hAnsi="Calibri"/>
          <w:b/>
          <w:bCs/>
          <w:caps/>
          <w:sz w:val="32"/>
        </w:rPr>
        <w:t>25</w:t>
      </w:r>
    </w:p>
    <w:p w14:paraId="3C42ECE0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0966E9BD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Počas roka 2025 Občianske združenie Noble Martial Arts o. z. realizovalo / zabezpečovalo nasledovné činnosti  </w:t>
      </w:r>
      <w:r>
        <w:rPr>
          <w:i/>
          <w:iCs/>
          <w:sz w:val="22"/>
          <w:szCs w:val="22"/>
        </w:rPr>
        <w:t>(zoznam činností spolu so stručným popisom)</w:t>
      </w:r>
      <w:r>
        <w:rPr>
          <w:sz w:val="22"/>
          <w:szCs w:val="22"/>
        </w:rPr>
        <w:t xml:space="preserve">: </w:t>
      </w:r>
    </w:p>
    <w:p w14:paraId="45A17B16">
      <w:pPr>
        <w:pStyle w:val="18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a,   organizovanie tréningov, súťaží najmä v bojových športoch / taekwondo a iné/ na území SR   </w:t>
      </w:r>
    </w:p>
    <w:p w14:paraId="5EC31805">
      <w:pPr>
        <w:pStyle w:val="18"/>
        <w:rPr>
          <w:sz w:val="22"/>
          <w:szCs w:val="22"/>
        </w:rPr>
      </w:pPr>
      <w:r>
        <w:rPr>
          <w:sz w:val="22"/>
          <w:szCs w:val="22"/>
        </w:rPr>
        <w:t>b,  rozvoj bojových športov na území SR</w:t>
      </w:r>
    </w:p>
    <w:p w14:paraId="085973DC">
      <w:pPr>
        <w:pStyle w:val="18"/>
        <w:rPr>
          <w:sz w:val="22"/>
          <w:szCs w:val="22"/>
        </w:rPr>
      </w:pPr>
    </w:p>
    <w:p w14:paraId="22229E37">
      <w:pPr>
        <w:ind w:left="360"/>
        <w:jc w:val="both"/>
        <w:rPr>
          <w:rFonts w:ascii="Calibri" w:hAnsi="Calibri"/>
          <w:sz w:val="22"/>
          <w:szCs w:val="22"/>
        </w:rPr>
      </w:pPr>
    </w:p>
    <w:p w14:paraId="4FB99C34">
      <w:pPr>
        <w:pStyle w:val="2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t>3. Ročná účtovná závierka a zhodnotenie základných údajov v nej obsiahnutých</w:t>
      </w:r>
      <w:bookmarkEnd w:id="5"/>
    </w:p>
    <w:p w14:paraId="16EE91AA">
      <w:pPr>
        <w:jc w:val="both"/>
        <w:rPr>
          <w:rFonts w:ascii="Calibri" w:hAnsi="Calibri"/>
          <w:caps/>
          <w:sz w:val="32"/>
          <w:szCs w:val="32"/>
        </w:rPr>
      </w:pPr>
    </w:p>
    <w:p w14:paraId="0FFE6D25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V súlade s § 4 ods. 2 zákona č. 431/2002 Z. z. o účtovníctve v platnom znení Noble Martial Arts o. z.  účtuje v sústave podvojného účtovníctva. </w:t>
      </w:r>
    </w:p>
    <w:p w14:paraId="2815BBA6">
      <w:pPr>
        <w:pStyle w:val="18"/>
        <w:rPr>
          <w:sz w:val="22"/>
          <w:szCs w:val="22"/>
        </w:rPr>
      </w:pPr>
    </w:p>
    <w:p w14:paraId="3FC22DD9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Účtovná závierka je výsledným produktom účtovnej uzávierky. Príprava a zostavenie účtovnej závierky sa skladá z 3 etáp : </w:t>
      </w:r>
    </w:p>
    <w:p w14:paraId="684B15EE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1etapa: prípravné práce – sem patrí zúčtovanie všetkých účtovných prípadov za daný rok, vykonanie inventarizácie majetku a záväzkov a zaúčtovanie uzávierkových účtovných operácií </w:t>
      </w:r>
    </w:p>
    <w:p w14:paraId="4C5661D4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2 etapa: uzatvorenie účtovných kníh t.j. účtovná uzávierka </w:t>
      </w:r>
    </w:p>
    <w:p w14:paraId="6616B3DD">
      <w:pPr>
        <w:pStyle w:val="18"/>
        <w:rPr>
          <w:sz w:val="22"/>
          <w:szCs w:val="22"/>
        </w:rPr>
      </w:pPr>
      <w:r>
        <w:rPr>
          <w:sz w:val="22"/>
          <w:szCs w:val="22"/>
        </w:rPr>
        <w:t xml:space="preserve">3 etapa: zostavenie účtovných výkazov t.j. účtovná závierka </w:t>
      </w:r>
    </w:p>
    <w:p w14:paraId="1CF5E5A8">
      <w:pPr>
        <w:pStyle w:val="18"/>
        <w:rPr>
          <w:sz w:val="22"/>
          <w:szCs w:val="22"/>
        </w:rPr>
      </w:pPr>
    </w:p>
    <w:p w14:paraId="7338FA2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sz w:val="22"/>
          <w:szCs w:val="22"/>
        </w:rPr>
        <w:t>Účtovná uzávierka predstavuje sústavu výstupných informácií z bežného účtovníctva. Na základe účtovnej závierky Noble Martial Arts o. z.  zostavuje Daňové priznanie k dani z príjmov PO.</w:t>
      </w:r>
    </w:p>
    <w:p w14:paraId="2D8D8DB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</w:t>
      </w:r>
    </w:p>
    <w:p w14:paraId="518849AF">
      <w:pPr>
        <w:ind w:left="360"/>
        <w:jc w:val="both"/>
        <w:rPr>
          <w:rFonts w:ascii="Calibri" w:hAnsi="Calibri"/>
          <w:sz w:val="22"/>
          <w:szCs w:val="22"/>
        </w:rPr>
      </w:pPr>
    </w:p>
    <w:p w14:paraId="38ACB7EE">
      <w:pPr>
        <w:pStyle w:val="2"/>
        <w:rPr>
          <w:rFonts w:ascii="Calibri" w:hAnsi="Calibri"/>
          <w:b/>
          <w:bCs/>
          <w:caps/>
          <w:sz w:val="32"/>
        </w:rPr>
      </w:pPr>
      <w:r>
        <w:rPr>
          <w:rFonts w:ascii="Calibri" w:hAnsi="Calibri"/>
          <w:sz w:val="22"/>
          <w:szCs w:val="22"/>
          <w:u w:val="none"/>
        </w:rPr>
        <w:t>Účtovná závierka za rok 2025  bola schválená dňa 30.3.2026</w:t>
      </w:r>
    </w:p>
    <w:p w14:paraId="11D35001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1EAF659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2F1F054F">
      <w:pPr>
        <w:ind w:left="360"/>
        <w:jc w:val="both"/>
        <w:rPr>
          <w:rFonts w:ascii="Calibri" w:hAnsi="Calibri"/>
          <w:sz w:val="22"/>
          <w:szCs w:val="22"/>
        </w:rPr>
      </w:pPr>
    </w:p>
    <w:p w14:paraId="323B83AD">
      <w:pPr>
        <w:pStyle w:val="2"/>
        <w:rPr>
          <w:rFonts w:ascii="Calibri" w:hAnsi="Calibri"/>
          <w:b/>
          <w:bCs/>
          <w:caps/>
          <w:sz w:val="32"/>
        </w:rPr>
      </w:pPr>
      <w:bookmarkStart w:id="6" w:name="_Toc276040640"/>
      <w:r>
        <w:rPr>
          <w:rFonts w:ascii="Calibri" w:hAnsi="Calibri"/>
          <w:b/>
          <w:bCs/>
          <w:caps/>
          <w:sz w:val="32"/>
        </w:rPr>
        <w:t>4. Prehľad o peňažných príjmoch a výdavkov</w:t>
      </w:r>
      <w:bookmarkEnd w:id="6"/>
    </w:p>
    <w:p w14:paraId="0F11059F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Style w:val="5"/>
        <w:tblW w:w="0" w:type="auto"/>
        <w:tblInd w:w="4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2303"/>
        <w:gridCol w:w="2303"/>
        <w:gridCol w:w="2303"/>
      </w:tblGrid>
      <w:tr w14:paraId="5B2B4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835" w:type="dxa"/>
            <w:shd w:val="clear" w:color="auto" w:fill="auto"/>
          </w:tcPr>
          <w:p w14:paraId="4F1F690A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14:paraId="4102F40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14:paraId="214573B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14:paraId="6E7CC27E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31.12.2025</w:t>
            </w:r>
          </w:p>
        </w:tc>
      </w:tr>
      <w:tr w14:paraId="15A7D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835" w:type="dxa"/>
            <w:shd w:val="clear" w:color="auto" w:fill="auto"/>
          </w:tcPr>
          <w:p w14:paraId="2F4E0678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14:paraId="688B6F68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14 365,00</w:t>
            </w:r>
          </w:p>
        </w:tc>
        <w:tc>
          <w:tcPr>
            <w:tcW w:w="2303" w:type="dxa"/>
            <w:shd w:val="clear" w:color="auto" w:fill="auto"/>
          </w:tcPr>
          <w:p w14:paraId="4A917D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11 553,46</w:t>
            </w:r>
          </w:p>
        </w:tc>
        <w:tc>
          <w:tcPr>
            <w:tcW w:w="2303" w:type="dxa"/>
            <w:shd w:val="clear" w:color="auto" w:fill="auto"/>
          </w:tcPr>
          <w:p w14:paraId="7D09855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2 811,54</w:t>
            </w:r>
          </w:p>
        </w:tc>
      </w:tr>
    </w:tbl>
    <w:p w14:paraId="5F0B5D27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70E9829B">
      <w:pPr>
        <w:pStyle w:val="2"/>
        <w:rPr>
          <w:rFonts w:ascii="Calibri" w:hAnsi="Calibri"/>
          <w:b/>
          <w:bCs/>
          <w:caps/>
          <w:sz w:val="32"/>
        </w:rPr>
      </w:pPr>
      <w:bookmarkStart w:id="7" w:name="_Toc276040641"/>
      <w:r>
        <w:rPr>
          <w:rFonts w:ascii="Calibri" w:hAnsi="Calibri"/>
          <w:b/>
          <w:bCs/>
          <w:caps/>
          <w:sz w:val="32"/>
        </w:rPr>
        <w:t>5. Stav a pohyb majetku a záväzkov organizácie</w:t>
      </w:r>
      <w:bookmarkEnd w:id="7"/>
    </w:p>
    <w:p w14:paraId="1898EF85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7AC54097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 toho majetok vo </w:t>
      </w:r>
      <w:r>
        <w:t xml:space="preserve">výške      5 401,54 </w:t>
      </w:r>
      <w:r>
        <w:rPr>
          <w:rFonts w:ascii="Calibri" w:hAnsi="Calibri"/>
          <w:sz w:val="22"/>
          <w:szCs w:val="22"/>
        </w:rPr>
        <w:t>EUR pozostáva z:</w:t>
      </w:r>
    </w:p>
    <w:p w14:paraId="4BBA3720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dlhodobého majetku</w:t>
      </w:r>
      <w:r>
        <w:t xml:space="preserve">:        0,00 </w:t>
      </w:r>
      <w:r>
        <w:rPr>
          <w:rFonts w:ascii="Calibri" w:hAnsi="Calibri"/>
          <w:sz w:val="22"/>
          <w:szCs w:val="22"/>
        </w:rPr>
        <w:t>EUR</w:t>
      </w:r>
    </w:p>
    <w:p w14:paraId="71D66590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krátkodobého majetku: </w:t>
      </w:r>
      <w:r>
        <w:t xml:space="preserve">        5 401,54 </w:t>
      </w:r>
      <w:r>
        <w:rPr>
          <w:rFonts w:ascii="Calibri" w:hAnsi="Calibri"/>
          <w:sz w:val="22"/>
          <w:szCs w:val="22"/>
        </w:rPr>
        <w:t>EUR</w:t>
      </w:r>
    </w:p>
    <w:p w14:paraId="192D36C9">
      <w:pPr>
        <w:ind w:left="360"/>
        <w:jc w:val="both"/>
        <w:rPr>
          <w:rFonts w:ascii="Calibri" w:hAnsi="Calibri"/>
          <w:sz w:val="22"/>
          <w:szCs w:val="22"/>
        </w:rPr>
      </w:pPr>
    </w:p>
    <w:p w14:paraId="38E2C66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31.12.2025 predstavoval (i):</w:t>
      </w:r>
    </w:p>
    <w:p w14:paraId="11F75BA2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finančný majetok čiastku </w:t>
      </w:r>
      <w:r>
        <w:t xml:space="preserve">        5 401,54  </w:t>
      </w:r>
      <w:r>
        <w:rPr>
          <w:rFonts w:ascii="Calibri" w:hAnsi="Calibri"/>
          <w:sz w:val="22"/>
          <w:szCs w:val="22"/>
        </w:rPr>
        <w:t>EUR;</w:t>
      </w:r>
    </w:p>
    <w:p w14:paraId="134186D4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obežný majetok čiastku </w:t>
      </w:r>
      <w:r>
        <w:t xml:space="preserve">                 0,00   </w:t>
      </w:r>
      <w:r>
        <w:rPr>
          <w:rFonts w:ascii="Calibri" w:hAnsi="Calibri"/>
          <w:sz w:val="22"/>
          <w:szCs w:val="22"/>
        </w:rPr>
        <w:t>EUR;</w:t>
      </w:r>
    </w:p>
    <w:p w14:paraId="29AEE4E1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vlastné zdroje krytia majetku čiastku </w:t>
      </w:r>
      <w:r>
        <w:t xml:space="preserve">                    2 590,00 </w:t>
      </w:r>
      <w:r>
        <w:rPr>
          <w:rFonts w:ascii="Calibri" w:hAnsi="Calibri"/>
          <w:sz w:val="22"/>
          <w:szCs w:val="22"/>
        </w:rPr>
        <w:t xml:space="preserve"> EUR;</w:t>
      </w:r>
    </w:p>
    <w:p w14:paraId="70176AC6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cudzie zdroje krytia majetku čiastku </w:t>
      </w:r>
      <w:r>
        <w:t xml:space="preserve">                            0,00 </w:t>
      </w:r>
      <w:r>
        <w:rPr>
          <w:rFonts w:ascii="Calibri" w:hAnsi="Calibri"/>
          <w:sz w:val="22"/>
          <w:szCs w:val="22"/>
        </w:rPr>
        <w:t>EUR;</w:t>
      </w:r>
    </w:p>
    <w:p w14:paraId="32BCB9AF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oprávky k dlhodobému hmotnému majetku čiastku </w:t>
      </w:r>
      <w:r>
        <w:t xml:space="preserve">      0,00 </w:t>
      </w:r>
      <w:r>
        <w:rPr>
          <w:rFonts w:ascii="Calibri" w:hAnsi="Calibri"/>
          <w:sz w:val="22"/>
          <w:szCs w:val="22"/>
        </w:rPr>
        <w:t>EUR;</w:t>
      </w:r>
    </w:p>
    <w:p w14:paraId="6DCC0D37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oprávky k dlhodobému nehmotnému majetku čiastku </w:t>
      </w:r>
      <w:r>
        <w:t xml:space="preserve">     0 ,- </w:t>
      </w:r>
      <w:r>
        <w:rPr>
          <w:rFonts w:ascii="Calibri" w:hAnsi="Calibri"/>
          <w:sz w:val="22"/>
          <w:szCs w:val="22"/>
        </w:rPr>
        <w:t>EUR</w:t>
      </w:r>
    </w:p>
    <w:p w14:paraId="201B047D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dlhodobé záväzky čiastku     </w:t>
      </w:r>
      <w:r>
        <w:t xml:space="preserve">                0,- </w:t>
      </w:r>
      <w:r>
        <w:rPr>
          <w:rFonts w:ascii="Calibri" w:hAnsi="Calibri"/>
          <w:sz w:val="22"/>
          <w:szCs w:val="22"/>
        </w:rPr>
        <w:t>EUR;</w:t>
      </w:r>
    </w:p>
    <w:p w14:paraId="7ED5EA5D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 záväzky čiastku </w:t>
      </w:r>
      <w:r>
        <w:t xml:space="preserve">                  0,- </w:t>
      </w:r>
      <w:r>
        <w:rPr>
          <w:rFonts w:ascii="Calibri" w:hAnsi="Calibri"/>
          <w:sz w:val="22"/>
          <w:szCs w:val="22"/>
        </w:rPr>
        <w:t>EUR.</w:t>
      </w:r>
    </w:p>
    <w:p w14:paraId="0269DAA6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6F54F896">
      <w:pPr>
        <w:pStyle w:val="2"/>
        <w:rPr>
          <w:rFonts w:ascii="Calibri" w:hAnsi="Calibri"/>
          <w:b/>
          <w:bCs/>
          <w:caps/>
          <w:sz w:val="32"/>
        </w:rPr>
      </w:pPr>
      <w:bookmarkStart w:id="8" w:name="_Toc276040642"/>
      <w:r>
        <w:rPr>
          <w:rFonts w:ascii="Calibri" w:hAnsi="Calibri"/>
          <w:b/>
          <w:bCs/>
          <w:caps/>
          <w:sz w:val="32"/>
        </w:rPr>
        <w:t>6. Zmeny a nové zloženie organizácie</w:t>
      </w:r>
      <w:bookmarkEnd w:id="8"/>
    </w:p>
    <w:p w14:paraId="474DD997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14:paraId="1E827C3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Členská schôdza </w:t>
      </w:r>
      <w:r>
        <w:rPr>
          <w:sz w:val="22"/>
          <w:szCs w:val="22"/>
        </w:rPr>
        <w:t>Noble Martial Arts o. z.</w:t>
      </w:r>
      <w:r>
        <w:t xml:space="preserve"> </w:t>
      </w:r>
      <w:r>
        <w:rPr>
          <w:rFonts w:ascii="Calibri" w:hAnsi="Calibri"/>
          <w:sz w:val="22"/>
          <w:szCs w:val="22"/>
        </w:rPr>
        <w:t xml:space="preserve"> sa neuzniesla na žiadnych zmenách v stanovách ani zložení orgánov občianskeho združenia.</w:t>
      </w:r>
    </w:p>
    <w:p w14:paraId="4FA0434F">
      <w:pPr>
        <w:ind w:left="360"/>
        <w:jc w:val="both"/>
        <w:rPr>
          <w:rFonts w:ascii="Calibri" w:hAnsi="Calibri"/>
          <w:sz w:val="22"/>
          <w:szCs w:val="22"/>
        </w:rPr>
      </w:pPr>
    </w:p>
    <w:p w14:paraId="39397942">
      <w:pPr>
        <w:ind w:left="360"/>
        <w:jc w:val="both"/>
        <w:rPr>
          <w:rFonts w:ascii="Calibri" w:hAnsi="Calibri"/>
          <w:sz w:val="22"/>
          <w:szCs w:val="22"/>
        </w:rPr>
      </w:pPr>
    </w:p>
    <w:p w14:paraId="531571D4">
      <w:pPr>
        <w:ind w:left="360"/>
        <w:jc w:val="both"/>
        <w:rPr>
          <w:rFonts w:ascii="Calibri" w:hAnsi="Calibri"/>
          <w:sz w:val="22"/>
          <w:szCs w:val="22"/>
        </w:rPr>
      </w:pPr>
    </w:p>
    <w:p w14:paraId="2265D507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Style w:val="5"/>
        <w:tblW w:w="0" w:type="auto"/>
        <w:tblInd w:w="662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3"/>
      </w:tblGrid>
      <w:tr w14:paraId="2447E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83" w:type="dxa"/>
            <w:tcBorders>
              <w:bottom w:val="single" w:color="auto" w:sz="4" w:space="0"/>
            </w:tcBorders>
          </w:tcPr>
          <w:p w14:paraId="0F34B7DE">
            <w:pPr>
              <w:pStyle w:val="3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14:paraId="4A33C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83" w:type="dxa"/>
            <w:tcBorders>
              <w:top w:val="single" w:color="auto" w:sz="4" w:space="0"/>
            </w:tcBorders>
          </w:tcPr>
          <w:p w14:paraId="6EE16BF5">
            <w:pPr>
              <w:pStyle w:val="3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bookmarkStart w:id="9" w:name="_Toc276040643"/>
            <w:bookmarkStart w:id="10" w:name="_Toc276040535"/>
            <w:r>
              <w:rPr>
                <w:rFonts w:ascii="Calibri" w:hAnsi="Calibri"/>
                <w:b w:val="0"/>
                <w:sz w:val="22"/>
                <w:szCs w:val="22"/>
              </w:rPr>
              <w:t>Ja</w:t>
            </w:r>
            <w:bookmarkEnd w:id="9"/>
            <w:bookmarkEnd w:id="10"/>
            <w:r>
              <w:rPr>
                <w:rFonts w:ascii="Calibri" w:hAnsi="Calibri"/>
                <w:b w:val="0"/>
                <w:sz w:val="22"/>
                <w:szCs w:val="22"/>
              </w:rPr>
              <w:t>kub Tomá</w:t>
            </w:r>
            <w:bookmarkStart w:id="11" w:name="_Toc276040536"/>
            <w:bookmarkStart w:id="12" w:name="_Toc276040644"/>
            <w:r>
              <w:rPr>
                <w:rFonts w:ascii="Calibri" w:hAnsi="Calibri"/>
                <w:b w:val="0"/>
                <w:sz w:val="22"/>
                <w:szCs w:val="22"/>
              </w:rPr>
              <w:t>š</w:t>
            </w:r>
            <w:bookmarkEnd w:id="11"/>
            <w:bookmarkEnd w:id="12"/>
          </w:p>
          <w:p w14:paraId="21BC830C">
            <w:pPr>
              <w:pStyle w:val="3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Predseda občianskeho   združenia</w:t>
            </w:r>
          </w:p>
        </w:tc>
      </w:tr>
    </w:tbl>
    <w:p w14:paraId="4277E6AA">
      <w:pPr>
        <w:ind w:left="360"/>
        <w:jc w:val="both"/>
        <w:rPr>
          <w:rFonts w:ascii="Calibri" w:hAnsi="Calibri"/>
          <w:sz w:val="32"/>
          <w:szCs w:val="32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1434F">
    <w:pPr>
      <w:pStyle w:val="7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separate"/>
    </w:r>
    <w:r>
      <w:rPr>
        <w:rStyle w:val="12"/>
      </w:rPr>
      <w:t>4</w:t>
    </w:r>
    <w:r>
      <w:rPr>
        <w:rStyle w:val="12"/>
      </w:rPr>
      <w:fldChar w:fldCharType="end"/>
    </w:r>
  </w:p>
  <w:p w14:paraId="1ECCD0C5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74AF43">
    <w:pPr>
      <w:pStyle w:val="7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 w14:paraId="08AAC3BE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E48410">
    <w:pPr>
      <w:pStyle w:val="2"/>
      <w:pBdr>
        <w:between w:val="single" w:color="auto" w:sz="4" w:space="1"/>
      </w:pBdr>
      <w:tabs>
        <w:tab w:val="left" w:pos="1920"/>
        <w:tab w:val="center" w:pos="4536"/>
      </w:tabs>
      <w:jc w:val="left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  <w:shd w:val="clear" w:color="auto" w:fill="FFCC99"/>
      </w:rPr>
      <w:tab/>
    </w:r>
    <w:r>
      <w:rPr>
        <w:rFonts w:ascii="Calibri" w:hAnsi="Calibri"/>
        <w:sz w:val="22"/>
        <w:szCs w:val="22"/>
        <w:u w:val="none"/>
        <w:shd w:val="clear" w:color="auto" w:fill="FFCC99"/>
      </w:rPr>
      <w:t xml:space="preserve">Noble Martial Arts </w:t>
    </w:r>
    <w:r>
      <w:rPr>
        <w:rFonts w:ascii="Calibri" w:hAnsi="Calibri"/>
        <w:sz w:val="22"/>
        <w:szCs w:val="22"/>
        <w:u w:val="none"/>
      </w:rPr>
      <w:t xml:space="preserve">, o.z.,  so sídlom: </w:t>
    </w:r>
    <w:r>
      <w:rPr>
        <w:rFonts w:ascii="Calibri" w:hAnsi="Calibri"/>
        <w:sz w:val="22"/>
        <w:szCs w:val="22"/>
        <w:u w:val="none"/>
        <w:shd w:val="clear" w:color="auto" w:fill="FFCC99"/>
      </w:rPr>
      <w:t>Prešov</w:t>
    </w:r>
    <w:r>
      <w:rPr>
        <w:rFonts w:ascii="Calibri" w:hAnsi="Calibri"/>
        <w:sz w:val="22"/>
        <w:szCs w:val="22"/>
        <w:u w:val="none"/>
      </w:rPr>
      <w:t xml:space="preserve">, IČO: </w:t>
    </w:r>
    <w:r>
      <w:rPr>
        <w:rFonts w:ascii="Calibri" w:hAnsi="Calibri"/>
        <w:sz w:val="22"/>
        <w:szCs w:val="22"/>
        <w:u w:val="none"/>
        <w:shd w:val="clear" w:color="auto" w:fill="FFCC99"/>
      </w:rPr>
      <w:t>55904866</w:t>
    </w:r>
  </w:p>
  <w:p w14:paraId="31517C3E">
    <w:pPr>
      <w:pStyle w:val="1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5B61CB6"/>
    <w:multiLevelType w:val="multilevel"/>
    <w:tmpl w:val="45B61CB6"/>
    <w:lvl w:ilvl="0" w:tentative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5C0F058F"/>
    <w:multiLevelType w:val="multilevel"/>
    <w:tmpl w:val="5C0F058F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72C3A"/>
    <w:rsid w:val="000A2746"/>
    <w:rsid w:val="000C0AD8"/>
    <w:rsid w:val="000D000A"/>
    <w:rsid w:val="001001BE"/>
    <w:rsid w:val="0013068A"/>
    <w:rsid w:val="00143FF9"/>
    <w:rsid w:val="00157EF9"/>
    <w:rsid w:val="001B44F7"/>
    <w:rsid w:val="001D40C4"/>
    <w:rsid w:val="001F7042"/>
    <w:rsid w:val="00296D5D"/>
    <w:rsid w:val="002A54FA"/>
    <w:rsid w:val="002C51E0"/>
    <w:rsid w:val="002F04A7"/>
    <w:rsid w:val="002F1B00"/>
    <w:rsid w:val="003342AF"/>
    <w:rsid w:val="003459BF"/>
    <w:rsid w:val="003659A2"/>
    <w:rsid w:val="003742D5"/>
    <w:rsid w:val="003744F8"/>
    <w:rsid w:val="00380B09"/>
    <w:rsid w:val="003B31EB"/>
    <w:rsid w:val="003C66C8"/>
    <w:rsid w:val="003D531D"/>
    <w:rsid w:val="003F35AD"/>
    <w:rsid w:val="00401177"/>
    <w:rsid w:val="00403C26"/>
    <w:rsid w:val="004467DB"/>
    <w:rsid w:val="00452F39"/>
    <w:rsid w:val="004575EF"/>
    <w:rsid w:val="00470916"/>
    <w:rsid w:val="004A0C90"/>
    <w:rsid w:val="004A6ADD"/>
    <w:rsid w:val="004B7C67"/>
    <w:rsid w:val="00510218"/>
    <w:rsid w:val="0053074F"/>
    <w:rsid w:val="005319E0"/>
    <w:rsid w:val="006221A4"/>
    <w:rsid w:val="006245EF"/>
    <w:rsid w:val="00625A47"/>
    <w:rsid w:val="00626B32"/>
    <w:rsid w:val="00642270"/>
    <w:rsid w:val="006519D1"/>
    <w:rsid w:val="00665F97"/>
    <w:rsid w:val="0067019F"/>
    <w:rsid w:val="0069083C"/>
    <w:rsid w:val="006B0A5F"/>
    <w:rsid w:val="006B42D4"/>
    <w:rsid w:val="006C122A"/>
    <w:rsid w:val="006D0058"/>
    <w:rsid w:val="006F109C"/>
    <w:rsid w:val="007049D6"/>
    <w:rsid w:val="00727DB1"/>
    <w:rsid w:val="00754FAA"/>
    <w:rsid w:val="00755FA4"/>
    <w:rsid w:val="007651E9"/>
    <w:rsid w:val="00765C18"/>
    <w:rsid w:val="0079636E"/>
    <w:rsid w:val="007B6DC6"/>
    <w:rsid w:val="007C18E5"/>
    <w:rsid w:val="007E460E"/>
    <w:rsid w:val="0083185F"/>
    <w:rsid w:val="00831F5B"/>
    <w:rsid w:val="00874C81"/>
    <w:rsid w:val="008776FC"/>
    <w:rsid w:val="0088308E"/>
    <w:rsid w:val="008C02AE"/>
    <w:rsid w:val="008D4E31"/>
    <w:rsid w:val="009050FA"/>
    <w:rsid w:val="00915D8C"/>
    <w:rsid w:val="0092649F"/>
    <w:rsid w:val="009449CC"/>
    <w:rsid w:val="00970F11"/>
    <w:rsid w:val="00976E9C"/>
    <w:rsid w:val="0097746D"/>
    <w:rsid w:val="00985176"/>
    <w:rsid w:val="009939FB"/>
    <w:rsid w:val="009B1ED3"/>
    <w:rsid w:val="00A153BB"/>
    <w:rsid w:val="00A1564D"/>
    <w:rsid w:val="00A2414F"/>
    <w:rsid w:val="00A30599"/>
    <w:rsid w:val="00A33517"/>
    <w:rsid w:val="00A42A49"/>
    <w:rsid w:val="00A65B45"/>
    <w:rsid w:val="00A7082F"/>
    <w:rsid w:val="00A84915"/>
    <w:rsid w:val="00AB471E"/>
    <w:rsid w:val="00AB59CF"/>
    <w:rsid w:val="00AD29F8"/>
    <w:rsid w:val="00B16F01"/>
    <w:rsid w:val="00B40A8F"/>
    <w:rsid w:val="00B57E4A"/>
    <w:rsid w:val="00B7408F"/>
    <w:rsid w:val="00B959BB"/>
    <w:rsid w:val="00B963E3"/>
    <w:rsid w:val="00BB03BE"/>
    <w:rsid w:val="00BC4F8D"/>
    <w:rsid w:val="00BE2854"/>
    <w:rsid w:val="00BF209B"/>
    <w:rsid w:val="00C00E6B"/>
    <w:rsid w:val="00C3563A"/>
    <w:rsid w:val="00C875DD"/>
    <w:rsid w:val="00C93FD4"/>
    <w:rsid w:val="00CB6771"/>
    <w:rsid w:val="00CB6D98"/>
    <w:rsid w:val="00CC096A"/>
    <w:rsid w:val="00CC2E37"/>
    <w:rsid w:val="00D1341B"/>
    <w:rsid w:val="00D3388B"/>
    <w:rsid w:val="00D44FF0"/>
    <w:rsid w:val="00D5393E"/>
    <w:rsid w:val="00DC38BD"/>
    <w:rsid w:val="00E04A08"/>
    <w:rsid w:val="00E236D6"/>
    <w:rsid w:val="00E733B2"/>
    <w:rsid w:val="00EB41EA"/>
    <w:rsid w:val="00F05BE3"/>
    <w:rsid w:val="00F820B5"/>
    <w:rsid w:val="00F83301"/>
    <w:rsid w:val="00FB7BD8"/>
    <w:rsid w:val="05140A37"/>
    <w:rsid w:val="3D6764E5"/>
    <w:rsid w:val="40291959"/>
    <w:rsid w:val="5DD66D53"/>
    <w:rsid w:val="74635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name="toc 1"/>
    <w:lsdException w:unhideWhenUsed="0" w:uiPriority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iPriority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1"/>
    <w:link w:val="16"/>
    <w:qFormat/>
    <w:uiPriority w:val="0"/>
    <w:pPr>
      <w:keepNext/>
      <w:jc w:val="both"/>
      <w:outlineLvl w:val="0"/>
    </w:pPr>
    <w:rPr>
      <w:szCs w:val="20"/>
      <w:u w:val="single"/>
    </w:rPr>
  </w:style>
  <w:style w:type="paragraph" w:styleId="3">
    <w:name w:val="heading 2"/>
    <w:basedOn w:val="1"/>
    <w:next w:val="1"/>
    <w:qFormat/>
    <w:uiPriority w:val="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9"/>
    <w:uiPriority w:val="0"/>
    <w:rPr>
      <w:rFonts w:ascii="Segoe UI" w:hAnsi="Segoe UI"/>
      <w:sz w:val="18"/>
      <w:szCs w:val="18"/>
    </w:rPr>
  </w:style>
  <w:style w:type="paragraph" w:styleId="7">
    <w:name w:val="footer"/>
    <w:basedOn w:val="1"/>
    <w:uiPriority w:val="0"/>
    <w:pPr>
      <w:tabs>
        <w:tab w:val="center" w:pos="4536"/>
        <w:tab w:val="right" w:pos="9072"/>
      </w:tabs>
    </w:pPr>
  </w:style>
  <w:style w:type="character" w:styleId="8">
    <w:name w:val="footnote reference"/>
    <w:semiHidden/>
    <w:unhideWhenUsed/>
    <w:uiPriority w:val="0"/>
    <w:rPr>
      <w:vertAlign w:val="superscript"/>
    </w:rPr>
  </w:style>
  <w:style w:type="paragraph" w:styleId="9">
    <w:name w:val="footnote text"/>
    <w:basedOn w:val="1"/>
    <w:link w:val="17"/>
    <w:semiHidden/>
    <w:unhideWhenUsed/>
    <w:uiPriority w:val="0"/>
    <w:rPr>
      <w:sz w:val="20"/>
      <w:szCs w:val="20"/>
      <w:lang w:val="cs-CZ"/>
    </w:rPr>
  </w:style>
  <w:style w:type="paragraph" w:styleId="10">
    <w:name w:val="header"/>
    <w:basedOn w:val="1"/>
    <w:uiPriority w:val="0"/>
    <w:pPr>
      <w:tabs>
        <w:tab w:val="center" w:pos="4536"/>
        <w:tab w:val="right" w:pos="9072"/>
      </w:tabs>
    </w:pPr>
  </w:style>
  <w:style w:type="character" w:styleId="11">
    <w:name w:val="Hyperlink"/>
    <w:uiPriority w:val="0"/>
    <w:rPr>
      <w:color w:val="0000FF"/>
      <w:u w:val="single"/>
    </w:r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4">
    <w:name w:val="toc 1"/>
    <w:basedOn w:val="1"/>
    <w:next w:val="1"/>
    <w:autoRedefine/>
    <w:semiHidden/>
    <w:uiPriority w:val="0"/>
  </w:style>
  <w:style w:type="paragraph" w:styleId="15">
    <w:name w:val="toc 2"/>
    <w:basedOn w:val="1"/>
    <w:next w:val="1"/>
    <w:autoRedefine/>
    <w:semiHidden/>
    <w:uiPriority w:val="0"/>
    <w:pPr>
      <w:ind w:left="240"/>
    </w:pPr>
  </w:style>
  <w:style w:type="character" w:customStyle="1" w:styleId="16">
    <w:name w:val="Nadpis 1 Char"/>
    <w:link w:val="2"/>
    <w:uiPriority w:val="0"/>
    <w:rPr>
      <w:sz w:val="24"/>
      <w:u w:val="single"/>
      <w:lang w:val="sk-SK" w:eastAsia="sk-SK" w:bidi="ar-SA"/>
    </w:rPr>
  </w:style>
  <w:style w:type="character" w:customStyle="1" w:styleId="17">
    <w:name w:val="Text poznámky pod čiarou Char"/>
    <w:link w:val="9"/>
    <w:semiHidden/>
    <w:uiPriority w:val="0"/>
    <w:rPr>
      <w:lang w:val="cs-CZ" w:eastAsia="sk-SK" w:bidi="ar-SA"/>
    </w:rPr>
  </w:style>
  <w:style w:type="paragraph" w:customStyle="1" w:styleId="18">
    <w:name w:val="Default"/>
    <w:uiPriority w:val="0"/>
    <w:pPr>
      <w:autoSpaceDE w:val="0"/>
      <w:autoSpaceDN w:val="0"/>
      <w:adjustRightInd w:val="0"/>
    </w:pPr>
    <w:rPr>
      <w:rFonts w:ascii="Calibri" w:hAnsi="Calibri" w:eastAsia="Times New Roman" w:cs="Calibri"/>
      <w:color w:val="000000"/>
      <w:sz w:val="24"/>
      <w:szCs w:val="24"/>
      <w:lang w:val="sk-SK" w:eastAsia="sk-SK" w:bidi="ar-SA"/>
    </w:rPr>
  </w:style>
  <w:style w:type="character" w:customStyle="1" w:styleId="19">
    <w:name w:val="Text bubliny Char"/>
    <w:link w:val="6"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D7933-D277-4243-A990-E6831EF5C3E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4</Pages>
  <Words>551</Words>
  <Characters>3147</Characters>
  <Lines>26</Lines>
  <Paragraphs>7</Paragraphs>
  <TotalTime>272</TotalTime>
  <ScaleCrop>false</ScaleCrop>
  <LinksUpToDate>false</LinksUpToDate>
  <CharactersWithSpaces>3691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2024-02-20T08:18:00Z</dcterms:created>
  <dc:creator>Uzivatel</dc:creator>
  <cp:lastModifiedBy>lenka</cp:lastModifiedBy>
  <cp:lastPrinted>2023-03-16T13:36:00Z</cp:lastPrinted>
  <dcterms:modified xsi:type="dcterms:W3CDTF">2026-05-20T09:31:39Z</dcterms:modified>
  <dc:title>Výročná správa neziskovej organizácie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A9BCDE360F91459DAA818ABB759AAAD9_13</vt:lpwstr>
  </property>
</Properties>
</file>