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94F44B" w14:textId="77777777" w:rsidR="00AC5006" w:rsidRPr="00005C2C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 xml:space="preserve">Poznámky </w:t>
      </w:r>
    </w:p>
    <w:p w14:paraId="406CC2E1" w14:textId="77777777" w:rsidR="00AC5006" w:rsidRPr="00005C2C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>konsolidovanej účtovnej závierky zostavenej k 31.12.202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>5</w:t>
      </w:r>
    </w:p>
    <w:p w14:paraId="277D1638" w14:textId="77777777" w:rsidR="00AC5006" w:rsidRPr="00005C2C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 xml:space="preserve">účtovnej jednotky verejnej správy </w:t>
      </w:r>
    </w:p>
    <w:p w14:paraId="04CA2C14" w14:textId="77777777" w:rsidR="00AC5006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 xml:space="preserve">obce 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>Tekovské Nemce</w:t>
      </w:r>
    </w:p>
    <w:p w14:paraId="5B09A48D" w14:textId="77777777" w:rsidR="00AC5006" w:rsidRPr="00005C2C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FA9249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Všeobecné údaje</w:t>
      </w:r>
    </w:p>
    <w:p w14:paraId="76CAC4EC" w14:textId="77777777" w:rsidR="00AC5006" w:rsidRPr="00005C2C" w:rsidRDefault="00AC5006" w:rsidP="00AC500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F179BC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  konsolidujúcej účtovnej jednotke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AC5006" w:rsidRPr="00005C2C" w14:paraId="3B6F63CB" w14:textId="77777777" w:rsidTr="00195662">
        <w:tc>
          <w:tcPr>
            <w:tcW w:w="4781" w:type="dxa"/>
            <w:vAlign w:val="center"/>
          </w:tcPr>
          <w:p w14:paraId="59D7FFA1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konsolidujúcej účtovnej jednotky</w:t>
            </w:r>
          </w:p>
        </w:tc>
        <w:tc>
          <w:tcPr>
            <w:tcW w:w="5029" w:type="dxa"/>
          </w:tcPr>
          <w:p w14:paraId="4E76B7A0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Tekovské Nemce</w:t>
            </w:r>
          </w:p>
        </w:tc>
      </w:tr>
      <w:tr w:rsidR="00AC5006" w:rsidRPr="00005C2C" w14:paraId="337ED6CB" w14:textId="77777777" w:rsidTr="00195662">
        <w:tc>
          <w:tcPr>
            <w:tcW w:w="4781" w:type="dxa"/>
            <w:vAlign w:val="center"/>
          </w:tcPr>
          <w:p w14:paraId="3B544773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konsolidujúcej účtovnej jednotky</w:t>
            </w:r>
          </w:p>
        </w:tc>
        <w:tc>
          <w:tcPr>
            <w:tcW w:w="5029" w:type="dxa"/>
          </w:tcPr>
          <w:p w14:paraId="2B45E56A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Tekovská 405/4, 966 54  Tekovské Nemce</w:t>
            </w:r>
          </w:p>
        </w:tc>
      </w:tr>
      <w:tr w:rsidR="00AC5006" w:rsidRPr="00005C2C" w14:paraId="6CB6194E" w14:textId="77777777" w:rsidTr="00195662">
        <w:tc>
          <w:tcPr>
            <w:tcW w:w="4781" w:type="dxa"/>
            <w:vAlign w:val="center"/>
          </w:tcPr>
          <w:p w14:paraId="240307EF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založenia, vzniku konsolidujúcej účtovnej jednotky</w:t>
            </w:r>
          </w:p>
        </w:tc>
        <w:tc>
          <w:tcPr>
            <w:tcW w:w="5029" w:type="dxa"/>
          </w:tcPr>
          <w:p w14:paraId="23541BAA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01.01.1990</w:t>
            </w:r>
          </w:p>
        </w:tc>
      </w:tr>
      <w:tr w:rsidR="00AC5006" w:rsidRPr="00005C2C" w14:paraId="57ED5730" w14:textId="77777777" w:rsidTr="00195662">
        <w:tc>
          <w:tcPr>
            <w:tcW w:w="4781" w:type="dxa"/>
            <w:vAlign w:val="center"/>
          </w:tcPr>
          <w:p w14:paraId="20F5A94B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</w:t>
            </w:r>
          </w:p>
        </w:tc>
        <w:tc>
          <w:tcPr>
            <w:tcW w:w="5029" w:type="dxa"/>
          </w:tcPr>
          <w:p w14:paraId="0B6C61B7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Starostka Mária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Rudzanová</w:t>
            </w:r>
            <w:proofErr w:type="spellEnd"/>
          </w:p>
        </w:tc>
      </w:tr>
    </w:tbl>
    <w:p w14:paraId="47369EA2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157090A9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 konsolidovaných  účtovných  jednotkách  v pôsobnosti konsolidujúcej účtovnej jednotky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AC5006" w:rsidRPr="00005C2C" w14:paraId="3122D007" w14:textId="77777777" w:rsidTr="00195662">
        <w:tc>
          <w:tcPr>
            <w:tcW w:w="4781" w:type="dxa"/>
            <w:vAlign w:val="center"/>
          </w:tcPr>
          <w:p w14:paraId="1A6A54C6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konsolidovanej účtovnej jednotky</w:t>
            </w:r>
          </w:p>
        </w:tc>
        <w:tc>
          <w:tcPr>
            <w:tcW w:w="5029" w:type="dxa"/>
          </w:tcPr>
          <w:p w14:paraId="7C42FE4D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s MŠ Tekovské Nemce</w:t>
            </w: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AC5006" w:rsidRPr="00005C2C" w14:paraId="17433DF8" w14:textId="77777777" w:rsidTr="00195662">
        <w:tc>
          <w:tcPr>
            <w:tcW w:w="4781" w:type="dxa"/>
            <w:vAlign w:val="center"/>
          </w:tcPr>
          <w:p w14:paraId="1F93605B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konsolidovanej účtovnej jednotky</w:t>
            </w:r>
          </w:p>
        </w:tc>
        <w:tc>
          <w:tcPr>
            <w:tcW w:w="5029" w:type="dxa"/>
          </w:tcPr>
          <w:p w14:paraId="73E4454B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416/2</w:t>
            </w:r>
          </w:p>
        </w:tc>
      </w:tr>
      <w:tr w:rsidR="00AC5006" w:rsidRPr="00005C2C" w14:paraId="05421922" w14:textId="77777777" w:rsidTr="00195662">
        <w:tc>
          <w:tcPr>
            <w:tcW w:w="4781" w:type="dxa"/>
            <w:vAlign w:val="center"/>
          </w:tcPr>
          <w:p w14:paraId="09ACFFFB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 konsolidovanej účtovnej jednotky</w:t>
            </w:r>
          </w:p>
        </w:tc>
        <w:tc>
          <w:tcPr>
            <w:tcW w:w="5029" w:type="dxa"/>
          </w:tcPr>
          <w:p w14:paraId="4CE4EC17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01.07.2003</w:t>
            </w:r>
          </w:p>
        </w:tc>
      </w:tr>
    </w:tbl>
    <w:p w14:paraId="53CADA9B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2831616C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Informácie o zamestnancoch konsolidovaného celku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AC5006" w:rsidRPr="00005C2C" w14:paraId="183A180A" w14:textId="77777777" w:rsidTr="00195662">
        <w:tc>
          <w:tcPr>
            <w:tcW w:w="4781" w:type="dxa"/>
            <w:vAlign w:val="center"/>
          </w:tcPr>
          <w:p w14:paraId="09734268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 konsolidovaného celku počas účtovného obdobia</w:t>
            </w:r>
          </w:p>
        </w:tc>
        <w:tc>
          <w:tcPr>
            <w:tcW w:w="5029" w:type="dxa"/>
          </w:tcPr>
          <w:p w14:paraId="25C73EEA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33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(v roku 202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4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to bolo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30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)</w:t>
            </w:r>
          </w:p>
          <w:p w14:paraId="67C55426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AC5006" w:rsidRPr="00005C2C" w14:paraId="6984B0BB" w14:textId="77777777" w:rsidTr="00195662">
        <w:tc>
          <w:tcPr>
            <w:tcW w:w="4781" w:type="dxa"/>
            <w:vAlign w:val="center"/>
          </w:tcPr>
          <w:p w14:paraId="07B8F022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toho: počet  vedúcich  zamestnancov </w:t>
            </w:r>
          </w:p>
        </w:tc>
        <w:tc>
          <w:tcPr>
            <w:tcW w:w="5029" w:type="dxa"/>
          </w:tcPr>
          <w:p w14:paraId="5CE0FA2D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5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(v roku 202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4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to bolo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4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)</w:t>
            </w:r>
          </w:p>
          <w:p w14:paraId="3DEA8888" w14:textId="77777777" w:rsidR="00AC5006" w:rsidRPr="00005C2C" w:rsidRDefault="00AC5006" w:rsidP="001956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27CE248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2C01B0A9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sa 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oproti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bezprostredne predchádzajúcemu obdobiu 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nezmenil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57E30854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C35C8D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účtovných jednotkách konsolidovaného celku je uvedený v prílohe,  v tabuľkovej časti </w:t>
      </w:r>
      <w:r w:rsidRPr="00005C2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50C2657D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BC4533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Konsolidovaná účtovná závierka k 31. decembru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zostavená ako riadna konsolidovaná účtovná závierka podľa zákona č. 431/2002 Z. z. o účtovníctve v znení neskorších predpisov za účtovné obdobie od 1. januára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 decembra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DB798BB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6B2AA8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Konsolidujúca účtovná jednotka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Tekovské Nemce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súčasťou súhrnného celku verejnej správy Slovenskej republiky.</w:t>
      </w:r>
    </w:p>
    <w:p w14:paraId="25503817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118481A8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Konsolidovaná účtovná závierka bola zostavená za predpokladu nepretržitého trvania  činnosti v súlade so zákonom o účtovníctve a nadväzujúcimi právnymi predpismi.</w:t>
      </w:r>
    </w:p>
    <w:p w14:paraId="236EBF75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B3B289" w14:textId="77777777" w:rsidR="00AC5006" w:rsidRPr="00005C2C" w:rsidRDefault="00AC5006" w:rsidP="00AC5006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metódy a všeobecné účtovné zásady boli účtovnou jednotkou konzistentne aplikované.  </w:t>
      </w:r>
    </w:p>
    <w:p w14:paraId="0AD5131B" w14:textId="77777777" w:rsidR="00AC5006" w:rsidRPr="00005C2C" w:rsidRDefault="00AC5006" w:rsidP="00AC5006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4AA46A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účtovnými jednotkami konsolidovaného celku neboli uskutočnené transakcie z dôvodu predaja majetku.</w:t>
      </w:r>
    </w:p>
    <w:p w14:paraId="6992336C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28CBA9ED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 metódach oceňovania použitých pri ocenení jednotlivých položiek konsolidovanej účtovnej závierky</w:t>
      </w:r>
    </w:p>
    <w:p w14:paraId="2842ADF5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186713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36F9ED" w14:textId="77777777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Spôsob oceňovania jednotlivých položiek aktív a pasív v súlade so zákonom č. 431/2002 Z. z. o účtovníctve v znení neskorších predpisov</w:t>
      </w: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81ED184" w14:textId="77777777" w:rsidR="00AC5006" w:rsidRDefault="00AC5006" w:rsidP="00AC50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71587550" w14:textId="77777777" w:rsidR="00AC5006" w:rsidRDefault="00AC5006" w:rsidP="00AC50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Drobný hmotný a nehmotný majetok od 500,- eur do 1700,- eur, ktorý podľa rozhodnutia účtovnej jednotky je dlhodobý sa účtuje pri obstarávaní na účte 028 a odpisy sa vykonajú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jednorázové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 obstaraní majetku.</w:t>
      </w:r>
    </w:p>
    <w:p w14:paraId="69997F63" w14:textId="77777777" w:rsidR="00AC5006" w:rsidRPr="00DB4E1E" w:rsidRDefault="00AC5006" w:rsidP="00AC500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a nehmotný majetok do 500,- eur ktorý podľa rozhodnutia účtovnej jednotky nie je dlhodobým majetkom sa účtuje pri obstaraní ako náklad – bežný výdavok a je vedený na podsúvahovom účte 750 a 790.</w:t>
      </w:r>
    </w:p>
    <w:p w14:paraId="40B8E696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1072D85E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Cenné papiere a podiely sa oceňujú pri ich nadobudnutí obstarávacími cenami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vrátane nákladov súvisiacich s obstarávaním.</w:t>
      </w:r>
    </w:p>
    <w:p w14:paraId="20E359C1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 nakupované sa oceňujú obstarávacou cenou. </w:t>
      </w:r>
    </w:p>
    <w:p w14:paraId="4CF6FF27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 vytvorené vlastnou činnosťou sa oceňujú vlastnými nákladmi. </w:t>
      </w:r>
    </w:p>
    <w:p w14:paraId="3AA7644B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nadobudnuté bezodplatne sa oceňujú reálnou hodnotou.</w:t>
      </w:r>
    </w:p>
    <w:p w14:paraId="42BF6504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pri ich vzniku sa oceňujú menovitou hodnotou. </w:t>
      </w:r>
    </w:p>
    <w:p w14:paraId="43932724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pri odplatnom nadobudnutí sa oceňujú obstarávacou cenou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vrátane nákladov súvisiacich s obstaraním. </w:t>
      </w:r>
    </w:p>
    <w:p w14:paraId="7F515E00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 ceniny sa oceňujú menovitou hodnotou.</w:t>
      </w:r>
    </w:p>
    <w:p w14:paraId="6F90229A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sa pri ich vzniku oceňujú menovitou hodnotou a pri ich prevzatí sa oceňujú obstarávacou cenou.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078C70D9" w14:textId="77777777" w:rsidR="00AC5006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Účty časového rozlíšenia aktív a pasív sú vykázané vo výške, ktorá je potrebná na dodržanie zásady vecnej a časovej súvislosti s účtovným obdobím.</w:t>
      </w:r>
    </w:p>
    <w:p w14:paraId="31D1F4E6" w14:textId="77777777" w:rsidR="00AC5006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obstaraný z transferov sa oceňuje obstarávacou cenou.</w:t>
      </w:r>
    </w:p>
    <w:p w14:paraId="5EACDAA5" w14:textId="77777777" w:rsidR="00AC5006" w:rsidRPr="00DB4E1E" w:rsidRDefault="00AC5006" w:rsidP="00AC500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obstarávaný formou finančného a operatívneho leasingu sa oceňuje obstarávacou cenou.</w:t>
      </w:r>
    </w:p>
    <w:p w14:paraId="284CC389" w14:textId="77777777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F61F36" w14:textId="77777777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</w:pPr>
      <w:r w:rsidRPr="00DB4E1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Spôsob prepočtu na menu euro</w:t>
      </w:r>
    </w:p>
    <w:p w14:paraId="34181630" w14:textId="77777777" w:rsidR="00AC5006" w:rsidRPr="00DB4E1E" w:rsidRDefault="00AC5006" w:rsidP="00AC500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alebo iný deň, ak to ustanovuje osobitný predpis, resp. v deň ku ktorému sa zostavuje účtovná závierka.</w:t>
      </w:r>
    </w:p>
    <w:p w14:paraId="1B17F26D" w14:textId="77777777" w:rsidR="00AC5006" w:rsidRPr="00DB4E1E" w:rsidRDefault="00AC5006" w:rsidP="00AC500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</w:t>
      </w:r>
    </w:p>
    <w:p w14:paraId="00BC01EA" w14:textId="77777777" w:rsidR="00AC5006" w:rsidRPr="00DB4E1E" w:rsidRDefault="00AC5006" w:rsidP="00AC500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</w:t>
      </w: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centrálnou bankou alebo Národnou bankou Slovenska v deň, ku ktorému sa zostavuje účtovná závierka, a účtujú sa s vplyvom na výsledok hospodárenia. </w:t>
      </w:r>
    </w:p>
    <w:p w14:paraId="47A217F8" w14:textId="77777777" w:rsidR="00AC5006" w:rsidRPr="00DB4E1E" w:rsidRDefault="00AC5006" w:rsidP="00AC500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307E5425" w14:textId="77777777" w:rsidR="00AC5006" w:rsidRPr="00DB4E1E" w:rsidRDefault="00AC5006" w:rsidP="00AC5006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96EE694" w14:textId="77777777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90C57C" w14:textId="77777777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Hlk162918807"/>
      <w:r w:rsidRPr="00DB4E1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Spôsob účtovania transferov</w:t>
      </w:r>
    </w:p>
    <w:p w14:paraId="02F4FA7F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bežný transfer prijatý od iných subjektov ako od zriaďovateľa  sa  zúčtuje do výnosov vo vecnej a časovej súvislosti s nákladmi hradenými z tohto transferu </w:t>
      </w:r>
    </w:p>
    <w:p w14:paraId="0B3A8274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bežný transfer prijatý od zriaďovateľa sa zúčtuje do výnosov vo vecnej a časovej súvislosti s výdavkami z tohto transferu</w:t>
      </w:r>
    </w:p>
    <w:p w14:paraId="5EAB44FA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bežný transfer poskytnutý iným subjektom ako zriadeným organizáciám -sa  zúčtuje do nákladov po splnení podmienok</w:t>
      </w:r>
    </w:p>
    <w:p w14:paraId="6B821B6D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bežný transfer poskytnutý zriadeným rozpočtovým a príspevkovým organizáciám - sa  zúčtuje do nákladov pri poskytnutí transferu </w:t>
      </w:r>
    </w:p>
    <w:p w14:paraId="796315BC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6945D849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378766A0" w14:textId="77777777" w:rsidR="00AC5006" w:rsidRPr="00DB4E1E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kapitálový transfer poskytnutý iným subjektom ako zriadeným organizáciám  sa  zúčtuje do nákladov po splnení podmienok</w:t>
      </w:r>
    </w:p>
    <w:p w14:paraId="6078D680" w14:textId="77777777" w:rsidR="00AC5006" w:rsidRDefault="00AC5006" w:rsidP="00AC500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B4E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p w14:paraId="16C9C631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5C50989" w14:textId="46CF2F2D" w:rsidR="00AC5006" w:rsidRPr="00DB4E1E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>Účtovná jednotka nie je platiteľom dane z pridanej hodnoty. V prípadoch keď dodávatelia sú platiteľmi DPH, fakturovaná DPH je súčasťou ocenenia dlhodobého majetku, zásob nákladov. Výnosy: Tržby za vlastné výkony a tovar neobsahujú daň z pridanej hodnoty. Sú tiež znížené o zľavy a zrážky /rabaty, bonusy, skontá, dobropisy a pod./bez ohľadu na to, či zákazník mal vopred na zľavu nárok, alebo či ide o dodatočne určenú zľavu. Tržby sú účtované ku dňu splnenia dodávky alebo služby. O výnosoch z poplatkov sa účtuje v časovej a vecnej súvislosti s 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vyrúben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ý</w:t>
      </w:r>
      <w:bookmarkStart w:id="1" w:name="_GoBack"/>
      <w:bookmarkEnd w:id="1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m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poplatkov. </w:t>
      </w:r>
    </w:p>
    <w:bookmarkEnd w:id="0"/>
    <w:p w14:paraId="030BAE68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2E72E4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metódach a postupoch konsolidácie</w:t>
      </w:r>
    </w:p>
    <w:p w14:paraId="7AFA8DFC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 účtovná  závierka  Obce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Tekovské Nemce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bola zostavená v súlade so zákonom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792608BC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2A0ECE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Zahrnutie konsolidovaných účtovných jednotiek do konsolidovanej účtovnej závierky</w:t>
      </w:r>
    </w:p>
    <w:p w14:paraId="3F86CE13" w14:textId="77777777" w:rsidR="00AC5006" w:rsidRPr="00195662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5"/>
        <w:gridCol w:w="1517"/>
        <w:gridCol w:w="1534"/>
        <w:gridCol w:w="1528"/>
      </w:tblGrid>
      <w:tr w:rsidR="00AC5006" w:rsidRPr="00005C2C" w14:paraId="06F89359" w14:textId="77777777" w:rsidTr="00195662">
        <w:tc>
          <w:tcPr>
            <w:tcW w:w="4445" w:type="dxa"/>
          </w:tcPr>
          <w:p w14:paraId="319C958E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Názov, resp. obchodné meno </w:t>
            </w:r>
          </w:p>
          <w:p w14:paraId="5F223C94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konsolidovanej účtovnej jednotky</w:t>
            </w:r>
          </w:p>
        </w:tc>
        <w:tc>
          <w:tcPr>
            <w:tcW w:w="1517" w:type="dxa"/>
          </w:tcPr>
          <w:p w14:paraId="3F7AEB5B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69A3E9FB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úplnej konsolidácie</w:t>
            </w:r>
          </w:p>
        </w:tc>
        <w:tc>
          <w:tcPr>
            <w:tcW w:w="1534" w:type="dxa"/>
          </w:tcPr>
          <w:p w14:paraId="50543FEA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4B24C5E7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podielovej konsolidácie</w:t>
            </w:r>
          </w:p>
        </w:tc>
        <w:tc>
          <w:tcPr>
            <w:tcW w:w="1528" w:type="dxa"/>
          </w:tcPr>
          <w:p w14:paraId="5CC91D36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2A7288D8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vlastného imania</w:t>
            </w:r>
          </w:p>
        </w:tc>
      </w:tr>
      <w:tr w:rsidR="00AC5006" w:rsidRPr="00005C2C" w14:paraId="7EDC0B32" w14:textId="77777777" w:rsidTr="00195662">
        <w:tc>
          <w:tcPr>
            <w:tcW w:w="4445" w:type="dxa"/>
          </w:tcPr>
          <w:p w14:paraId="09397EC0" w14:textId="77777777" w:rsidR="00AC5006" w:rsidRPr="00005C2C" w:rsidRDefault="00AC5006" w:rsidP="0019566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ZŠ s MŠ Tekovské Nemce</w:t>
            </w: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17" w:type="dxa"/>
          </w:tcPr>
          <w:p w14:paraId="7DC02ED0" w14:textId="77777777" w:rsidR="00AC5006" w:rsidRPr="00005C2C" w:rsidRDefault="00AC5006" w:rsidP="0019566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05C2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áno</w:t>
            </w:r>
          </w:p>
        </w:tc>
        <w:tc>
          <w:tcPr>
            <w:tcW w:w="1534" w:type="dxa"/>
          </w:tcPr>
          <w:p w14:paraId="50D0E210" w14:textId="77777777" w:rsidR="00AC5006" w:rsidRPr="00005C2C" w:rsidRDefault="00AC5006" w:rsidP="0019566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28" w:type="dxa"/>
          </w:tcPr>
          <w:p w14:paraId="787D6D6E" w14:textId="77777777" w:rsidR="00AC5006" w:rsidRPr="00005C2C" w:rsidRDefault="00AC5006" w:rsidP="0019566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AA66F47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07E935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úplnej konsolidácie bola použitá pri dcérsk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ej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ej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jednotk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Obce Tekovské Nemce, ktorou je rozpočtová organizácia – ZŠ s MŠ Tekovské Nemce.</w:t>
      </w:r>
    </w:p>
    <w:p w14:paraId="508A7E1B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Významnou eliminačnou operáciou pohľadávok a záväzkov bola eliminácia účtov 355- Zúčtovanie transferov z rozpočtu obce v sume 26 713,83 eur. Na účtoch nákladov a výnosov sa uskutočnili eliminácie za poskytnuté transfery našej rozpočtovej organizácii a to originálne kompetencie z rozpočtu obce v sume 140 034,00 eur a odpisy 2 183,28 eur. </w:t>
      </w:r>
    </w:p>
    <w:p w14:paraId="6C14A234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6E9FA145" w14:textId="77777777" w:rsidR="00AC5006" w:rsidRPr="00005C2C" w:rsidRDefault="00AC5006" w:rsidP="00AC5006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údajoch aktív a pasív</w:t>
      </w:r>
    </w:p>
    <w:p w14:paraId="7CFAC1FC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pohybu dlhodobého nehmotného a dlhodobého hmotného majetku od 1. januára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 31. decembra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 tabuľkovej časti </w:t>
      </w:r>
      <w:r w:rsidRPr="00005C2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Poznámok.</w:t>
      </w:r>
    </w:p>
    <w:p w14:paraId="3AF0CC5F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DD1AAC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Najvýznamnejšou položkou pohľadávok sú pohľadávky z  daňových príjmov obce vo výške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8 055,57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5661,74 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eur).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Iné pohľadávky boli v sume 843,84 eur.  Dcérska účtovná jednotka neeviduje pohľadávky. Obec má po lehote splatnosti poplatky za komunálny odpad a daň z nehnuteľnosti.</w:t>
      </w:r>
    </w:p>
    <w:p w14:paraId="3755213C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E8D216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Ako finančný majetok sú vykázané peňažné prostriedky v pokladnici a účty v bankách. Účtami v bankách môže konsolidovaný celok voľne disponovať v 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3 302 850,31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469 751,57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Nárast je z dôvodu príjmu dotácie na ČOV a kanalizáciu.</w:t>
      </w:r>
    </w:p>
    <w:p w14:paraId="19D08749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2C792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Poskytnuté návratné finančné výpomoci</w:t>
      </w:r>
    </w:p>
    <w:p w14:paraId="6A0F13E3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Tekovské Nemce v roku 2025 neposkytol návratnú finančnú výpomoc.</w:t>
      </w:r>
    </w:p>
    <w:p w14:paraId="5F7AE260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4B60D5" w14:textId="77777777" w:rsidR="00AC5006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</w:p>
    <w:p w14:paraId="4ECE8AB1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Podrobný prehľad o pohybe vlastného imania konsolidovaného celku v roku 2025 je ponížené o záporný výsledok hospodárenia v roku 2024    -26574,25eur. V roku 2025 je záporný výsledok VH v sume -840,62 eur.  Počas účtovného obdobia neboli realizované žiadne opravy významných chýb minulých období. </w:t>
      </w:r>
    </w:p>
    <w:p w14:paraId="64AB94CC" w14:textId="77777777" w:rsidR="00AC5006" w:rsidRPr="00005C2C" w:rsidRDefault="00AC5006" w:rsidP="00AC5006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78308D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záväzkov podľa splatnosti je uvedený v tabuľkovej časti </w:t>
      </w:r>
      <w:r w:rsidRPr="00005C2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EEB4DEB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záväzky v lehote splatnosti sú:</w:t>
      </w:r>
    </w:p>
    <w:p w14:paraId="7418E8CA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 úver zo ŠFRB ktorého zostatok k 31.12.2025 je vo výške 301 292,45 eur</w:t>
      </w:r>
    </w:p>
    <w:p w14:paraId="7AA784F7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Ďalší úver zo  ŠFRB ktorého zostatok k 31.12.2025 je vo výške 461 126,23 eur.</w:t>
      </w:r>
    </w:p>
    <w:p w14:paraId="07A4F40A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Finančná zábezpeka na byty je vytvorená v sume 22 764,55 eur.</w:t>
      </w:r>
    </w:p>
    <w:p w14:paraId="5E32E44B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voči zamestnancom 43 506,97 eur, voči orgánom sociálneho a zdravotného poistenia 28 002,67 eur, a daňovému úradu 5 524,77eur. </w:t>
      </w:r>
    </w:p>
    <w:p w14:paraId="616D0815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preddavky  21 305,82 eur na stravovanie v ZŠ s MŠ.</w:t>
      </w:r>
    </w:p>
    <w:p w14:paraId="2EDBEA9E" w14:textId="102DF92E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voči dodávateľom z neuhradených faktúr v lehote splatnosti 72 432,44 eur. Tu tvorí najv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šiu čiastku fa POH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registrovaný podnik  66 770,59eur.</w:t>
      </w:r>
    </w:p>
    <w:p w14:paraId="45C472D5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zo sociálneho fondu 1 584,76 eur.</w:t>
      </w:r>
    </w:p>
    <w:p w14:paraId="1C764181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 ani rozpočtová organizácia k 31.12.2025 nemali záväzky po lehote splatnosti. </w:t>
      </w:r>
    </w:p>
    <w:p w14:paraId="7FBBA975" w14:textId="77777777" w:rsidR="00AC5006" w:rsidRPr="00005C2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60E52A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vykazuje úvery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ŠFRB 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762 418,68 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791 200,28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</w:p>
    <w:p w14:paraId="6944593E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208952" w14:textId="77777777" w:rsidR="00AC5006" w:rsidRDefault="00AC5006" w:rsidP="00AC5006">
      <w:pPr>
        <w:pStyle w:val="Bezriadkovania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Stav úverov k 31.12.2025 </w:t>
      </w:r>
    </w:p>
    <w:tbl>
      <w:tblPr>
        <w:tblW w:w="10631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993"/>
        <w:gridCol w:w="2128"/>
        <w:gridCol w:w="1275"/>
        <w:gridCol w:w="1275"/>
        <w:gridCol w:w="1275"/>
        <w:gridCol w:w="1275"/>
        <w:gridCol w:w="1276"/>
        <w:gridCol w:w="1134"/>
      </w:tblGrid>
      <w:tr w:rsidR="00AC5006" w14:paraId="5009BB36" w14:textId="77777777" w:rsidTr="00195662"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4140FAE9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E69AAD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Veriteľ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4DC8DD7A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DE56A43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Účel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552A571E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545CFE60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úveru k 31.12.2024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0E9798F9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Ročná splátka istiny </w:t>
            </w:r>
          </w:p>
          <w:p w14:paraId="68D431BE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za rok 2025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2F852316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Ročná splátka úrokov </w:t>
            </w:r>
          </w:p>
          <w:p w14:paraId="219FCD66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za rok 2025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0A9783B2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Zostatok úveru (istiny) k 31.12.2025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71A3FBA2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Rok</w:t>
            </w:r>
          </w:p>
          <w:p w14:paraId="3AF969FE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</w:t>
            </w:r>
          </w:p>
          <w:p w14:paraId="0D63FDBC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5006" w14:paraId="0FF71583" w14:textId="77777777" w:rsidTr="00195662">
        <w:trPr>
          <w:trHeight w:val="356"/>
        </w:trPr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05FDD03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ŠFRB 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8AE8021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Bytový dom  12bytov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7622C3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383 110,00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4209C8F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312 968,77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222EE65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11 676,32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120675F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3110,44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32A5059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301 292,45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593FF3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2048</w:t>
            </w:r>
          </w:p>
        </w:tc>
      </w:tr>
      <w:tr w:rsidR="00AC5006" w14:paraId="32D11BB3" w14:textId="77777777" w:rsidTr="00195662"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500F9F7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ŠFRB</w:t>
            </w:r>
          </w:p>
          <w:p w14:paraId="6182351F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B3CCF89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Bytový dom 18 bytov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6F29C7A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566 410,00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469C8C3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478 231,51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947D5E1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17 105,28                                                                         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3E4E7F0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4756,32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A2BBCD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461 126,23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10B8A9B" w14:textId="77777777" w:rsidR="00AC5006" w:rsidRDefault="00AC5006" w:rsidP="00195662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2049</w:t>
            </w:r>
          </w:p>
        </w:tc>
      </w:tr>
    </w:tbl>
    <w:p w14:paraId="1B206F22" w14:textId="77777777" w:rsidR="00AC5006" w:rsidRDefault="00AC5006" w:rsidP="00AC5006">
      <w:pPr>
        <w:pStyle w:val="Bezriadkovania"/>
        <w:rPr>
          <w:rFonts w:ascii="Times New Roman" w:hAnsi="Times New Roman" w:cs="Times New Roman"/>
        </w:rPr>
      </w:pPr>
    </w:p>
    <w:p w14:paraId="465426CF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619EEB" w14:textId="77777777" w:rsidR="00AC5006" w:rsidRPr="00195662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REZERVY</w:t>
      </w:r>
    </w:p>
    <w:p w14:paraId="2D1A52B9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vytvoril rezervy v sume 1 200,00 eur v plánovaného auditu.</w:t>
      </w:r>
    </w:p>
    <w:p w14:paraId="65E44345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F59386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ZUČTOVANIE MEDZI SUBJEKTAMI VEREJNEJ SPRÁVY</w:t>
      </w:r>
    </w:p>
    <w:p w14:paraId="68292CE8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5662">
        <w:rPr>
          <w:rFonts w:ascii="Times New Roman" w:eastAsia="Times New Roman" w:hAnsi="Times New Roman" w:cs="Times New Roman"/>
          <w:sz w:val="24"/>
          <w:szCs w:val="24"/>
          <w:lang w:eastAsia="sk-SK"/>
        </w:rPr>
        <w:t>Účet 357 Ostat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né zúčtovanie rozpočtu obce a VÚC – zostatok na účte v sume 2 912 145,13 eur</w:t>
      </w:r>
    </w:p>
    <w:p w14:paraId="0EACA716" w14:textId="3866D2EE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skladá preddavok na rok 2026 pre ZŠ s MŠ 6 082,80  Nevyčerpaná dotácia na stravu – 4 598,60 eur. 429,57 zostatok dotácie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Vodozádržných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patrení, 743,16 zostatok z dotácie z Fondu na podporu umenia a 2 900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,00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dotácie na ČOV a kanalizáciu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Enviro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fondu.</w:t>
      </w:r>
    </w:p>
    <w:p w14:paraId="1092BE07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90CD82" w14:textId="77777777" w:rsidR="00AC5006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BANKOVÉ ÚVERY</w:t>
      </w:r>
    </w:p>
    <w:p w14:paraId="1628F28F" w14:textId="77777777" w:rsidR="00AC5006" w:rsidRPr="00BF33AC" w:rsidRDefault="00AC5006" w:rsidP="00AC50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nemá žiadne bankové úvery. </w:t>
      </w:r>
    </w:p>
    <w:p w14:paraId="3BEE14DE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A355FA" w14:textId="77777777" w:rsidR="00AC5006" w:rsidRPr="00005C2C" w:rsidRDefault="00AC5006" w:rsidP="00AC5006">
      <w:pPr>
        <w:tabs>
          <w:tab w:val="left" w:pos="0"/>
          <w:tab w:val="left" w:pos="420"/>
        </w:tabs>
        <w:spacing w:after="0" w:line="360" w:lineRule="auto"/>
        <w:ind w:left="-14" w:firstLine="14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005C2C">
        <w:rPr>
          <w:rFonts w:ascii="Times New Roman" w:eastAsia="Calibri" w:hAnsi="Times New Roman" w:cs="Times New Roman"/>
          <w:b/>
          <w:caps/>
          <w:sz w:val="24"/>
          <w:szCs w:val="24"/>
          <w:lang w:eastAsia="sk-SK"/>
        </w:rPr>
        <w:t>Informácie o výnosoch a nákladoch</w:t>
      </w:r>
    </w:p>
    <w:p w14:paraId="10261CAF" w14:textId="77777777" w:rsidR="00AC5006" w:rsidRPr="00005C2C" w:rsidRDefault="00AC5006" w:rsidP="00AC5006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Z hľadiska kvantity sú najvýznamnejšími nákladmi osobné náklady vo výške  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874 594,52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to bolo 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822 468,14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eur).</w:t>
      </w:r>
    </w:p>
    <w:p w14:paraId="21271648" w14:textId="77777777" w:rsidR="00AC5006" w:rsidRPr="00005C2C" w:rsidRDefault="00AC5006" w:rsidP="00AC5006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</w:p>
    <w:p w14:paraId="738E7E2D" w14:textId="77777777" w:rsidR="00AC5006" w:rsidRPr="00005C2C" w:rsidRDefault="00AC5006" w:rsidP="00AC5006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>Najvýznamnejšími výnosmi sú daňové výnosy vo v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523 154,55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557 741,47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 a výnosy zo 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>zúčtovania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>transferov bežných aj kapitálových od subjektov verejnej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správy vrátane štátneho 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>rozpočtu, a to vo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výške 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678 829,79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 (v roku 202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4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to bolo  </w:t>
      </w:r>
      <w:r>
        <w:rPr>
          <w:rFonts w:ascii="Times New Roman" w:eastAsia="Calibri" w:hAnsi="Times New Roman" w:cs="Times New Roman"/>
          <w:sz w:val="24"/>
          <w:szCs w:val="24"/>
          <w:lang w:eastAsia="sk-SK"/>
        </w:rPr>
        <w:t>568 178,77</w:t>
      </w:r>
      <w:r w:rsidRPr="00005C2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eur). </w:t>
      </w:r>
    </w:p>
    <w:p w14:paraId="3C8B8320" w14:textId="77777777" w:rsidR="00AC5006" w:rsidRPr="00005C2C" w:rsidRDefault="00AC5006" w:rsidP="00AC5006">
      <w:pPr>
        <w:tabs>
          <w:tab w:val="left" w:pos="0"/>
          <w:tab w:val="left" w:pos="360"/>
          <w:tab w:val="left" w:pos="42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32495A" w14:textId="77777777" w:rsidR="00AC5006" w:rsidRPr="00005C2C" w:rsidRDefault="00AC5006" w:rsidP="00AC5006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  <w:r w:rsidRPr="00005C2C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SKUTOČNOSTI, KTORÉ NASTALI PO DNI, KU KTORÉMU SA ZOSTAVUJE</w:t>
      </w:r>
      <w:r w:rsidRPr="00005C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KONSOLIDOVANÁ  </w:t>
      </w:r>
      <w:r w:rsidRPr="00005C2C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ÚČTOVNÁ ZÁVIERKA, DO DŇA JEJ ZOSTAVENIA</w:t>
      </w:r>
    </w:p>
    <w:p w14:paraId="5734DCA8" w14:textId="77777777" w:rsidR="00AC5006" w:rsidRPr="00005C2C" w:rsidRDefault="00AC5006" w:rsidP="00AC5006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</w:p>
    <w:p w14:paraId="22020681" w14:textId="77777777" w:rsidR="00AC5006" w:rsidRPr="00005C2C" w:rsidRDefault="00AC5006" w:rsidP="00AC5006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konsolidovaná účtovná závierka, nenastali také udalosti, ktoré by si vyžadovali zverejnenie alebo vykázanie v konsolidovanej účtovnej závierke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05C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2C044CD" w14:textId="77777777" w:rsidR="00AC5006" w:rsidRDefault="00AC5006" w:rsidP="00AC5006"/>
    <w:p w14:paraId="651C4051" w14:textId="77777777" w:rsidR="00AC5006" w:rsidRDefault="00AC5006" w:rsidP="00AC5006"/>
    <w:p w14:paraId="7EB7B215" w14:textId="77777777" w:rsidR="00F27E76" w:rsidRDefault="00F27E76"/>
    <w:sectPr w:rsidR="00F27E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196"/>
    <w:rsid w:val="00374196"/>
    <w:rsid w:val="00AC5006"/>
    <w:rsid w:val="00CD06A2"/>
    <w:rsid w:val="00F2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00AF2"/>
  <w15:chartTrackingRefBased/>
  <w15:docId w15:val="{B6E55229-EEBB-4F30-BFD5-DDCF0F9D4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50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C5006"/>
    <w:pPr>
      <w:spacing w:after="0" w:line="240" w:lineRule="auto"/>
    </w:pPr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06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06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1940</Words>
  <Characters>11061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VALOVÁ Janka</dc:creator>
  <cp:keywords/>
  <dc:description/>
  <cp:lastModifiedBy>VALOVÁ Janka</cp:lastModifiedBy>
  <cp:revision>3</cp:revision>
  <cp:lastPrinted>2026-05-27T05:38:00Z</cp:lastPrinted>
  <dcterms:created xsi:type="dcterms:W3CDTF">2026-05-27T05:26:00Z</dcterms:created>
  <dcterms:modified xsi:type="dcterms:W3CDTF">2026-05-27T05:40:00Z</dcterms:modified>
</cp:coreProperties>
</file>