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1E6D739">
      <w:pPr>
        <w:spacing w:line="360" w:lineRule="auto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 xml:space="preserve">             VÝROČNÁ SPRÁVA NEZISKOVEJ ORGANIZÁCIE</w:t>
      </w:r>
    </w:p>
    <w:p w14:paraId="7A0EAF58">
      <w:pPr>
        <w:spacing w:before="240" w:line="360" w:lineRule="auto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 xml:space="preserve">       Rehabilitačné, vzdelávacie, sociálne centrum Polianky, n. o.</w:t>
      </w:r>
    </w:p>
    <w:p w14:paraId="28D60409">
      <w:pPr>
        <w:spacing w:line="360" w:lineRule="auto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 xml:space="preserve">                                  Letná 45, 040 01 Košice</w:t>
      </w:r>
    </w:p>
    <w:p w14:paraId="238C00D5">
      <w:pPr>
        <w:spacing w:line="360" w:lineRule="auto"/>
        <w:rPr>
          <w:rFonts w:hint="default" w:ascii="Arial" w:hAnsi="Arial" w:cs="Arial"/>
          <w:sz w:val="28"/>
          <w:szCs w:val="28"/>
          <w:lang w:val="sk-SK"/>
        </w:rPr>
      </w:pPr>
      <w:r>
        <w:rPr>
          <w:rFonts w:ascii="Arial" w:hAnsi="Arial" w:cs="Arial"/>
          <w:sz w:val="28"/>
          <w:szCs w:val="28"/>
        </w:rPr>
        <w:tab/>
      </w:r>
      <w:r>
        <w:rPr>
          <w:rFonts w:ascii="Arial" w:hAnsi="Arial" w:cs="Arial"/>
          <w:sz w:val="28"/>
          <w:szCs w:val="28"/>
        </w:rPr>
        <w:tab/>
      </w:r>
      <w:r>
        <w:rPr>
          <w:rFonts w:ascii="Arial" w:hAnsi="Arial" w:cs="Arial"/>
          <w:sz w:val="28"/>
          <w:szCs w:val="28"/>
        </w:rPr>
        <w:tab/>
      </w:r>
      <w:r>
        <w:rPr>
          <w:rFonts w:ascii="Arial" w:hAnsi="Arial" w:cs="Arial"/>
          <w:sz w:val="28"/>
          <w:szCs w:val="28"/>
        </w:rPr>
        <w:tab/>
      </w:r>
      <w:r>
        <w:rPr>
          <w:rFonts w:ascii="Arial" w:hAnsi="Arial" w:cs="Arial"/>
          <w:sz w:val="28"/>
          <w:szCs w:val="28"/>
        </w:rPr>
        <w:t xml:space="preserve">       ROK 202</w:t>
      </w:r>
      <w:r>
        <w:rPr>
          <w:rFonts w:hint="default" w:ascii="Arial" w:hAnsi="Arial" w:cs="Arial"/>
          <w:sz w:val="28"/>
          <w:szCs w:val="28"/>
          <w:lang w:val="sk-SK"/>
        </w:rPr>
        <w:t>5</w:t>
      </w:r>
    </w:p>
    <w:p w14:paraId="6295DF93">
      <w:pPr>
        <w:spacing w:line="360" w:lineRule="auto"/>
        <w:rPr>
          <w:rFonts w:ascii="Arial" w:hAnsi="Arial" w:cs="Arial"/>
          <w:sz w:val="28"/>
          <w:szCs w:val="28"/>
        </w:rPr>
      </w:pPr>
    </w:p>
    <w:p w14:paraId="0C29547D">
      <w:pPr>
        <w:spacing w:line="360" w:lineRule="auto"/>
        <w:rPr>
          <w:rFonts w:ascii="Arial" w:hAnsi="Arial" w:cs="Arial"/>
          <w:sz w:val="28"/>
          <w:szCs w:val="28"/>
        </w:rPr>
      </w:pPr>
    </w:p>
    <w:p w14:paraId="1C111D66">
      <w:pPr>
        <w:spacing w:line="360" w:lineRule="auto"/>
        <w:rPr>
          <w:rFonts w:ascii="Arial" w:hAnsi="Arial" w:cs="Arial"/>
          <w:sz w:val="28"/>
          <w:szCs w:val="28"/>
        </w:rPr>
      </w:pPr>
    </w:p>
    <w:p w14:paraId="7DAD9D15">
      <w:pPr>
        <w:spacing w:line="360" w:lineRule="auto"/>
        <w:rPr>
          <w:rFonts w:ascii="Arial" w:hAnsi="Arial" w:cs="Arial"/>
          <w:sz w:val="28"/>
          <w:szCs w:val="28"/>
        </w:rPr>
      </w:pPr>
    </w:p>
    <w:p w14:paraId="555FB67C">
      <w:pPr>
        <w:spacing w:line="360" w:lineRule="auto"/>
        <w:rPr>
          <w:rFonts w:ascii="Arial" w:hAnsi="Arial" w:cs="Arial"/>
          <w:sz w:val="28"/>
          <w:szCs w:val="28"/>
        </w:rPr>
      </w:pPr>
    </w:p>
    <w:p w14:paraId="39A803BC">
      <w:pPr>
        <w:spacing w:line="360" w:lineRule="auto"/>
        <w:rPr>
          <w:rFonts w:ascii="Arial" w:hAnsi="Arial" w:cs="Arial"/>
          <w:sz w:val="28"/>
          <w:szCs w:val="28"/>
        </w:rPr>
      </w:pPr>
    </w:p>
    <w:p w14:paraId="2EE63812">
      <w:pPr>
        <w:spacing w:line="360" w:lineRule="auto"/>
        <w:rPr>
          <w:rFonts w:ascii="Arial" w:hAnsi="Arial" w:cs="Arial"/>
          <w:sz w:val="28"/>
          <w:szCs w:val="28"/>
        </w:rPr>
      </w:pPr>
    </w:p>
    <w:p w14:paraId="462FBB4F">
      <w:pPr>
        <w:spacing w:line="360" w:lineRule="auto"/>
        <w:rPr>
          <w:rFonts w:ascii="Arial" w:hAnsi="Arial" w:cs="Arial"/>
          <w:sz w:val="28"/>
          <w:szCs w:val="28"/>
        </w:rPr>
      </w:pPr>
    </w:p>
    <w:p w14:paraId="588AD499">
      <w:pPr>
        <w:spacing w:line="360" w:lineRule="auto"/>
        <w:rPr>
          <w:rFonts w:ascii="Arial" w:hAnsi="Arial" w:cs="Arial"/>
          <w:sz w:val="28"/>
          <w:szCs w:val="28"/>
        </w:rPr>
      </w:pPr>
    </w:p>
    <w:p w14:paraId="252F65D3">
      <w:pPr>
        <w:spacing w:line="360" w:lineRule="auto"/>
        <w:rPr>
          <w:rFonts w:ascii="Arial" w:hAnsi="Arial" w:cs="Arial"/>
          <w:sz w:val="28"/>
          <w:szCs w:val="28"/>
        </w:rPr>
      </w:pPr>
    </w:p>
    <w:p w14:paraId="07009E9A">
      <w:pPr>
        <w:spacing w:line="360" w:lineRule="auto"/>
        <w:rPr>
          <w:rFonts w:ascii="Arial" w:hAnsi="Arial" w:cs="Arial"/>
          <w:sz w:val="28"/>
          <w:szCs w:val="28"/>
        </w:rPr>
      </w:pPr>
    </w:p>
    <w:p w14:paraId="0A0D4826">
      <w:pPr>
        <w:spacing w:line="360" w:lineRule="auto"/>
        <w:rPr>
          <w:rFonts w:ascii="Arial" w:hAnsi="Arial" w:cs="Arial"/>
          <w:sz w:val="28"/>
          <w:szCs w:val="28"/>
        </w:rPr>
      </w:pPr>
    </w:p>
    <w:p w14:paraId="6E389578">
      <w:pPr>
        <w:spacing w:line="360" w:lineRule="auto"/>
        <w:rPr>
          <w:rFonts w:ascii="Arial" w:hAnsi="Arial" w:cs="Arial"/>
          <w:sz w:val="28"/>
          <w:szCs w:val="28"/>
        </w:rPr>
      </w:pPr>
    </w:p>
    <w:p w14:paraId="217B82EF">
      <w:pPr>
        <w:spacing w:line="360" w:lineRule="auto"/>
        <w:rPr>
          <w:rFonts w:ascii="Arial" w:hAnsi="Arial" w:cs="Arial"/>
          <w:sz w:val="28"/>
          <w:szCs w:val="28"/>
        </w:rPr>
      </w:pPr>
    </w:p>
    <w:p w14:paraId="4CDDEC1C">
      <w:pPr>
        <w:spacing w:line="360" w:lineRule="auto"/>
        <w:rPr>
          <w:rFonts w:ascii="Arial" w:hAnsi="Arial" w:cs="Arial"/>
          <w:sz w:val="28"/>
          <w:szCs w:val="28"/>
        </w:rPr>
      </w:pPr>
    </w:p>
    <w:p w14:paraId="648E3768">
      <w:pPr>
        <w:spacing w:line="360" w:lineRule="auto"/>
        <w:rPr>
          <w:rFonts w:hint="default" w:ascii="Arial" w:hAnsi="Arial" w:cs="Arial"/>
          <w:sz w:val="28"/>
          <w:szCs w:val="28"/>
          <w:lang w:val="sk-SK"/>
        </w:rPr>
      </w:pPr>
      <w:r>
        <w:rPr>
          <w:rFonts w:ascii="Arial" w:hAnsi="Arial" w:cs="Arial"/>
          <w:sz w:val="28"/>
          <w:szCs w:val="28"/>
        </w:rPr>
        <w:t xml:space="preserve">Košice, </w:t>
      </w:r>
      <w:r>
        <w:rPr>
          <w:rFonts w:hint="default" w:ascii="Arial" w:hAnsi="Arial" w:cs="Arial"/>
          <w:sz w:val="28"/>
          <w:szCs w:val="28"/>
          <w:lang w:val="sk-SK"/>
        </w:rPr>
        <w:t>27</w:t>
      </w:r>
      <w:r>
        <w:rPr>
          <w:rFonts w:ascii="Arial" w:hAnsi="Arial" w:cs="Arial"/>
          <w:sz w:val="28"/>
          <w:szCs w:val="28"/>
        </w:rPr>
        <w:t>.0</w:t>
      </w:r>
      <w:r>
        <w:rPr>
          <w:rFonts w:hint="default" w:ascii="Arial" w:hAnsi="Arial" w:cs="Arial"/>
          <w:sz w:val="28"/>
          <w:szCs w:val="28"/>
          <w:lang w:val="sk-SK"/>
        </w:rPr>
        <w:t>5</w:t>
      </w:r>
      <w:r>
        <w:rPr>
          <w:rFonts w:ascii="Arial" w:hAnsi="Arial" w:cs="Arial"/>
          <w:sz w:val="28"/>
          <w:szCs w:val="28"/>
        </w:rPr>
        <w:t>.202</w:t>
      </w:r>
      <w:r>
        <w:rPr>
          <w:rFonts w:hint="default" w:ascii="Arial" w:hAnsi="Arial" w:cs="Arial"/>
          <w:sz w:val="28"/>
          <w:szCs w:val="28"/>
          <w:lang w:val="sk-SK"/>
        </w:rPr>
        <w:t>6</w:t>
      </w:r>
    </w:p>
    <w:p w14:paraId="72F312D8">
      <w:pPr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>Obsah:</w:t>
      </w:r>
    </w:p>
    <w:p w14:paraId="19CB4DC9">
      <w:pPr>
        <w:spacing w:after="0" w:line="360" w:lineRule="auto"/>
        <w:rPr>
          <w:rFonts w:ascii="Arial" w:hAnsi="Arial" w:cs="Arial"/>
        </w:rPr>
      </w:pPr>
      <w:r>
        <w:rPr>
          <w:rFonts w:ascii="Arial" w:hAnsi="Arial" w:cs="Arial"/>
          <w:sz w:val="24"/>
          <w:szCs w:val="24"/>
        </w:rPr>
        <w:t>1</w:t>
      </w:r>
      <w:r>
        <w:rPr>
          <w:rFonts w:ascii="Arial" w:hAnsi="Arial" w:cs="Arial"/>
        </w:rPr>
        <w:t xml:space="preserve">.   prehľad činností vykonaných v kalendárnom roku s uvedením vzťahu k účelu   </w:t>
      </w:r>
    </w:p>
    <w:p w14:paraId="3C13BFC2">
      <w:pPr>
        <w:spacing w:line="36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      založenia neziskovej organizácie,</w:t>
      </w:r>
    </w:p>
    <w:p w14:paraId="6D266722">
      <w:pPr>
        <w:spacing w:line="360" w:lineRule="auto"/>
        <w:rPr>
          <w:rFonts w:ascii="Arial" w:hAnsi="Arial" w:cs="Arial"/>
        </w:rPr>
      </w:pPr>
      <w:r>
        <w:rPr>
          <w:rFonts w:ascii="Arial" w:hAnsi="Arial" w:cs="Arial"/>
        </w:rPr>
        <w:t>2.   ročnú účtovnú závierku a zhodnotenie základných údajov v nej obsiahnutých,</w:t>
      </w:r>
    </w:p>
    <w:p w14:paraId="7C89758C">
      <w:pPr>
        <w:spacing w:before="240" w:line="360" w:lineRule="auto"/>
        <w:rPr>
          <w:rFonts w:ascii="Arial" w:hAnsi="Arial" w:cs="Arial"/>
        </w:rPr>
      </w:pPr>
      <w:r>
        <w:rPr>
          <w:rFonts w:ascii="Arial" w:hAnsi="Arial" w:cs="Arial"/>
        </w:rPr>
        <w:t>3.   výrok audítora k ročnej účtovnej závierke</w:t>
      </w:r>
    </w:p>
    <w:p w14:paraId="3F14BF7D">
      <w:pPr>
        <w:spacing w:before="240" w:line="360" w:lineRule="auto"/>
        <w:rPr>
          <w:rFonts w:ascii="Arial" w:hAnsi="Arial" w:cs="Arial"/>
        </w:rPr>
      </w:pPr>
      <w:r>
        <w:rPr>
          <w:rFonts w:ascii="Arial" w:hAnsi="Arial" w:cs="Arial"/>
        </w:rPr>
        <w:t>4.   prehľad o peňažných príjmoch a výdavkoch,</w:t>
      </w:r>
    </w:p>
    <w:p w14:paraId="0B8DEA8D">
      <w:pPr>
        <w:spacing w:before="240" w:line="360" w:lineRule="auto"/>
        <w:rPr>
          <w:rFonts w:ascii="Arial" w:hAnsi="Arial" w:cs="Arial"/>
        </w:rPr>
      </w:pPr>
      <w:r>
        <w:rPr>
          <w:rFonts w:ascii="Arial" w:hAnsi="Arial" w:cs="Arial"/>
        </w:rPr>
        <w:t>5.   prehľad rozsahu príjmov (výnosov) v členení podľa zdrojov,</w:t>
      </w:r>
    </w:p>
    <w:p w14:paraId="7A3C2FA9">
      <w:pPr>
        <w:spacing w:before="240" w:line="360" w:lineRule="auto"/>
        <w:rPr>
          <w:rFonts w:ascii="Arial" w:hAnsi="Arial" w:cs="Arial"/>
        </w:rPr>
      </w:pPr>
      <w:r>
        <w:rPr>
          <w:rFonts w:ascii="Arial" w:hAnsi="Arial" w:cs="Arial"/>
        </w:rPr>
        <w:t>6.   stav a pohyb majetku z záväzkov neziskovej organizácie,</w:t>
      </w:r>
    </w:p>
    <w:p w14:paraId="3F233978">
      <w:pPr>
        <w:spacing w:before="240" w:line="360" w:lineRule="auto"/>
        <w:rPr>
          <w:rFonts w:ascii="Arial" w:hAnsi="Arial" w:cs="Arial"/>
        </w:rPr>
      </w:pPr>
      <w:r>
        <w:rPr>
          <w:rFonts w:ascii="Arial" w:hAnsi="Arial" w:cs="Arial"/>
        </w:rPr>
        <w:t>7.   zmeny a nové zloženie orgánov neziskovej organizácie, ku ktorým došlo v priebehu roka,</w:t>
      </w:r>
    </w:p>
    <w:p w14:paraId="721A0A73">
      <w:pPr>
        <w:spacing w:before="240" w:line="360" w:lineRule="auto"/>
        <w:rPr>
          <w:rFonts w:ascii="Arial" w:hAnsi="Arial" w:cs="Arial"/>
        </w:rPr>
      </w:pPr>
      <w:r>
        <w:rPr>
          <w:rFonts w:ascii="Arial" w:hAnsi="Arial" w:cs="Arial"/>
        </w:rPr>
        <w:t>8.   ďalšie údaje určené správnou radou.</w:t>
      </w:r>
    </w:p>
    <w:p w14:paraId="1FBFF63A">
      <w:pPr>
        <w:spacing w:before="240" w:line="360" w:lineRule="auto"/>
        <w:rPr>
          <w:rFonts w:ascii="Arial" w:hAnsi="Arial" w:cs="Arial"/>
        </w:rPr>
      </w:pPr>
    </w:p>
    <w:p w14:paraId="6DCFF965">
      <w:pPr>
        <w:spacing w:before="240" w:line="360" w:lineRule="auto"/>
        <w:rPr>
          <w:rFonts w:ascii="Arial" w:hAnsi="Arial" w:cs="Arial"/>
        </w:rPr>
      </w:pPr>
    </w:p>
    <w:p w14:paraId="61E029EB">
      <w:pPr>
        <w:spacing w:before="240" w:line="360" w:lineRule="auto"/>
        <w:ind w:left="225"/>
        <w:rPr>
          <w:rFonts w:ascii="Arial" w:hAnsi="Arial" w:cs="Arial"/>
        </w:rPr>
      </w:pPr>
      <w:r>
        <w:rPr>
          <w:rFonts w:ascii="Arial" w:hAnsi="Arial" w:cs="Arial"/>
        </w:rPr>
        <w:t>Nezisková organizácia bola založená so zameraním na poskytovanie všeobecne      prospešných služieb.</w:t>
      </w:r>
    </w:p>
    <w:p w14:paraId="63A1F5C1">
      <w:pPr>
        <w:pStyle w:val="4"/>
        <w:numPr>
          <w:ilvl w:val="0"/>
          <w:numId w:val="1"/>
        </w:numPr>
        <w:spacing w:before="240" w:line="360" w:lineRule="auto"/>
        <w:rPr>
          <w:rFonts w:ascii="Arial" w:hAnsi="Arial" w:cs="Arial"/>
        </w:rPr>
      </w:pPr>
      <w:r>
        <w:rPr>
          <w:rFonts w:ascii="Arial" w:hAnsi="Arial" w:cs="Arial"/>
        </w:rPr>
        <w:t>poskytovanie sociálnej pomoci a humanitárna starostlivosť</w:t>
      </w:r>
    </w:p>
    <w:p w14:paraId="4EF26973">
      <w:pPr>
        <w:pStyle w:val="4"/>
        <w:numPr>
          <w:ilvl w:val="0"/>
          <w:numId w:val="1"/>
        </w:numPr>
        <w:spacing w:before="240" w:line="360" w:lineRule="auto"/>
        <w:rPr>
          <w:rFonts w:ascii="Arial" w:hAnsi="Arial" w:cs="Arial"/>
        </w:rPr>
      </w:pPr>
      <w:r>
        <w:rPr>
          <w:rFonts w:ascii="Arial" w:hAnsi="Arial" w:cs="Arial"/>
        </w:rPr>
        <w:t>poskytovanie zdravotnej starostlivosti</w:t>
      </w:r>
    </w:p>
    <w:p w14:paraId="3736B389">
      <w:pPr>
        <w:pStyle w:val="4"/>
        <w:numPr>
          <w:ilvl w:val="0"/>
          <w:numId w:val="1"/>
        </w:numPr>
        <w:spacing w:before="240" w:line="360" w:lineRule="auto"/>
        <w:rPr>
          <w:rFonts w:ascii="Arial" w:hAnsi="Arial" w:cs="Arial"/>
        </w:rPr>
      </w:pPr>
      <w:r>
        <w:rPr>
          <w:rFonts w:ascii="Arial" w:hAnsi="Arial" w:cs="Arial"/>
        </w:rPr>
        <w:t>vzdelávanie, výchova a rozvoj telesnej kultúry</w:t>
      </w:r>
    </w:p>
    <w:p w14:paraId="6355A515">
      <w:pPr>
        <w:spacing w:before="240" w:line="360" w:lineRule="auto"/>
        <w:ind w:left="225"/>
        <w:rPr>
          <w:rFonts w:ascii="Arial" w:hAnsi="Arial" w:cs="Arial"/>
        </w:rPr>
      </w:pPr>
      <w:r>
        <w:rPr>
          <w:rFonts w:ascii="Arial" w:hAnsi="Arial" w:cs="Arial"/>
        </w:rPr>
        <w:t>Pri poskytovaní všeobecne prospešných služieb sa nezisková organizácia zameriava najmä na osoby staré , v zrelom veku, bezvládne, nachádzajúce sa v ťažkých životných situáciách , sociálne ohrozené, nachádzajúce sa v krízových situáciách.</w:t>
      </w:r>
    </w:p>
    <w:p w14:paraId="64A39067">
      <w:pPr>
        <w:spacing w:before="240" w:line="360" w:lineRule="auto"/>
        <w:ind w:left="225"/>
        <w:rPr>
          <w:rFonts w:ascii="Arial" w:hAnsi="Arial" w:cs="Arial"/>
        </w:rPr>
      </w:pPr>
    </w:p>
    <w:p w14:paraId="4DBE9A2C">
      <w:pPr>
        <w:spacing w:before="240" w:line="360" w:lineRule="auto"/>
        <w:ind w:left="225"/>
        <w:rPr>
          <w:rFonts w:ascii="Arial" w:hAnsi="Arial" w:cs="Arial"/>
        </w:rPr>
      </w:pPr>
    </w:p>
    <w:p w14:paraId="348DA45C">
      <w:pPr>
        <w:spacing w:before="240" w:line="360" w:lineRule="auto"/>
        <w:ind w:left="225"/>
        <w:rPr>
          <w:rFonts w:ascii="Arial" w:hAnsi="Arial" w:cs="Arial"/>
        </w:rPr>
      </w:pPr>
    </w:p>
    <w:p w14:paraId="61D56938">
      <w:pPr>
        <w:spacing w:before="240" w:line="360" w:lineRule="auto"/>
        <w:ind w:left="225"/>
        <w:rPr>
          <w:rFonts w:ascii="Arial" w:hAnsi="Arial" w:cs="Arial"/>
        </w:rPr>
      </w:pPr>
    </w:p>
    <w:p w14:paraId="3995658B">
      <w:pPr>
        <w:spacing w:before="240" w:line="360" w:lineRule="auto"/>
        <w:ind w:left="225"/>
        <w:rPr>
          <w:rFonts w:ascii="Arial" w:hAnsi="Arial" w:cs="Arial"/>
        </w:rPr>
      </w:pPr>
    </w:p>
    <w:p w14:paraId="252C36AA">
      <w:pPr>
        <w:spacing w:before="240" w:line="360" w:lineRule="auto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1.  Prehľad  činností vykonávaných v kalendárnom roku.</w:t>
      </w:r>
    </w:p>
    <w:p w14:paraId="2692A9C2">
      <w:pPr>
        <w:spacing w:before="240" w:line="360" w:lineRule="auto"/>
        <w:ind w:left="375"/>
        <w:rPr>
          <w:rFonts w:ascii="Arial" w:hAnsi="Arial" w:cs="Arial"/>
        </w:rPr>
      </w:pPr>
      <w:r>
        <w:rPr>
          <w:rFonts w:ascii="Arial" w:hAnsi="Arial" w:cs="Arial"/>
        </w:rPr>
        <w:t>Počas roku 202</w:t>
      </w:r>
      <w:r>
        <w:rPr>
          <w:rFonts w:hint="default" w:ascii="Arial" w:hAnsi="Arial" w:cs="Arial"/>
          <w:lang w:val="sk-SK"/>
        </w:rPr>
        <w:t>5</w:t>
      </w:r>
      <w:r>
        <w:rPr>
          <w:rFonts w:ascii="Arial" w:hAnsi="Arial" w:cs="Arial"/>
        </w:rPr>
        <w:t xml:space="preserve"> sa nezisková organizácia snažila o získanie nenávratného    finančného príspevku na rozbeh svojej činnosti.</w:t>
      </w:r>
    </w:p>
    <w:p w14:paraId="6B1F1754">
      <w:pPr>
        <w:spacing w:before="240" w:line="360" w:lineRule="auto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2.  Ročná závierka a zhodnotenie základných údajov:</w:t>
      </w:r>
    </w:p>
    <w:p w14:paraId="5C15A3CF">
      <w:pPr>
        <w:spacing w:before="240" w:line="360" w:lineRule="auto"/>
        <w:rPr>
          <w:rFonts w:ascii="Arial" w:hAnsi="Arial" w:cs="Arial"/>
        </w:rPr>
      </w:pPr>
      <w:r>
        <w:rPr>
          <w:rFonts w:ascii="Arial" w:hAnsi="Arial" w:cs="Arial"/>
          <w:b/>
          <w:sz w:val="24"/>
          <w:szCs w:val="24"/>
        </w:rPr>
        <w:t xml:space="preserve">     </w:t>
      </w:r>
      <w:r>
        <w:rPr>
          <w:rFonts w:ascii="Arial" w:hAnsi="Arial" w:cs="Arial"/>
        </w:rPr>
        <w:t>Údaje v ročnej uzávierke zostávajú nezmenené.</w:t>
      </w:r>
    </w:p>
    <w:p w14:paraId="3C248C6E">
      <w:pPr>
        <w:spacing w:before="240" w:line="360" w:lineRule="auto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3.  Výrok audítora k ročnej závierke:</w:t>
      </w:r>
    </w:p>
    <w:p w14:paraId="7C3E80C3">
      <w:pPr>
        <w:spacing w:before="240" w:line="360" w:lineRule="auto"/>
        <w:rPr>
          <w:rFonts w:ascii="Arial" w:hAnsi="Arial" w:cs="Arial"/>
        </w:rPr>
      </w:pPr>
      <w:r>
        <w:rPr>
          <w:rFonts w:ascii="Arial" w:hAnsi="Arial" w:cs="Arial"/>
          <w:b/>
          <w:sz w:val="24"/>
          <w:szCs w:val="24"/>
        </w:rPr>
        <w:t xml:space="preserve">     </w:t>
      </w:r>
      <w:r>
        <w:rPr>
          <w:rFonts w:ascii="Arial" w:hAnsi="Arial" w:cs="Arial"/>
        </w:rPr>
        <w:t>Výrok audítora nebol potrebný.</w:t>
      </w:r>
    </w:p>
    <w:p w14:paraId="4BADE8B9">
      <w:pPr>
        <w:spacing w:before="240" w:line="360" w:lineRule="auto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4.  Prehľad o peňažných príjmoch a výdavkoch:</w:t>
      </w:r>
    </w:p>
    <w:p w14:paraId="3E170183">
      <w:pPr>
        <w:spacing w:before="240" w:line="360" w:lineRule="auto"/>
        <w:rPr>
          <w:rFonts w:ascii="Arial" w:hAnsi="Arial" w:cs="Arial"/>
        </w:rPr>
      </w:pPr>
      <w:r>
        <w:rPr>
          <w:rFonts w:ascii="Arial" w:hAnsi="Arial" w:cs="Arial"/>
          <w:b/>
          <w:sz w:val="24"/>
          <w:szCs w:val="24"/>
        </w:rPr>
        <w:t xml:space="preserve">     </w:t>
      </w:r>
      <w:r>
        <w:rPr>
          <w:rFonts w:ascii="Arial" w:hAnsi="Arial" w:cs="Arial"/>
        </w:rPr>
        <w:t>Organizácia nemala žiadny príjem ani výdaj.</w:t>
      </w:r>
    </w:p>
    <w:p w14:paraId="611833A8">
      <w:pPr>
        <w:spacing w:before="240" w:line="360" w:lineRule="auto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5.  Prehľad rozsahu príjmov, výdavkov v členení podľa zdrojov:</w:t>
      </w:r>
    </w:p>
    <w:p w14:paraId="723C1518">
      <w:pPr>
        <w:spacing w:before="240" w:line="360" w:lineRule="auto"/>
        <w:rPr>
          <w:rFonts w:ascii="Arial" w:hAnsi="Arial" w:cs="Arial"/>
        </w:rPr>
      </w:pPr>
      <w:r>
        <w:rPr>
          <w:rFonts w:ascii="Arial" w:hAnsi="Arial" w:cs="Arial"/>
          <w:b/>
          <w:sz w:val="24"/>
          <w:szCs w:val="24"/>
        </w:rPr>
        <w:t xml:space="preserve">     </w:t>
      </w:r>
      <w:r>
        <w:rPr>
          <w:rFonts w:ascii="Arial" w:hAnsi="Arial" w:cs="Arial"/>
        </w:rPr>
        <w:t>Z dôvodu navykonávania činnosti sa nepredpokladá.</w:t>
      </w:r>
    </w:p>
    <w:p w14:paraId="7505A63A">
      <w:pPr>
        <w:spacing w:before="240" w:line="360" w:lineRule="auto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6.  Stav a pohyb majetku a záväzkov neziskovej organizácie:</w:t>
      </w:r>
    </w:p>
    <w:p w14:paraId="71D7DE04">
      <w:pPr>
        <w:spacing w:before="240" w:line="36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     Z dôvodu nevykonávania činnosti sa nepredpokladá.</w:t>
      </w:r>
    </w:p>
    <w:p w14:paraId="29EF2D32">
      <w:pPr>
        <w:spacing w:before="240" w:line="360" w:lineRule="auto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7.  Zmeny a nové zloženie orgánov neziskovej organizácie, ku ktorým došlo v priebehu roka:</w:t>
      </w:r>
    </w:p>
    <w:p w14:paraId="7550791E">
      <w:pPr>
        <w:spacing w:before="240" w:line="360" w:lineRule="auto"/>
        <w:rPr>
          <w:rFonts w:ascii="Arial" w:hAnsi="Arial" w:cs="Arial"/>
        </w:rPr>
      </w:pPr>
      <w:r>
        <w:rPr>
          <w:rFonts w:ascii="Arial" w:hAnsi="Arial" w:cs="Arial"/>
          <w:b/>
          <w:sz w:val="24"/>
          <w:szCs w:val="24"/>
        </w:rPr>
        <w:t xml:space="preserve">    </w:t>
      </w:r>
      <w:r>
        <w:rPr>
          <w:rFonts w:ascii="Arial" w:hAnsi="Arial" w:cs="Arial"/>
        </w:rPr>
        <w:t>V neziskovej organizácií nedošlo k žiadnym zmenám.</w:t>
      </w:r>
    </w:p>
    <w:p w14:paraId="7E0A8004">
      <w:pPr>
        <w:spacing w:before="240" w:line="360" w:lineRule="auto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8.  Ďalšie údaje určené správnou radou.</w:t>
      </w:r>
    </w:p>
    <w:p w14:paraId="3F87F23B">
      <w:pPr>
        <w:spacing w:before="240" w:line="36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     Neboli.</w:t>
      </w:r>
    </w:p>
    <w:p w14:paraId="7DDDF65C">
      <w:pPr>
        <w:spacing w:before="240" w:line="360" w:lineRule="auto"/>
        <w:rPr>
          <w:rFonts w:ascii="Arial" w:hAnsi="Arial" w:cs="Arial"/>
        </w:rPr>
      </w:pPr>
      <w:r>
        <w:rPr>
          <w:rFonts w:ascii="Arial" w:hAnsi="Arial" w:cs="Arial"/>
        </w:rPr>
        <w:t>Výročná správa bola schválená na 1</w:t>
      </w:r>
      <w:r>
        <w:rPr>
          <w:rFonts w:hint="default" w:ascii="Arial" w:hAnsi="Arial" w:cs="Arial"/>
          <w:lang w:val="sk-SK"/>
        </w:rPr>
        <w:t>5</w:t>
      </w:r>
      <w:r>
        <w:rPr>
          <w:rFonts w:ascii="Arial" w:hAnsi="Arial" w:cs="Arial"/>
        </w:rPr>
        <w:t>. Zasadnutí správnej rady neziskovej organizácie dňa</w:t>
      </w:r>
      <w:r>
        <w:rPr>
          <w:rFonts w:hint="default" w:ascii="Arial" w:hAnsi="Arial" w:cs="Arial"/>
          <w:lang w:val="sk-SK"/>
        </w:rPr>
        <w:t xml:space="preserve"> 27</w:t>
      </w:r>
      <w:r>
        <w:rPr>
          <w:rFonts w:ascii="Arial" w:hAnsi="Arial" w:cs="Arial"/>
        </w:rPr>
        <w:t>.0</w:t>
      </w:r>
      <w:r>
        <w:rPr>
          <w:rFonts w:hint="default" w:ascii="Arial" w:hAnsi="Arial" w:cs="Arial"/>
          <w:lang w:val="sk-SK"/>
        </w:rPr>
        <w:t>5</w:t>
      </w:r>
      <w:r>
        <w:rPr>
          <w:rFonts w:ascii="Arial" w:hAnsi="Arial" w:cs="Arial"/>
        </w:rPr>
        <w:t>.202</w:t>
      </w:r>
      <w:r>
        <w:rPr>
          <w:rFonts w:hint="default" w:ascii="Arial" w:hAnsi="Arial" w:cs="Arial"/>
          <w:lang w:val="sk-SK"/>
        </w:rPr>
        <w:t>6</w:t>
      </w:r>
      <w:r>
        <w:rPr>
          <w:rFonts w:ascii="Arial" w:hAnsi="Arial" w:cs="Arial"/>
        </w:rPr>
        <w:t>.</w:t>
      </w:r>
    </w:p>
    <w:p w14:paraId="18E685D5">
      <w:r>
        <w:t xml:space="preserve"> </w:t>
      </w:r>
    </w:p>
    <w:p w14:paraId="341863C4">
      <w:pPr>
        <w:pBdr>
          <w:top w:val="single" w:color="auto" w:sz="4" w:space="1"/>
        </w:pBdr>
        <w:ind w:left="5664" w:firstLine="708"/>
        <w:rPr>
          <w:rFonts w:ascii="Arial" w:hAnsi="Arial" w:cs="Arial"/>
        </w:rPr>
      </w:pPr>
      <w:r>
        <w:rPr>
          <w:rFonts w:ascii="Arial" w:hAnsi="Arial" w:cs="Arial"/>
        </w:rPr>
        <w:t xml:space="preserve"> Ing. Milan Varga - riaditeľ</w:t>
      </w:r>
    </w:p>
    <w:p w14:paraId="166C9AD2">
      <w:pPr>
        <w:spacing w:before="240" w:line="360" w:lineRule="auto"/>
        <w:rPr>
          <w:rFonts w:ascii="Arial" w:hAnsi="Arial" w:cs="Arial"/>
          <w:u w:val="single"/>
        </w:rPr>
      </w:pPr>
      <w:r>
        <w:rPr>
          <w:rFonts w:ascii="Arial" w:hAnsi="Arial" w:cs="Arial"/>
        </w:rPr>
        <w:t xml:space="preserve">                                                                                    </w:t>
      </w:r>
      <w:r>
        <w:rPr>
          <w:rFonts w:ascii="Arial" w:hAnsi="Arial" w:cs="Arial"/>
          <w:u w:val="single"/>
        </w:rPr>
        <w:t xml:space="preserve"> </w:t>
      </w:r>
    </w:p>
    <w:p w14:paraId="603863A6">
      <w:pPr>
        <w:spacing w:before="240" w:line="360" w:lineRule="auto"/>
        <w:rPr>
          <w:rFonts w:ascii="Arial" w:hAnsi="Arial" w:cs="Arial"/>
          <w:u w:val="single"/>
        </w:rPr>
      </w:pPr>
    </w:p>
    <w:p w14:paraId="715EE4DB">
      <w:pPr>
        <w:pStyle w:val="4"/>
        <w:numPr>
          <w:ilvl w:val="0"/>
          <w:numId w:val="2"/>
        </w:numPr>
        <w:spacing w:before="240" w:line="360" w:lineRule="auto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 Prehľad činností</w:t>
      </w:r>
    </w:p>
    <w:p w14:paraId="752CF1D8">
      <w:pPr>
        <w:pStyle w:val="4"/>
        <w:spacing w:before="240" w:line="360" w:lineRule="auto"/>
        <w:rPr>
          <w:rFonts w:ascii="Arial" w:hAnsi="Arial" w:cs="Arial"/>
          <w:b/>
          <w:sz w:val="24"/>
          <w:szCs w:val="24"/>
        </w:rPr>
      </w:pPr>
    </w:p>
    <w:p w14:paraId="7BD71167">
      <w:pPr>
        <w:pStyle w:val="4"/>
        <w:spacing w:before="240" w:line="360" w:lineRule="auto"/>
        <w:rPr>
          <w:rFonts w:ascii="Arial" w:hAnsi="Arial" w:cs="Arial"/>
          <w:b/>
          <w:sz w:val="24"/>
          <w:szCs w:val="24"/>
        </w:rPr>
      </w:pPr>
    </w:p>
    <w:p w14:paraId="1C1D13AE">
      <w:pPr>
        <w:pStyle w:val="4"/>
        <w:spacing w:before="240" w:line="360" w:lineRule="auto"/>
        <w:rPr>
          <w:rFonts w:ascii="Arial" w:hAnsi="Arial" w:cs="Arial"/>
          <w:sz w:val="24"/>
          <w:szCs w:val="24"/>
        </w:rPr>
      </w:pPr>
    </w:p>
    <w:p w14:paraId="5A273517">
      <w:pPr>
        <w:pStyle w:val="4"/>
        <w:spacing w:before="240" w:line="360" w:lineRule="auto"/>
        <w:ind w:left="0"/>
        <w:jc w:val="both"/>
        <w:rPr>
          <w:rFonts w:ascii="Arial" w:hAnsi="Arial" w:cs="Arial"/>
        </w:rPr>
      </w:pPr>
      <w:r>
        <w:rPr>
          <w:rFonts w:ascii="Arial" w:hAnsi="Arial" w:cs="Arial"/>
          <w:sz w:val="24"/>
          <w:szCs w:val="24"/>
        </w:rPr>
        <w:t xml:space="preserve">   </w:t>
      </w:r>
      <w:r>
        <w:rPr>
          <w:rFonts w:ascii="Arial" w:hAnsi="Arial" w:cs="Arial"/>
        </w:rPr>
        <w:t>Nezisková organizácia RVSC Polianky bola založená za účelom poskytovania sociálnej pomoci, humanitárnej starostlivosti, na účely vzdelávania a rozvoja telesnej kultúry. Centrom pre poskytovanie týchto činnosti mala byť nehnuteľnosť na pozemkoch a v katastrálnom území Jaklovce.</w:t>
      </w:r>
    </w:p>
    <w:p w14:paraId="08B99C4F">
      <w:pPr>
        <w:pStyle w:val="4"/>
        <w:spacing w:before="240" w:line="360" w:lineRule="auto"/>
        <w:ind w:left="0"/>
        <w:jc w:val="both"/>
        <w:rPr>
          <w:rFonts w:ascii="Arial" w:hAnsi="Arial" w:cs="Arial"/>
        </w:rPr>
      </w:pPr>
    </w:p>
    <w:p w14:paraId="62E96661">
      <w:pPr>
        <w:pStyle w:val="4"/>
        <w:spacing w:before="240" w:line="360" w:lineRule="auto"/>
        <w:ind w:left="0"/>
        <w:jc w:val="both"/>
        <w:rPr>
          <w:rFonts w:ascii="Arial" w:hAnsi="Arial" w:cs="Arial"/>
        </w:rPr>
      </w:pPr>
      <w:r>
        <w:rPr>
          <w:rFonts w:ascii="Arial" w:hAnsi="Arial" w:cs="Arial"/>
        </w:rPr>
        <w:t>Pre túto nehnuteľnosť bola vypracovaná kompletná projektová dokumentácia, vydané Územné rozhodnutie o umiestnení zmeny stavby a následne bolo vydané stavebné povolenie obcou Jaklovce v roku 2008.</w:t>
      </w:r>
    </w:p>
    <w:p w14:paraId="2163C05E">
      <w:pPr>
        <w:pStyle w:val="4"/>
        <w:spacing w:before="240" w:line="360" w:lineRule="auto"/>
        <w:ind w:left="0"/>
        <w:jc w:val="both"/>
        <w:rPr>
          <w:rFonts w:ascii="Arial" w:hAnsi="Arial" w:cs="Arial"/>
        </w:rPr>
      </w:pPr>
    </w:p>
    <w:p w14:paraId="78D2E5A7">
      <w:pPr>
        <w:pStyle w:val="4"/>
        <w:spacing w:before="240" w:line="360" w:lineRule="auto"/>
        <w:ind w:left="0"/>
        <w:jc w:val="both"/>
        <w:rPr>
          <w:rFonts w:ascii="Arial" w:hAnsi="Arial" w:cs="Arial"/>
        </w:rPr>
      </w:pPr>
      <w:r>
        <w:rPr>
          <w:rFonts w:ascii="Arial" w:hAnsi="Arial" w:cs="Arial"/>
        </w:rPr>
        <w:t>Nezisková organizácia sa snaží od svojho založenie o získanie nenávratného finančného príspevku na rozbeh svojej činnosti od Ministerstva hospodárstva SR.</w:t>
      </w:r>
    </w:p>
    <w:p w14:paraId="7F2E26FA">
      <w:pPr>
        <w:pStyle w:val="4"/>
        <w:spacing w:before="240" w:line="360" w:lineRule="auto"/>
        <w:ind w:left="0"/>
        <w:jc w:val="both"/>
        <w:rPr>
          <w:rFonts w:ascii="Arial" w:hAnsi="Arial" w:cs="Arial"/>
        </w:rPr>
      </w:pPr>
    </w:p>
    <w:p w14:paraId="7A03E06C">
      <w:pPr>
        <w:pStyle w:val="4"/>
        <w:spacing w:before="240" w:line="360" w:lineRule="auto"/>
        <w:ind w:left="0"/>
        <w:jc w:val="both"/>
        <w:rPr>
          <w:rFonts w:ascii="Arial" w:hAnsi="Arial" w:cs="Arial"/>
        </w:rPr>
      </w:pPr>
      <w:r>
        <w:rPr>
          <w:rFonts w:ascii="Arial" w:hAnsi="Arial" w:cs="Arial"/>
        </w:rPr>
        <w:t>V roku 2008 podala organizácia svoju prvú žiadosť v operačnom programe Konkurencieschopnosť a hospodársky rast, kód výzvy KaHR-31SP-0801 o poskytnutie nenávratného finančného príspevku, ktorá jej však bola zamietnutá. V roku 2009 organizácia podala žiadosť o nenávratný finančný príspevok opakovane výzva KaHR-31SP-0802, táto žiadosť jej však nebola schválená z dôvodu nedostatočnej výšky finančných prostriedkov alokovaných na výzvu na predkladanie žiadosti.</w:t>
      </w:r>
    </w:p>
    <w:p w14:paraId="16F61B5A">
      <w:pPr>
        <w:pStyle w:val="4"/>
        <w:spacing w:before="240" w:line="360" w:lineRule="auto"/>
        <w:ind w:left="0"/>
        <w:jc w:val="both"/>
        <w:rPr>
          <w:rFonts w:ascii="Arial" w:hAnsi="Arial" w:cs="Arial"/>
        </w:rPr>
      </w:pPr>
    </w:p>
    <w:p w14:paraId="38959B98">
      <w:pPr>
        <w:pStyle w:val="4"/>
        <w:spacing w:before="240" w:line="360" w:lineRule="auto"/>
        <w:ind w:left="0"/>
        <w:jc w:val="both"/>
        <w:rPr>
          <w:rFonts w:ascii="Arial" w:hAnsi="Arial" w:cs="Arial"/>
        </w:rPr>
      </w:pPr>
      <w:r>
        <w:rPr>
          <w:rFonts w:ascii="Arial" w:hAnsi="Arial" w:cs="Arial"/>
        </w:rPr>
        <w:t>V priebehu roku 2013 vypracovala nezisková organizácia Žiadosť o nenávratný finančný príspevok pre opatrenia 3.1 Podpora podnikateľských aktivít v cestovnom ruchu. Žiaľ táto žiadosť nebola schválená.</w:t>
      </w:r>
    </w:p>
    <w:p w14:paraId="11643A2E">
      <w:pPr>
        <w:pStyle w:val="4"/>
        <w:spacing w:before="240" w:line="360" w:lineRule="auto"/>
        <w:ind w:left="0"/>
        <w:jc w:val="both"/>
        <w:rPr>
          <w:rFonts w:ascii="Arial" w:hAnsi="Arial" w:cs="Arial"/>
        </w:rPr>
      </w:pPr>
    </w:p>
    <w:p w14:paraId="6DB2E45A">
      <w:pPr>
        <w:pStyle w:val="4"/>
        <w:spacing w:before="240" w:line="360" w:lineRule="auto"/>
        <w:ind w:left="0"/>
        <w:jc w:val="both"/>
        <w:rPr>
          <w:rFonts w:ascii="Arial" w:hAnsi="Arial" w:cs="Arial"/>
        </w:rPr>
      </w:pPr>
      <w:r>
        <w:rPr>
          <w:rFonts w:ascii="Arial" w:hAnsi="Arial" w:cs="Arial"/>
        </w:rPr>
        <w:t>Aj počas roku 20</w:t>
      </w:r>
      <w:r>
        <w:rPr>
          <w:rFonts w:hint="default" w:ascii="Arial" w:hAnsi="Arial" w:cs="Arial"/>
          <w:lang w:val="sk-SK"/>
        </w:rPr>
        <w:t>25</w:t>
      </w:r>
      <w:bookmarkStart w:id="0" w:name="_GoBack"/>
      <w:bookmarkEnd w:id="0"/>
      <w:r>
        <w:rPr>
          <w:rFonts w:ascii="Arial" w:hAnsi="Arial" w:cs="Arial"/>
        </w:rPr>
        <w:t xml:space="preserve"> sa nezisková organizácia snažila o získanie finančného príspevku pre svoju činnosť.</w:t>
      </w:r>
    </w:p>
    <w:p w14:paraId="04EE4DC4">
      <w:pPr>
        <w:pStyle w:val="4"/>
        <w:spacing w:before="240" w:line="360" w:lineRule="auto"/>
        <w:ind w:left="0"/>
        <w:jc w:val="both"/>
        <w:rPr>
          <w:rFonts w:ascii="Arial" w:hAnsi="Arial" w:cs="Arial"/>
        </w:rPr>
      </w:pPr>
    </w:p>
    <w:p w14:paraId="1F3B3175">
      <w:pPr>
        <w:pStyle w:val="4"/>
        <w:spacing w:before="240" w:line="360" w:lineRule="auto"/>
        <w:ind w:left="0"/>
        <w:jc w:val="both"/>
        <w:rPr>
          <w:rFonts w:ascii="Arial" w:hAnsi="Arial" w:cs="Arial"/>
        </w:rPr>
      </w:pPr>
      <w:r>
        <w:rPr>
          <w:rFonts w:ascii="Arial" w:hAnsi="Arial" w:cs="Arial"/>
        </w:rPr>
        <w:t>Nezisková organizácia RVSC Polianky má v úmysle aj naďalej pokračovať v získavaní finančných príspevkov na zahájenie jej činnosti a v budúcnosti vykonávať služby uvedené v Zakladacej listine neziskovej organizácie.</w:t>
      </w:r>
    </w:p>
    <w:p w14:paraId="617BF5B8">
      <w:pPr>
        <w:pStyle w:val="4"/>
        <w:spacing w:before="240" w:line="360" w:lineRule="auto"/>
        <w:ind w:left="0"/>
        <w:jc w:val="both"/>
        <w:rPr>
          <w:rFonts w:ascii="Arial" w:hAnsi="Arial" w:cs="Arial"/>
        </w:rPr>
      </w:pPr>
    </w:p>
    <w:p w14:paraId="570A7228">
      <w:pPr>
        <w:pStyle w:val="4"/>
        <w:spacing w:before="240" w:line="360" w:lineRule="auto"/>
        <w:ind w:left="0"/>
        <w:jc w:val="both"/>
        <w:rPr>
          <w:rFonts w:ascii="Arial" w:hAnsi="Arial" w:cs="Arial"/>
        </w:rPr>
      </w:pPr>
    </w:p>
    <w:p w14:paraId="7F9BADE9">
      <w:pPr>
        <w:pStyle w:val="4"/>
        <w:spacing w:before="240" w:line="360" w:lineRule="auto"/>
        <w:ind w:left="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                                                                                               Ing. Milan Varga</w:t>
      </w:r>
    </w:p>
    <w:p w14:paraId="7B6E49E9">
      <w:pPr>
        <w:pStyle w:val="4"/>
        <w:spacing w:before="240" w:line="360" w:lineRule="auto"/>
        <w:ind w:left="0"/>
        <w:jc w:val="both"/>
        <w:rPr>
          <w:rFonts w:ascii="Arial" w:hAnsi="Arial" w:cs="Arial"/>
        </w:rPr>
      </w:pPr>
    </w:p>
    <w:p w14:paraId="187B1554">
      <w:pPr>
        <w:pStyle w:val="4"/>
        <w:spacing w:before="240" w:line="360" w:lineRule="auto"/>
        <w:jc w:val="both"/>
        <w:rPr>
          <w:rFonts w:ascii="Arial" w:hAnsi="Arial" w:cs="Arial"/>
          <w:sz w:val="24"/>
          <w:szCs w:val="24"/>
        </w:rPr>
      </w:pPr>
    </w:p>
    <w:p w14:paraId="5C0C79E0">
      <w:pPr>
        <w:pStyle w:val="4"/>
        <w:spacing w:before="240" w:line="360" w:lineRule="auto"/>
        <w:rPr>
          <w:rFonts w:ascii="Arial" w:hAnsi="Arial" w:cs="Arial"/>
          <w:b/>
          <w:sz w:val="24"/>
          <w:szCs w:val="24"/>
        </w:rPr>
      </w:pPr>
    </w:p>
    <w:p w14:paraId="5A93A03C">
      <w:pPr>
        <w:spacing w:before="240" w:line="360" w:lineRule="auto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    </w:t>
      </w:r>
    </w:p>
    <w:p w14:paraId="0BA8EAF5">
      <w:pPr>
        <w:spacing w:before="240" w:line="360" w:lineRule="auto"/>
        <w:rPr>
          <w:rFonts w:ascii="Arial" w:hAnsi="Arial" w:cs="Arial"/>
          <w:b/>
          <w:sz w:val="28"/>
          <w:szCs w:val="28"/>
        </w:rPr>
      </w:pPr>
    </w:p>
    <w:p w14:paraId="4D14CD4E">
      <w:pPr>
        <w:pStyle w:val="4"/>
        <w:numPr>
          <w:ilvl w:val="0"/>
          <w:numId w:val="3"/>
        </w:numPr>
        <w:spacing w:before="240" w:line="360" w:lineRule="auto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4"/>
          <w:szCs w:val="24"/>
        </w:rPr>
        <w:br w:type="page"/>
      </w:r>
    </w:p>
    <w:p w14:paraId="3EC82F02">
      <w:pPr>
        <w:spacing w:line="360" w:lineRule="auto"/>
        <w:rPr>
          <w:rFonts w:ascii="Arial" w:hAnsi="Arial" w:cs="Arial"/>
          <w:sz w:val="28"/>
          <w:szCs w:val="28"/>
        </w:rPr>
      </w:pPr>
    </w:p>
    <w:sectPr>
      <w:pgSz w:w="11906" w:h="16838"/>
      <w:pgMar w:top="1417" w:right="1417" w:bottom="1417" w:left="1417" w:header="708" w:footer="708" w:gutter="0"/>
      <w:cols w:space="708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default"/>
    <w:sig w:usb0="E0002EFF" w:usb1="C000785B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86"/>
    <w:family w:val="swiss"/>
    <w:pitch w:val="default"/>
    <w:sig w:usb0="E4002EFF" w:usb1="C200247B" w:usb2="00000009" w:usb3="00000000" w:csb0="200001FF" w:csb1="00000000"/>
  </w:font>
  <w:font w:name="等线">
    <w:altName w:val="Arial Unicode MS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Calibri">
    <w:panose1 w:val="020F0502020204030204"/>
    <w:charset w:val="EE"/>
    <w:family w:val="swiss"/>
    <w:pitch w:val="default"/>
    <w:sig w:usb0="E4002EFF" w:usb1="C200247B" w:usb2="00000009" w:usb3="00000000" w:csb0="200001FF" w:csb1="00000000"/>
  </w:font>
  <w:font w:name="Calibri">
    <w:panose1 w:val="020F0502020204030204"/>
    <w:charset w:val="00"/>
    <w:family w:val="auto"/>
    <w:pitch w:val="default"/>
    <w:sig w:usb0="E4002EFF" w:usb1="C200247B" w:usb2="00000009" w:usb3="00000000" w:csb0="200001FF" w:csb1="00000000"/>
  </w:font>
  <w:font w:name="Arial">
    <w:panose1 w:val="020B0604020202020204"/>
    <w:charset w:val="EE"/>
    <w:family w:val="swiss"/>
    <w:pitch w:val="default"/>
    <w:sig w:usb0="E0002EFF" w:usb1="C000785B" w:usb2="00000009" w:usb3="00000000" w:csb0="400001FF" w:csb1="FFFF0000"/>
  </w:font>
  <w:font w:name="Courier New">
    <w:panose1 w:val="02070309020205020404"/>
    <w:charset w:val="EE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76" w:lineRule="auto"/>
      </w:pPr>
      <w:r>
        <w:separator/>
      </w:r>
    </w:p>
  </w:footnote>
  <w:footnote w:type="continuationSeparator" w:id="1">
    <w:p>
      <w:pPr>
        <w:spacing w:before="0" w:after="0" w:line="276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0F15AAA"/>
    <w:multiLevelType w:val="multilevel"/>
    <w:tmpl w:val="00F15AAA"/>
    <w:lvl w:ilvl="0" w:tentative="0">
      <w:start w:val="1"/>
      <w:numFmt w:val="decimal"/>
      <w:lvlText w:val="%1."/>
      <w:lvlJc w:val="left"/>
      <w:pPr>
        <w:ind w:left="3585" w:hanging="360"/>
      </w:pPr>
    </w:lvl>
    <w:lvl w:ilvl="1" w:tentative="0">
      <w:start w:val="1"/>
      <w:numFmt w:val="lowerLetter"/>
      <w:lvlText w:val="%2."/>
      <w:lvlJc w:val="left"/>
      <w:pPr>
        <w:ind w:left="4305" w:hanging="360"/>
      </w:pPr>
    </w:lvl>
    <w:lvl w:ilvl="2" w:tentative="0">
      <w:start w:val="1"/>
      <w:numFmt w:val="lowerRoman"/>
      <w:lvlText w:val="%3."/>
      <w:lvlJc w:val="right"/>
      <w:pPr>
        <w:ind w:left="5025" w:hanging="180"/>
      </w:pPr>
    </w:lvl>
    <w:lvl w:ilvl="3" w:tentative="0">
      <w:start w:val="1"/>
      <w:numFmt w:val="decimal"/>
      <w:lvlText w:val="%4."/>
      <w:lvlJc w:val="left"/>
      <w:pPr>
        <w:ind w:left="5745" w:hanging="360"/>
      </w:pPr>
    </w:lvl>
    <w:lvl w:ilvl="4" w:tentative="0">
      <w:start w:val="1"/>
      <w:numFmt w:val="lowerLetter"/>
      <w:lvlText w:val="%5."/>
      <w:lvlJc w:val="left"/>
      <w:pPr>
        <w:ind w:left="6465" w:hanging="360"/>
      </w:pPr>
    </w:lvl>
    <w:lvl w:ilvl="5" w:tentative="0">
      <w:start w:val="1"/>
      <w:numFmt w:val="lowerRoman"/>
      <w:lvlText w:val="%6."/>
      <w:lvlJc w:val="right"/>
      <w:pPr>
        <w:ind w:left="7185" w:hanging="180"/>
      </w:pPr>
    </w:lvl>
    <w:lvl w:ilvl="6" w:tentative="0">
      <w:start w:val="1"/>
      <w:numFmt w:val="decimal"/>
      <w:lvlText w:val="%7."/>
      <w:lvlJc w:val="left"/>
      <w:pPr>
        <w:ind w:left="7905" w:hanging="360"/>
      </w:pPr>
    </w:lvl>
    <w:lvl w:ilvl="7" w:tentative="0">
      <w:start w:val="1"/>
      <w:numFmt w:val="lowerLetter"/>
      <w:lvlText w:val="%8."/>
      <w:lvlJc w:val="left"/>
      <w:pPr>
        <w:ind w:left="8625" w:hanging="360"/>
      </w:pPr>
    </w:lvl>
    <w:lvl w:ilvl="8" w:tentative="0">
      <w:start w:val="1"/>
      <w:numFmt w:val="lowerRoman"/>
      <w:lvlText w:val="%9."/>
      <w:lvlJc w:val="right"/>
      <w:pPr>
        <w:ind w:left="9345" w:hanging="180"/>
      </w:pPr>
    </w:lvl>
  </w:abstractNum>
  <w:abstractNum w:abstractNumId="1">
    <w:nsid w:val="0FB42266"/>
    <w:multiLevelType w:val="multilevel"/>
    <w:tmpl w:val="0FB42266"/>
    <w:lvl w:ilvl="0" w:tentative="0">
      <w:start w:val="8"/>
      <w:numFmt w:val="bullet"/>
      <w:lvlText w:val="-"/>
      <w:lvlJc w:val="left"/>
      <w:pPr>
        <w:ind w:left="585" w:hanging="360"/>
      </w:pPr>
      <w:rPr>
        <w:rFonts w:hint="default" w:ascii="Arial" w:hAnsi="Arial" w:cs="Arial" w:eastAsiaTheme="minorHAnsi"/>
      </w:rPr>
    </w:lvl>
    <w:lvl w:ilvl="1" w:tentative="0">
      <w:start w:val="1"/>
      <w:numFmt w:val="bullet"/>
      <w:lvlText w:val="o"/>
      <w:lvlJc w:val="left"/>
      <w:pPr>
        <w:ind w:left="1305" w:hanging="360"/>
      </w:pPr>
      <w:rPr>
        <w:rFonts w:hint="default" w:ascii="Courier New" w:hAnsi="Courier New" w:cs="Courier New"/>
      </w:rPr>
    </w:lvl>
    <w:lvl w:ilvl="2" w:tentative="0">
      <w:start w:val="1"/>
      <w:numFmt w:val="bullet"/>
      <w:lvlText w:val=""/>
      <w:lvlJc w:val="left"/>
      <w:pPr>
        <w:ind w:left="2025" w:hanging="360"/>
      </w:pPr>
      <w:rPr>
        <w:rFonts w:hint="default" w:ascii="Wingdings" w:hAnsi="Wingdings"/>
      </w:rPr>
    </w:lvl>
    <w:lvl w:ilvl="3" w:tentative="0">
      <w:start w:val="1"/>
      <w:numFmt w:val="bullet"/>
      <w:lvlText w:val=""/>
      <w:lvlJc w:val="left"/>
      <w:pPr>
        <w:ind w:left="2745" w:hanging="360"/>
      </w:pPr>
      <w:rPr>
        <w:rFonts w:hint="default" w:ascii="Symbol" w:hAnsi="Symbol"/>
      </w:rPr>
    </w:lvl>
    <w:lvl w:ilvl="4" w:tentative="0">
      <w:start w:val="1"/>
      <w:numFmt w:val="bullet"/>
      <w:lvlText w:val="o"/>
      <w:lvlJc w:val="left"/>
      <w:pPr>
        <w:ind w:left="3465" w:hanging="360"/>
      </w:pPr>
      <w:rPr>
        <w:rFonts w:hint="default" w:ascii="Courier New" w:hAnsi="Courier New" w:cs="Courier New"/>
      </w:rPr>
    </w:lvl>
    <w:lvl w:ilvl="5" w:tentative="0">
      <w:start w:val="1"/>
      <w:numFmt w:val="bullet"/>
      <w:lvlText w:val=""/>
      <w:lvlJc w:val="left"/>
      <w:pPr>
        <w:ind w:left="4185" w:hanging="360"/>
      </w:pPr>
      <w:rPr>
        <w:rFonts w:hint="default" w:ascii="Wingdings" w:hAnsi="Wingdings"/>
      </w:rPr>
    </w:lvl>
    <w:lvl w:ilvl="6" w:tentative="0">
      <w:start w:val="1"/>
      <w:numFmt w:val="bullet"/>
      <w:lvlText w:val=""/>
      <w:lvlJc w:val="left"/>
      <w:pPr>
        <w:ind w:left="4905" w:hanging="360"/>
      </w:pPr>
      <w:rPr>
        <w:rFonts w:hint="default" w:ascii="Symbol" w:hAnsi="Symbol"/>
      </w:rPr>
    </w:lvl>
    <w:lvl w:ilvl="7" w:tentative="0">
      <w:start w:val="1"/>
      <w:numFmt w:val="bullet"/>
      <w:lvlText w:val="o"/>
      <w:lvlJc w:val="left"/>
      <w:pPr>
        <w:ind w:left="5625" w:hanging="360"/>
      </w:pPr>
      <w:rPr>
        <w:rFonts w:hint="default" w:ascii="Courier New" w:hAnsi="Courier New" w:cs="Courier New"/>
      </w:rPr>
    </w:lvl>
    <w:lvl w:ilvl="8" w:tentative="0">
      <w:start w:val="1"/>
      <w:numFmt w:val="bullet"/>
      <w:lvlText w:val=""/>
      <w:lvlJc w:val="left"/>
      <w:pPr>
        <w:ind w:left="6345" w:hanging="360"/>
      </w:pPr>
      <w:rPr>
        <w:rFonts w:hint="default" w:ascii="Wingdings" w:hAnsi="Wingdings"/>
      </w:rPr>
    </w:lvl>
  </w:abstractNum>
  <w:abstractNum w:abstractNumId="2">
    <w:nsid w:val="538A1600"/>
    <w:multiLevelType w:val="multilevel"/>
    <w:tmpl w:val="538A1600"/>
    <w:lvl w:ilvl="0" w:tentative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cumentProtection w:enforcement="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>
    <w:compatSetting w:name="compatibilityMode" w:uri="http://schemas.microsoft.com/office/word" w:val="12"/>
  </w:compat>
  <w:rsids>
    <w:rsidRoot w:val="006179E7"/>
    <w:rsid w:val="000937A7"/>
    <w:rsid w:val="000948BC"/>
    <w:rsid w:val="002C5D0D"/>
    <w:rsid w:val="00514610"/>
    <w:rsid w:val="00604EFB"/>
    <w:rsid w:val="006179E7"/>
    <w:rsid w:val="006B4633"/>
    <w:rsid w:val="0073488A"/>
    <w:rsid w:val="007F68BD"/>
    <w:rsid w:val="008B0F91"/>
    <w:rsid w:val="00924E19"/>
    <w:rsid w:val="00AC0D4E"/>
    <w:rsid w:val="00C645EB"/>
    <w:rsid w:val="00CF76EF"/>
    <w:rsid w:val="00D22E96"/>
    <w:rsid w:val="00E6542B"/>
    <w:rsid w:val="00E7748F"/>
    <w:rsid w:val="00EC33B2"/>
    <w:rsid w:val="09DE35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HAnsi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200" w:line="276" w:lineRule="auto"/>
    </w:pPr>
    <w:rPr>
      <w:rFonts w:asciiTheme="minorHAnsi" w:hAnsiTheme="minorHAnsi" w:eastAsiaTheme="minorHAnsi" w:cstheme="minorBidi"/>
      <w:sz w:val="22"/>
      <w:szCs w:val="22"/>
      <w:lang w:val="sk-SK" w:eastAsia="en-US" w:bidi="ar-SA"/>
    </w:rPr>
  </w:style>
  <w:style w:type="character" w:default="1" w:styleId="2">
    <w:name w:val="Default Paragraph Font"/>
    <w:semiHidden/>
    <w:unhideWhenUsed/>
    <w:qFormat/>
    <w:uiPriority w:val="1"/>
  </w:style>
  <w:style w:type="table" w:default="1" w:styleId="3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List Paragraph"/>
    <w:basedOn w:val="1"/>
    <w:qFormat/>
    <w:uiPriority w:val="34"/>
    <w:pPr>
      <w:ind w:left="720"/>
      <w:contextualSpacing/>
    </w:p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numbering" Target="numbering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BC7C0A9A-A993-4E9C-8344-879F70E95EEA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6</Pages>
  <Words>507</Words>
  <Characters>3263</Characters>
  <Lines>29</Lines>
  <Paragraphs>8</Paragraphs>
  <TotalTime>17</TotalTime>
  <ScaleCrop>false</ScaleCrop>
  <LinksUpToDate>false</LinksUpToDate>
  <CharactersWithSpaces>4055</CharactersWithSpaces>
  <Application>WPS Office_12.1.0.26372_F1E327BC-269C-435d-A152-05C5408002CA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2020-06-16T08:00:00Z</dcterms:created>
  <dc:creator>MIVA</dc:creator>
  <cp:lastModifiedBy>Marta Hricová</cp:lastModifiedBy>
  <cp:lastPrinted>2021-05-07T08:20:00Z</cp:lastPrinted>
  <dcterms:modified xsi:type="dcterms:W3CDTF">2026-05-27T08:49:58Z</dcterms:modified>
  <cp:revision>10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eyJoZGlkIjoiNDRmOTc3OGQ5NDcxYmQ5ZmFjYjIwMjc4OGY5NGJjYjgiLCJ1c2VySWQiOiIzNzI4NzM4NzMyOTU4In0=</vt:lpwstr>
  </property>
  <property fmtid="{D5CDD505-2E9C-101B-9397-08002B2CF9AE}" pid="3" name="KSOProductBuildVer">
    <vt:lpwstr>1033-12.1.0.26372</vt:lpwstr>
  </property>
  <property fmtid="{D5CDD505-2E9C-101B-9397-08002B2CF9AE}" pid="4" name="ICV">
    <vt:lpwstr>87F92DB6F4D543599E12B51998049CBA_12</vt:lpwstr>
  </property>
</Properties>
</file>