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80"/>
        <w:gridCol w:w="1900"/>
        <w:gridCol w:w="1040"/>
        <w:gridCol w:w="280"/>
        <w:gridCol w:w="300"/>
        <w:gridCol w:w="280"/>
        <w:gridCol w:w="280"/>
        <w:gridCol w:w="280"/>
        <w:gridCol w:w="280"/>
        <w:gridCol w:w="280"/>
        <w:gridCol w:w="300"/>
        <w:gridCol w:w="560"/>
        <w:gridCol w:w="280"/>
        <w:gridCol w:w="280"/>
        <w:gridCol w:w="280"/>
        <w:gridCol w:w="300"/>
        <w:gridCol w:w="280"/>
        <w:gridCol w:w="280"/>
        <w:gridCol w:w="280"/>
        <w:gridCol w:w="280"/>
        <w:gridCol w:w="280"/>
        <w:gridCol w:w="300"/>
      </w:tblGrid>
      <w:tr w:rsidR="003E52FA" w14:paraId="0A8CC184" w14:textId="77777777">
        <w:trPr>
          <w:trHeight w:val="251"/>
        </w:trPr>
        <w:tc>
          <w:tcPr>
            <w:tcW w:w="21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14:paraId="627DBDCF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Poznámky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Úč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MÚJ 3 - 01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CE79155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47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- 1 -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2ABF2945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IČO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029F092C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A2F8CF1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7D3EB69E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69F0BDA9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53A8FCBF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14F50B00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17B3A9C9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628552FE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2FCDC559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DIČ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0418B077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236837F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05F76CE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95D843F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03A71C56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CF6D29A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63FA4319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12ECF82B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7F9342F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1E53A925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3E52FA" w14:paraId="5DB54EB1" w14:textId="77777777">
        <w:trPr>
          <w:trHeight w:val="32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4E8ACF5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D402232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206CC749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825FD63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476657B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D1FE119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B0B4584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A768CBA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101A91E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7C1ACCD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C0F2A8F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4CE093FA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E99CA77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CF91F9B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C3E5820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EC77CCB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60B684A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EACB1FB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234AE85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A17F0F9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3842CF7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0BDD587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</w:tbl>
    <w:p w14:paraId="0F98D46A" w14:textId="77777777"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7519A080" w14:textId="77777777" w:rsidR="003E52FA" w:rsidRDefault="003E52FA">
      <w:pPr>
        <w:widowControl w:val="0"/>
        <w:autoSpaceDE w:val="0"/>
        <w:autoSpaceDN w:val="0"/>
        <w:adjustRightInd w:val="0"/>
        <w:spacing w:after="0" w:line="285" w:lineRule="exact"/>
        <w:rPr>
          <w:rFonts w:ascii="Times New Roman" w:hAnsi="Times New Roman" w:cs="Times New Roman"/>
          <w:sz w:val="24"/>
          <w:szCs w:val="24"/>
        </w:rPr>
      </w:pPr>
    </w:p>
    <w:p w14:paraId="732F3EF7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</w:rPr>
        <w:t>Čl.1 Všeobecné údaje</w:t>
      </w:r>
    </w:p>
    <w:p w14:paraId="13A1E460" w14:textId="77777777" w:rsidR="003E52FA" w:rsidRDefault="003E52FA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 w:cs="Times New Roman"/>
          <w:sz w:val="24"/>
          <w:szCs w:val="24"/>
        </w:rPr>
      </w:pPr>
    </w:p>
    <w:p w14:paraId="44C2EA33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Čl.1.1 Názov právnickej osoby a jej sídlo alebo meno a priezvisko fyzickej osoby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</w:p>
    <w:p w14:paraId="049F90A1" w14:textId="77777777"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787C2BC1" w14:textId="77777777" w:rsidR="003E52FA" w:rsidRDefault="003E52FA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  <w:t xml:space="preserve">Veterinárna klinika VETAXS, s.r.o.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Električná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339/17, 91101  Trenčín</w:t>
      </w:r>
    </w:p>
    <w:p w14:paraId="4EA77EF4" w14:textId="77777777" w:rsidR="003E52FA" w:rsidRDefault="003E52FA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Spoločnosť sa predovšetkým zaoberá:</w:t>
      </w:r>
    </w:p>
    <w:p w14:paraId="0ABE2997" w14:textId="77777777" w:rsidR="003E52FA" w:rsidRDefault="003E52FA">
      <w:pPr>
        <w:widowControl w:val="0"/>
        <w:autoSpaceDE w:val="0"/>
        <w:autoSpaceDN w:val="0"/>
        <w:adjustRightInd w:val="0"/>
        <w:spacing w:after="0" w:line="375" w:lineRule="exact"/>
        <w:ind w:firstLine="72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highlight w:val="white"/>
        </w:rPr>
        <w:t>chov vybraných druhov zvierat</w:t>
      </w:r>
      <w:r>
        <w:rPr>
          <w:rFonts w:ascii="Arial" w:hAnsi="Arial" w:cs="Arial"/>
          <w:b/>
          <w:bCs/>
          <w:color w:val="000000"/>
          <w:sz w:val="20"/>
          <w:szCs w:val="20"/>
        </w:rPr>
        <w:t> </w:t>
      </w:r>
    </w:p>
    <w:p w14:paraId="3C4E3C41" w14:textId="77777777" w:rsidR="003E52FA" w:rsidRDefault="003E52FA">
      <w:pPr>
        <w:widowControl w:val="0"/>
        <w:autoSpaceDE w:val="0"/>
        <w:autoSpaceDN w:val="0"/>
        <w:adjustRightInd w:val="0"/>
        <w:spacing w:after="0" w:line="375" w:lineRule="exact"/>
        <w:ind w:firstLine="72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highlight w:val="white"/>
        </w:rPr>
        <w:t>poskytovanie služieb súvisiacich so starostlivosťou o zvieratá</w:t>
      </w:r>
      <w:r>
        <w:rPr>
          <w:rFonts w:ascii="Arial" w:hAnsi="Arial" w:cs="Arial"/>
          <w:b/>
          <w:bCs/>
          <w:color w:val="000000"/>
          <w:sz w:val="20"/>
          <w:szCs w:val="20"/>
        </w:rPr>
        <w:t> </w:t>
      </w:r>
    </w:p>
    <w:p w14:paraId="6A903B8F" w14:textId="77777777" w:rsidR="003175DD" w:rsidRDefault="003175D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2BB87359" w14:textId="2C022D4A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Čl.1.2 Údaje o konsolidovanom celku</w:t>
      </w:r>
    </w:p>
    <w:p w14:paraId="5E2DFA2B" w14:textId="77777777" w:rsidR="003E52FA" w:rsidRDefault="003E52FA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4"/>
          <w:szCs w:val="24"/>
        </w:rPr>
      </w:pPr>
    </w:p>
    <w:p w14:paraId="24E31F7C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nie je súčasťou konsolidovaného celku.</w:t>
      </w:r>
    </w:p>
    <w:p w14:paraId="383BA60C" w14:textId="77777777"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26EF7462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Čl.1.3 Priemerný prepočítaný počet zamestnancov</w:t>
      </w:r>
    </w:p>
    <w:p w14:paraId="4B508CFF" w14:textId="77777777"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17"/>
        <w:gridCol w:w="163"/>
        <w:gridCol w:w="163"/>
        <w:gridCol w:w="901"/>
        <w:gridCol w:w="902"/>
        <w:gridCol w:w="901"/>
        <w:gridCol w:w="901"/>
        <w:gridCol w:w="901"/>
        <w:gridCol w:w="902"/>
      </w:tblGrid>
      <w:tr w:rsidR="003E52FA" w14:paraId="491EDB23" w14:textId="77777777">
        <w:trPr>
          <w:trHeight w:val="331"/>
        </w:trPr>
        <w:tc>
          <w:tcPr>
            <w:tcW w:w="404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F6F0CF1" w14:textId="77777777"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Údaje o počte zamestnancov: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2503F03" w14:textId="77777777"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B8E182D" w14:textId="77777777"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5425821" w14:textId="77777777"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3BDC68" w14:textId="77777777"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C834358" w14:textId="77777777"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2BB5E55" w14:textId="77777777"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</w:tr>
      <w:tr w:rsidR="003E52FA" w14:paraId="2DE5DD85" w14:textId="77777777">
        <w:trPr>
          <w:trHeight w:val="331"/>
        </w:trPr>
        <w:tc>
          <w:tcPr>
            <w:tcW w:w="5846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3FC9BC02" w14:textId="77777777"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 xml:space="preserve">Názov položky </w:t>
            </w:r>
          </w:p>
        </w:tc>
        <w:tc>
          <w:tcPr>
            <w:tcW w:w="3605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14:paraId="393E80F4" w14:textId="7ADFC5AD" w:rsidR="003E52FA" w:rsidRDefault="00D21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2025</w:t>
            </w:r>
          </w:p>
        </w:tc>
      </w:tr>
      <w:tr w:rsidR="003E52FA" w14:paraId="10ECD262" w14:textId="77777777">
        <w:trPr>
          <w:trHeight w:val="331"/>
        </w:trPr>
        <w:tc>
          <w:tcPr>
            <w:tcW w:w="37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66FF8BA" w14:textId="77777777"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Priemerný prepočítaný počet zamestnancov 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0A5E75C" w14:textId="77777777"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7A9B4ED" w14:textId="77777777"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48EAF5B" w14:textId="77777777"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0EA05EE" w14:textId="77777777"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0CF26D6E" w14:textId="77777777"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B5CD300" w14:textId="70607865" w:rsidR="003E52FA" w:rsidRDefault="003175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3179020" w14:textId="77777777"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A00EF64" w14:textId="77777777"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14:paraId="684FA13D" w14:textId="77777777"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6935D245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</w:rPr>
        <w:t>Čl.2 Informácie o prijatých postupoch</w:t>
      </w:r>
    </w:p>
    <w:p w14:paraId="6B46CE16" w14:textId="77777777" w:rsidR="003E52FA" w:rsidRDefault="003E52FA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 w:cs="Times New Roman"/>
          <w:b/>
          <w:bCs/>
          <w:sz w:val="24"/>
          <w:szCs w:val="24"/>
        </w:rPr>
      </w:pPr>
    </w:p>
    <w:p w14:paraId="165D0F2A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Čl.2.1 Nepretržité pokračovanie v činnosti</w:t>
      </w:r>
    </w:p>
    <w:p w14:paraId="0B1B8AC3" w14:textId="77777777" w:rsidR="003E52FA" w:rsidRDefault="003E52FA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4"/>
          <w:szCs w:val="24"/>
        </w:rPr>
      </w:pPr>
    </w:p>
    <w:p w14:paraId="3AA71FC6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závierka bola zostavená za predpokladu nepretržitého trvania spoločnosti.</w:t>
      </w:r>
    </w:p>
    <w:p w14:paraId="387ACCF7" w14:textId="77777777"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17D7CA6E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Čl.2.2 Spôsob oceňovania jednotlivých položiek majetku a záväzkov</w:t>
      </w:r>
    </w:p>
    <w:p w14:paraId="4C7D9ACD" w14:textId="77777777" w:rsidR="003E52FA" w:rsidRDefault="003E52FA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4"/>
          <w:szCs w:val="24"/>
        </w:rPr>
      </w:pPr>
    </w:p>
    <w:p w14:paraId="09A89732" w14:textId="77777777" w:rsidR="003E52FA" w:rsidRDefault="003E52FA">
      <w:pPr>
        <w:widowControl w:val="0"/>
        <w:autoSpaceDE w:val="0"/>
        <w:autoSpaceDN w:val="0"/>
        <w:adjustRightInd w:val="0"/>
        <w:spacing w:after="0" w:line="372" w:lineRule="auto"/>
        <w:ind w:left="360" w:right="4360" w:hanging="356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oceňovala majetok a záväzky - ku dňu uskutočnenie účtovného prípadu</w:t>
      </w:r>
    </w:p>
    <w:p w14:paraId="29D3BC23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Ku dňu uskutočnenia účtovného prípadu oceňovala účtovná jednotka majetok a záväzky obstarávacou cenou</w:t>
      </w:r>
    </w:p>
    <w:p w14:paraId="3AE54443" w14:textId="77777777" w:rsidR="003E52FA" w:rsidRDefault="003E52FA">
      <w:pPr>
        <w:widowControl w:val="0"/>
        <w:autoSpaceDE w:val="0"/>
        <w:autoSpaceDN w:val="0"/>
        <w:adjustRightInd w:val="0"/>
        <w:spacing w:after="0" w:line="99" w:lineRule="exact"/>
        <w:rPr>
          <w:rFonts w:ascii="Times New Roman" w:hAnsi="Times New Roman" w:cs="Times New Roman"/>
          <w:sz w:val="24"/>
          <w:szCs w:val="24"/>
        </w:rPr>
      </w:pPr>
    </w:p>
    <w:p w14:paraId="08788500" w14:textId="77777777" w:rsidR="003E52FA" w:rsidRDefault="003E52FA" w:rsidP="003E52F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nehmotný majetok obstaraný kúpou </w:t>
      </w:r>
    </w:p>
    <w:p w14:paraId="12930F7E" w14:textId="77777777" w:rsidR="003E52FA" w:rsidRDefault="003E52FA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2EC61AFC" w14:textId="77777777" w:rsidR="003E52FA" w:rsidRDefault="003E52FA" w:rsidP="003E52F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hmotný majetok obstaraný kúpou </w:t>
      </w:r>
    </w:p>
    <w:p w14:paraId="0105F098" w14:textId="77777777" w:rsidR="003E52FA" w:rsidRDefault="003E52FA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5BEBAFCA" w14:textId="77777777" w:rsidR="003E52FA" w:rsidRDefault="003E52FA" w:rsidP="003E52F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finančný majetok </w:t>
      </w:r>
    </w:p>
    <w:p w14:paraId="7BC3B78A" w14:textId="77777777" w:rsidR="003E52FA" w:rsidRDefault="003E52FA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1E6528AA" w14:textId="77777777" w:rsidR="003E52FA" w:rsidRDefault="003E52FA" w:rsidP="003E52F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zásoby obstarané kúpou </w:t>
      </w:r>
    </w:p>
    <w:p w14:paraId="29D5BB3B" w14:textId="77777777" w:rsidR="003E52FA" w:rsidRDefault="003E52FA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077C8620" w14:textId="77777777" w:rsidR="003E52FA" w:rsidRDefault="003E52FA" w:rsidP="003E52F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pohľadávky pri odplatnom nadobudnutí </w:t>
      </w:r>
    </w:p>
    <w:p w14:paraId="4F323C3C" w14:textId="77777777" w:rsidR="003E52FA" w:rsidRDefault="003E52FA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553DB5FE" w14:textId="77777777" w:rsidR="003E52FA" w:rsidRDefault="003E52FA" w:rsidP="003E52F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prevzatí </w:t>
      </w:r>
    </w:p>
    <w:p w14:paraId="3B7BB634" w14:textId="77777777" w:rsidR="003E52FA" w:rsidRDefault="003E52FA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1409B612" w14:textId="77777777" w:rsidR="003E52FA" w:rsidRDefault="003E52FA" w:rsidP="003E52F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krátkodobý finančný majetok obstaraný kúpou</w:t>
      </w:r>
    </w:p>
    <w:p w14:paraId="539A8776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14:paraId="6A4B992C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Pohľadávky pri ich vzniku sa oceňujú ich menovitou hodnotou.</w:t>
      </w:r>
    </w:p>
    <w:p w14:paraId="71402EFB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vzniku sa oceňujú menovitou hodnotou. </w:t>
      </w:r>
    </w:p>
    <w:p w14:paraId="46575901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derivátoch.</w:t>
      </w:r>
    </w:p>
    <w:p w14:paraId="1FFE6517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majetku a záväzkoch zabezpečených derivátmi.</w:t>
      </w:r>
    </w:p>
    <w:p w14:paraId="7D78E224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14:paraId="21888786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Čl.2.3 Spôsob odpisovania</w:t>
      </w:r>
    </w:p>
    <w:p w14:paraId="0DC3F0AE" w14:textId="77777777" w:rsidR="003E52FA" w:rsidRDefault="003E52FA">
      <w:pPr>
        <w:widowControl w:val="0"/>
        <w:autoSpaceDE w:val="0"/>
        <w:autoSpaceDN w:val="0"/>
        <w:adjustRightInd w:val="0"/>
        <w:spacing w:after="0" w:line="390" w:lineRule="exact"/>
        <w:rPr>
          <w:rFonts w:ascii="Times New Roman" w:hAnsi="Times New Roman" w:cs="Times New Roman"/>
          <w:sz w:val="24"/>
          <w:szCs w:val="24"/>
        </w:rPr>
      </w:pPr>
    </w:p>
    <w:p w14:paraId="30F50440" w14:textId="77777777"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Odpisy dlhodobého nehmotného majetku sú stanovené vychádzajúc z predpokladanej doby jeho používania a predpokladaného </w:t>
      </w:r>
      <w:r>
        <w:rPr>
          <w:rFonts w:ascii="Arial" w:hAnsi="Arial" w:cs="Arial"/>
          <w:sz w:val="16"/>
          <w:szCs w:val="16"/>
        </w:rPr>
        <w:lastRenderedPageBreak/>
        <w:t xml:space="preserve">priebehu jeho opotrebenia. </w:t>
      </w:r>
    </w:p>
    <w:p w14:paraId="42B0D834" w14:textId="77777777"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15630B46" w14:textId="77777777"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Predpokladaná doba používania, metóda odpisovania a odpisová sadzba sú uvedené v tabuľke:</w:t>
      </w:r>
    </w:p>
    <w:p w14:paraId="13B441BE" w14:textId="77777777"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77"/>
        <w:gridCol w:w="1701"/>
        <w:gridCol w:w="1418"/>
        <w:gridCol w:w="1843"/>
      </w:tblGrid>
      <w:tr w:rsidR="003E52FA" w14:paraId="6559E106" w14:textId="77777777">
        <w:tc>
          <w:tcPr>
            <w:tcW w:w="40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9FB63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3DFCEE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Predpokladaná doba používania v rokoch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CE298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Metóda odpisovania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02DBA89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Sadzba ročného odpisu</w:t>
            </w:r>
          </w:p>
        </w:tc>
      </w:tr>
      <w:tr w:rsidR="003E52FA" w14:paraId="4D803BB4" w14:textId="77777777">
        <w:tc>
          <w:tcPr>
            <w:tcW w:w="40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A996B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Ultrasonografický prístroj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7C6979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E72B5C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577518D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E52FA" w14:paraId="1BD755C4" w14:textId="77777777">
        <w:tc>
          <w:tcPr>
            <w:tcW w:w="40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DD65F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RTG stôl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5C43D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564E2C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01CB0B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E52FA" w14:paraId="5BF502FD" w14:textId="77777777">
        <w:tc>
          <w:tcPr>
            <w:tcW w:w="40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E6734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Videoendoskopický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systém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1A21C9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F0B70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AB6A56C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E52FA" w14:paraId="5A408676" w14:textId="77777777">
        <w:tc>
          <w:tcPr>
            <w:tcW w:w="40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808D2F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Artroskopický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prístroj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525C9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773E1B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963A1E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E52FA" w14:paraId="6D47FCAC" w14:textId="77777777">
        <w:tc>
          <w:tcPr>
            <w:tcW w:w="40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3368E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Anestoziologický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prístroj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0CFAE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2C4E34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FC114CE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E52FA" w14:paraId="0604F777" w14:textId="77777777">
        <w:tc>
          <w:tcPr>
            <w:tcW w:w="40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54A84" w14:textId="77777777" w:rsidR="003E52FA" w:rsidRDefault="003E52FA" w:rsidP="005D424E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Osobný automobil – </w:t>
            </w:r>
            <w:r w:rsidR="005D424E">
              <w:rPr>
                <w:rFonts w:ascii="Arial" w:hAnsi="Arial" w:cs="Arial"/>
                <w:sz w:val="16"/>
                <w:szCs w:val="16"/>
              </w:rPr>
              <w:t>BMW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8A9DB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9912CC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72E696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E52FA" w14:paraId="31839D63" w14:textId="77777777">
        <w:tc>
          <w:tcPr>
            <w:tcW w:w="40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64416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Digitalizácia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EA7C8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76870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AE8726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E52FA" w14:paraId="13E91D57" w14:textId="77777777">
        <w:tc>
          <w:tcPr>
            <w:tcW w:w="40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9BDFA" w14:textId="32717D52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Osobný automobil </w:t>
            </w:r>
            <w:r w:rsidR="003175DD">
              <w:rPr>
                <w:rFonts w:ascii="Arial" w:hAnsi="Arial" w:cs="Arial"/>
                <w:sz w:val="16"/>
                <w:szCs w:val="16"/>
              </w:rPr>
              <w:t>Škoda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39DF96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434713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20A659D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14:paraId="283B3F06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03ED8427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Čl.2.4 Zmeny účtovných zásad a zmeny účtovných metód</w:t>
      </w:r>
    </w:p>
    <w:p w14:paraId="1D2CD1D9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nevykonala žiadne zmeny účtovných zásad a účtovných metód.</w:t>
      </w:r>
    </w:p>
    <w:p w14:paraId="5B7B3F28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232CCC1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Čl.2.5 Informácie o dotáciách a ich oceňovanie v účtovníctve</w:t>
      </w:r>
    </w:p>
    <w:p w14:paraId="3AAFC419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a nedostala žiadne dotácie.</w:t>
      </w:r>
    </w:p>
    <w:p w14:paraId="5E2BD23F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Čl.2.6 Informácie o účtovaní významných opráv chýb minulých účtovných období v bežnom účtovnom období</w:t>
      </w:r>
    </w:p>
    <w:p w14:paraId="3CA6531A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žiadne opravy chýb minulých účtovných období.</w:t>
      </w:r>
    </w:p>
    <w:p w14:paraId="53CED80C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14328C3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</w:rPr>
        <w:t>Čl.3. Informácie, ktoré vysvetľujú a dopĺňajú súvahu a výkaz ziskov a strát</w:t>
      </w:r>
    </w:p>
    <w:p w14:paraId="487FA9F7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64A83C80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Čl.3.1 Informácia o sume a dôvodoch vzniku jednotlivých položiek nákladov alebo výnosov, ktoré majú výnimočný rozsah</w:t>
      </w:r>
    </w:p>
    <w:p w14:paraId="2525D730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37BD1A5D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jednotlivé položky nákladov alebo výnosov, ktoré majú výnimočný rozsah.</w:t>
      </w:r>
    </w:p>
    <w:p w14:paraId="6CA93806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32D74101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Čl.3.2 Informácie o záväzkoch</w:t>
      </w:r>
    </w:p>
    <w:p w14:paraId="06E5A2E7" w14:textId="77777777"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66"/>
        <w:gridCol w:w="4856"/>
      </w:tblGrid>
      <w:tr w:rsidR="003E52FA" w14:paraId="57FDBD06" w14:textId="77777777">
        <w:trPr>
          <w:trHeight w:val="491"/>
        </w:trPr>
        <w:tc>
          <w:tcPr>
            <w:tcW w:w="50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71BBC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4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DFCE64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Suma za bežné účtovné obdobie</w:t>
            </w:r>
          </w:p>
        </w:tc>
      </w:tr>
      <w:tr w:rsidR="003E52FA" w14:paraId="0E26AE11" w14:textId="77777777">
        <w:trPr>
          <w:trHeight w:val="553"/>
        </w:trPr>
        <w:tc>
          <w:tcPr>
            <w:tcW w:w="50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98232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Krátkodobé záväzky do lehoty splatnosti</w:t>
            </w:r>
          </w:p>
        </w:tc>
        <w:tc>
          <w:tcPr>
            <w:tcW w:w="4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B148B08" w14:textId="2A7A0233" w:rsidR="003E52FA" w:rsidRDefault="00D21BC8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44 509</w:t>
            </w:r>
          </w:p>
        </w:tc>
      </w:tr>
      <w:tr w:rsidR="003E52FA" w14:paraId="4E73DDD5" w14:textId="77777777">
        <w:trPr>
          <w:trHeight w:val="627"/>
        </w:trPr>
        <w:tc>
          <w:tcPr>
            <w:tcW w:w="50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F074E6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so zostatkovou dobou splatnosti jeden až päť rokov</w:t>
            </w:r>
          </w:p>
          <w:p w14:paraId="2FC19AA2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1561517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E52FA" w14:paraId="23D9B403" w14:textId="77777777">
        <w:trPr>
          <w:trHeight w:val="560"/>
        </w:trPr>
        <w:tc>
          <w:tcPr>
            <w:tcW w:w="50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122359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4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8E2E78C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E52FA" w14:paraId="0939F28B" w14:textId="77777777">
        <w:trPr>
          <w:trHeight w:val="470"/>
        </w:trPr>
        <w:tc>
          <w:tcPr>
            <w:tcW w:w="50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B9BDF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4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0F7B07A" w14:textId="1435C209" w:rsidR="003E52FA" w:rsidRDefault="00D21BC8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44 509</w:t>
            </w:r>
          </w:p>
        </w:tc>
      </w:tr>
    </w:tbl>
    <w:p w14:paraId="0F1A7725" w14:textId="77777777"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567E68D5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Čl.3.3 Informácie o vlastných akciách</w:t>
      </w:r>
    </w:p>
    <w:p w14:paraId="75C09671" w14:textId="77777777" w:rsidR="003E52FA" w:rsidRDefault="003E52FA">
      <w:pPr>
        <w:widowControl w:val="0"/>
        <w:autoSpaceDE w:val="0"/>
        <w:autoSpaceDN w:val="0"/>
        <w:adjustRightInd w:val="0"/>
        <w:spacing w:after="0" w:line="234" w:lineRule="exact"/>
        <w:rPr>
          <w:rFonts w:ascii="Times New Roman" w:hAnsi="Times New Roman" w:cs="Times New Roman"/>
          <w:sz w:val="24"/>
          <w:szCs w:val="24"/>
        </w:rPr>
      </w:pPr>
    </w:p>
    <w:p w14:paraId="78585D11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nevlastnila, neobstarávala ani nepredávala vlastné akcie.</w:t>
      </w:r>
    </w:p>
    <w:p w14:paraId="5903D978" w14:textId="77777777" w:rsidR="003E52FA" w:rsidRDefault="003E52FA">
      <w:pPr>
        <w:widowControl w:val="0"/>
        <w:autoSpaceDE w:val="0"/>
        <w:autoSpaceDN w:val="0"/>
        <w:adjustRightInd w:val="0"/>
        <w:spacing w:after="0" w:line="207" w:lineRule="exact"/>
        <w:rPr>
          <w:rFonts w:ascii="Times New Roman" w:hAnsi="Times New Roman" w:cs="Times New Roman"/>
          <w:sz w:val="24"/>
          <w:szCs w:val="24"/>
        </w:rPr>
      </w:pPr>
    </w:p>
    <w:p w14:paraId="03BAC3EA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Čl.3.4 Informácie o orgánoch účtovnej jednotky</w:t>
      </w:r>
    </w:p>
    <w:p w14:paraId="2EFA8A07" w14:textId="77777777"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5C8DF3DA" w14:textId="77777777" w:rsidR="003E52FA" w:rsidRDefault="003E52FA">
      <w:pPr>
        <w:widowControl w:val="0"/>
        <w:autoSpaceDE w:val="0"/>
        <w:autoSpaceDN w:val="0"/>
        <w:adjustRightInd w:val="0"/>
        <w:spacing w:after="0" w:line="303" w:lineRule="exact"/>
        <w:rPr>
          <w:rFonts w:ascii="Times New Roman" w:hAnsi="Times New Roman" w:cs="Times New Roman"/>
          <w:sz w:val="24"/>
          <w:szCs w:val="24"/>
        </w:rPr>
      </w:pPr>
    </w:p>
    <w:p w14:paraId="4CD0CCB5" w14:textId="77777777" w:rsidR="003E52FA" w:rsidRDefault="003E52FA">
      <w:pPr>
        <w:widowControl w:val="0"/>
        <w:autoSpaceDE w:val="0"/>
        <w:autoSpaceDN w:val="0"/>
        <w:adjustRightInd w:val="0"/>
        <w:spacing w:after="0" w:line="372" w:lineRule="auto"/>
        <w:ind w:left="340" w:right="380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neposkytovala ani nevyplácala príjmy a výhody členom štatutárnych orgánov, dozorných orgánov a iných orgánov.</w:t>
      </w:r>
    </w:p>
    <w:sectPr w:rsidR="003E52FA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43A22836"/>
    <w:lvl w:ilvl="0">
      <w:numFmt w:val="bullet"/>
      <w:lvlText w:val="*"/>
      <w:lvlJc w:val="left"/>
    </w:lvl>
  </w:abstractNum>
  <w:num w:numId="1" w16cid:durableId="450826309">
    <w:abstractNumId w:val="0"/>
    <w:lvlOverride w:ilvl="0">
      <w:lvl w:ilvl="0">
        <w:numFmt w:val="bullet"/>
        <w:lvlText w:val=""/>
        <w:legacy w:legacy="1" w:legacySpace="0" w:legacyIndent="97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52FA"/>
    <w:rsid w:val="000A398F"/>
    <w:rsid w:val="00270BAF"/>
    <w:rsid w:val="003175DD"/>
    <w:rsid w:val="003E52FA"/>
    <w:rsid w:val="004B2F2F"/>
    <w:rsid w:val="0059207F"/>
    <w:rsid w:val="005D424E"/>
    <w:rsid w:val="00D00735"/>
    <w:rsid w:val="00D21BC8"/>
    <w:rsid w:val="00D6172B"/>
    <w:rsid w:val="00F634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AC2119B"/>
  <w15:docId w15:val="{6F83FE5C-8F80-4388-B114-8B32074E5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540</Words>
  <Characters>3084</Characters>
  <Application>Microsoft Office Word</Application>
  <DocSecurity>0</DocSecurity>
  <Lines>25</Lines>
  <Paragraphs>7</Paragraphs>
  <ScaleCrop>false</ScaleCrop>
  <Company/>
  <LinksUpToDate>false</LinksUpToDate>
  <CharactersWithSpaces>3617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hrobarikova.marianna@outlook.sk</dc:creator>
  <cp:lastModifiedBy>PC</cp:lastModifiedBy>
  <cp:revision>2</cp:revision>
  <cp:lastPrinted>2022-03-17T14:57:00Z</cp:lastPrinted>
  <dcterms:created xsi:type="dcterms:W3CDTF">2026-06-05T08:15:00Z</dcterms:created>
  <dcterms:modified xsi:type="dcterms:W3CDTF">2026-06-05T08:15:00Z</dcterms:modified>
</cp:coreProperties>
</file>