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Perun Bratislava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Ligurčeková 25147/8, Bratislava - mestská časť Podunajské Biskupice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53465318          DIČ:  2121403669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 w:ascii="Arial CE;Helvetica CE;Arial;sans-serif" w:hAnsi="Arial CE;Helvetica CE;Arial;sans-serif"/>
                <w:b/>
                <w:i w:val="false"/>
                <w:caps w:val="false"/>
                <w:smallCaps w:val="false"/>
                <w:color w:val="000000"/>
                <w:spacing w:val="0"/>
                <w:sz w:val="13"/>
                <w:szCs w:val="22"/>
              </w:rPr>
              <w:t>Spoločnosť bola založená zakladateľskou listinou zo dňa 16.11.2020 v zmysle príslušných ustanovení z. č. 513/1991 Zb. v znení neskorších predpisov – Obchodného zákonníka v platnom znení.</w:t>
            </w:r>
            <w:r>
              <w:rPr>
                <w:rFonts w:cs="Arial"/>
                <w:szCs w:val="22"/>
              </w:rPr>
              <w:t xml:space="preserve"> 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450"/>
        <w:gridCol w:w="104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430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06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cs="Times New Roman"/>
                <w:sz w:val="21"/>
                <w:szCs w:val="21"/>
                <w:lang w:val="en-US"/>
              </w:rPr>
            </w:pPr>
            <w:r>
              <w:rPr>
                <w:rFonts w:cs="Times New Roman"/>
                <w:sz w:val="21"/>
                <w:szCs w:val="21"/>
                <w:lang w:val="en-US"/>
              </w:rPr>
              <w:br/>
            </w:r>
            <w:r>
              <w:rPr>
                <w:rFonts w:cs="Times New Roman" w:ascii="Arial CE;Helvetica CE;Arial;sans-serif" w:hAnsi="Arial CE;Helvetica CE;Arial;sans-serif"/>
                <w:b/>
                <w:color w:val="000000"/>
                <w:sz w:val="21"/>
                <w:szCs w:val="21"/>
                <w:lang w:val="en-US"/>
              </w:rPr>
              <w:t>Taras Dehtiarov</w:t>
            </w:r>
            <w:r>
              <w:rPr>
                <w:rFonts w:cs="Times New Roman"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cs="Times New Roman"/>
                <w:sz w:val="21"/>
                <w:szCs w:val="21"/>
                <w:lang w:val="en-US"/>
              </w:rPr>
            </w:pPr>
            <w:r>
              <w:rPr>
                <w:rFonts w:cs="Times New Roman" w:ascii="Arial CE;Helvetica CE;Arial;sans-serif" w:hAnsi="Arial CE;Helvetica CE;Arial;sans-serif"/>
                <w:b/>
                <w:i w:val="false"/>
                <w:caps w:val="false"/>
                <w:smallCaps w:val="false"/>
                <w:color w:val="000000"/>
                <w:spacing w:val="0"/>
                <w:sz w:val="21"/>
                <w:szCs w:val="21"/>
                <w:lang w:val="en-US"/>
              </w:rPr>
              <w:t>29.01.2021</w:t>
            </w:r>
            <w:r>
              <w:rPr>
                <w:rFonts w:cs="Times New Roman"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5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5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5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45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04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 xml:space="preserve">a) použitých účtovných zásadách a účtovných metódach – </w:t>
      </w:r>
      <w:r>
        <w:rPr>
          <w:rFonts w:cs="Arial"/>
          <w:szCs w:val="22"/>
        </w:rPr>
        <w:t xml:space="preserve">Účtovná jednotka v priebehu účtovného obdobia používala účtovné zásady a účtovné metódy v súlade so zákonom o účtovníctve(podvojné učtovnictvo). Účtovníctvo bolo vedené na základe princípu časového rozlíšenia nákladov a výnosov. Účtovná jednotka je mikro účtovnou jednotkou.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údajoch vykázaných na strane aktív súvahy, - Na strane aktív súvahy účtovná jednotka vykazuje najmä krátkodobé pohľadávky, finančné prostriedky na bankových účtoch a pohľadávky z obchodného styku.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údajoch vykázaných na strane pasív súvahy, -Na strane pasív súvahy účtovná jednotka vykazuje vlastné imanie, krátkodobé záväzky z obchodného styku, záväzky voči štátnym inštitúciám a ostatné krátkodobé záväzky. 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 xml:space="preserve">d) výnosoch, - Výnosy účtovnej jednotky pozostávajú najmä z tržieb za predaj vlastných  služieb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nákladoch, - Náklady účtovnej jednotky pozostávajú najmä zo služieb, spotreby materiálu, odpisov a ostatných prevádzkových nákladov. </w:t>
      </w:r>
    </w:p>
    <w:p>
      <w:pPr>
        <w:pStyle w:val="Normal"/>
        <w:ind w:right="-468" w:hanging="0"/>
        <w:jc w:val="both"/>
        <w:rPr>
          <w:b w:val="false"/>
          <w:b w:val="false"/>
          <w:bCs w:val="false"/>
        </w:rPr>
      </w:pPr>
      <w:r>
        <w:rPr>
          <w:rFonts w:cs="Arial"/>
          <w:b w:val="false"/>
          <w:bCs w:val="false"/>
          <w:szCs w:val="22"/>
        </w:rPr>
        <w:t xml:space="preserve">f) daniach z príjmov, - Účtovná jednotka účtovala o splatnej dani z príjmov v súlade s platnými právnymi predpismi. 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 w:val="false"/>
          <w:bCs w:val="false"/>
          <w:szCs w:val="22"/>
        </w:rPr>
        <w:t xml:space="preserve">g) údajoch na podsúvahových účtoch, - Účtovná jednotka neeviduje významné položky na podsúvahových účtoch. 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 w:val="false"/>
          <w:bCs w:val="false"/>
          <w:szCs w:val="22"/>
        </w:rPr>
        <w:t xml:space="preserve">h) iných aktívach a iných pasívach, - Účtovná jednotka neeviduje iné aktíva ani iné pasíva, ktoré by bolo potrebné osobitne uviesť v poznámkach k účtovnej závierke. </w:t>
      </w:r>
    </w:p>
    <w:p>
      <w:pPr>
        <w:pStyle w:val="Normal"/>
        <w:ind w:right="-468" w:hanging="0"/>
        <w:jc w:val="both"/>
        <w:rPr>
          <w:b w:val="false"/>
          <w:b w:val="false"/>
          <w:bCs w:val="false"/>
        </w:rPr>
      </w:pPr>
      <w:r>
        <w:rPr>
          <w:rFonts w:cs="Arial"/>
          <w:b w:val="false"/>
          <w:bCs w:val="false"/>
          <w:szCs w:val="22"/>
        </w:rPr>
        <w:t xml:space="preserve">i) spriaznených osobách, - </w:t>
      </w:r>
      <w:r>
        <w:rPr>
          <w:rFonts w:cs="Arial"/>
          <w:b w:val="false"/>
          <w:bCs w:val="false"/>
          <w:szCs w:val="22"/>
        </w:rPr>
        <w:t>nie  je  takýto  osoby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 w:val="false"/>
          <w:bCs w:val="false"/>
          <w:szCs w:val="22"/>
        </w:rPr>
        <w:t xml:space="preserve">j) skutočnostiach, ktoré nastali medzi dňom, ku ktorému sa zostavuje účtovná závierka a dňom jej zostavenia, -Po dni, ku ktorému sa zostavuje účtovná závierka, a do dňa jej zostavenia nenastali žiadne významné skutočnosti, ktoré by mali vplyv na verné zobrazenie skutočností uvedených v účtovnej závierke. </w:t>
      </w:r>
    </w:p>
    <w:p>
      <w:pPr>
        <w:pStyle w:val="Normal"/>
        <w:ind w:right="-468" w:hanging="0"/>
        <w:jc w:val="both"/>
        <w:rPr>
          <w:b w:val="false"/>
          <w:b w:val="false"/>
          <w:bCs w:val="false"/>
        </w:rPr>
      </w:pPr>
      <w:r>
        <w:rPr>
          <w:rFonts w:cs="Arial"/>
          <w:b w:val="false"/>
          <w:bCs w:val="false"/>
          <w:szCs w:val="22"/>
        </w:rPr>
        <w:t xml:space="preserve">k) prehľade zmien vlastného imania, </w:t>
      </w:r>
      <w:r>
        <w:rPr>
          <w:rFonts w:cs="Arial"/>
          <w:b w:val="false"/>
          <w:bCs w:val="false"/>
          <w:szCs w:val="22"/>
        </w:rPr>
        <w:t>neboli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 w:val="false"/>
          <w:bCs w:val="false"/>
          <w:szCs w:val="22"/>
        </w:rPr>
        <w:t xml:space="preserve">l) prehľade peňažných tokov. - nemá povinnosť zostavovať prehľad peňažných tokov, keďže je mikro účtovnou jednotkou. 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21286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21286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16445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16445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37731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37731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49181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49181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32736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32736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5733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5733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5733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5733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37086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48019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38363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49296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45379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45522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28756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28756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28756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150164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150164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79296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79296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34138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34138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34138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34138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Arial CE">
    <w:altName w:val="Helvetica CE"/>
    <w:charset w:val="ee"/>
    <w:family w:val="auto"/>
    <w:pitch w:val="default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53465318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2121403669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Neat_Office/6.2.8.2$Windows_x86 LibreOffice_project/</Application>
  <Pages>28</Pages>
  <Words>4381</Words>
  <Characters>24742</Characters>
  <CharactersWithSpaces>29159</CharactersWithSpaces>
  <Paragraphs>1470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2026-06-08T15:44:02Z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