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  <w:sz w:val="40"/>
          <w:szCs w:val="40"/>
        </w:rPr>
      </w:pPr>
      <w:r>
        <w:rPr/>
        <w:drawing>
          <wp:inline distT="0" distB="0" distL="0" distR="0">
            <wp:extent cx="1990725" cy="2286000"/>
            <wp:effectExtent l="0" t="0" r="0" b="0"/>
            <wp:docPr id="1" name="Kép 1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Kép 1" descr="erb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jc w:val="center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>
      <w:pPr>
        <w:pStyle w:val="Normal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</w:r>
    </w:p>
    <w:p>
      <w:pPr>
        <w:pStyle w:val="Normal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  <w:t>Obce Dubno</w:t>
      </w:r>
    </w:p>
    <w:p>
      <w:pPr>
        <w:pStyle w:val="Normal"/>
        <w:jc w:val="center"/>
        <w:rPr>
          <w:b/>
          <w:b/>
          <w:sz w:val="52"/>
          <w:szCs w:val="52"/>
        </w:rPr>
      </w:pPr>
      <w:r>
        <w:rPr>
          <w:b/>
          <w:sz w:val="52"/>
          <w:szCs w:val="52"/>
        </w:rPr>
      </w:r>
    </w:p>
    <w:p>
      <w:pPr>
        <w:pStyle w:val="Normal"/>
        <w:jc w:val="center"/>
        <w:rPr/>
      </w:pPr>
      <w:r>
        <w:rPr>
          <w:b/>
          <w:sz w:val="52"/>
          <w:szCs w:val="52"/>
        </w:rPr>
        <w:t>za rok 2024</w:t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jc w:val="center"/>
        <w:rPr>
          <w:b/>
          <w:b/>
          <w:sz w:val="44"/>
          <w:szCs w:val="44"/>
        </w:rPr>
      </w:pPr>
      <w:r>
        <w:rPr>
          <w:b/>
          <w:sz w:val="44"/>
          <w:szCs w:val="44"/>
        </w:rPr>
      </w:r>
    </w:p>
    <w:p>
      <w:pPr>
        <w:pStyle w:val="Normal"/>
        <w:tabs>
          <w:tab w:val="right" w:pos="8820" w:leader="none"/>
        </w:tabs>
        <w:jc w:val="both"/>
        <w:rPr>
          <w:b/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>
      <w:pPr>
        <w:pStyle w:val="Normal"/>
        <w:tabs>
          <w:tab w:val="right" w:pos="8820" w:leader="none"/>
        </w:tabs>
        <w:jc w:val="right"/>
        <w:rPr>
          <w:b/>
          <w:b/>
          <w:sz w:val="44"/>
          <w:szCs w:val="44"/>
        </w:rPr>
      </w:pPr>
      <w:r>
        <w:rPr>
          <w:b/>
          <w:sz w:val="44"/>
          <w:szCs w:val="44"/>
        </w:rPr>
        <w:t>.....................................</w:t>
      </w:r>
    </w:p>
    <w:p>
      <w:pPr>
        <w:pStyle w:val="Normal"/>
        <w:tabs>
          <w:tab w:val="right" w:pos="8820" w:leader="none"/>
        </w:tabs>
        <w:jc w:val="right"/>
        <w:rPr>
          <w:b/>
          <w:b/>
          <w:sz w:val="44"/>
          <w:szCs w:val="44"/>
        </w:rPr>
      </w:pPr>
      <w:r>
        <w:rPr>
          <w:b/>
          <w:sz w:val="44"/>
          <w:szCs w:val="44"/>
        </w:rPr>
        <w:t>Alexandra Farkasová</w:t>
      </w:r>
    </w:p>
    <w:p>
      <w:pPr>
        <w:pStyle w:val="Normal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  <w:t>starostka obce</w:t>
      </w:r>
    </w:p>
    <w:p>
      <w:pPr>
        <w:pStyle w:val="Normal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tabs>
          <w:tab w:val="right" w:pos="8820" w:leader="none"/>
        </w:tabs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tabs>
          <w:tab w:val="right" w:pos="8820" w:leader="none"/>
        </w:tabs>
        <w:spacing w:lineRule="auto" w:line="360"/>
        <w:jc w:val="both"/>
        <w:rPr>
          <w:b/>
          <w:b/>
        </w:rPr>
      </w:pPr>
      <w:r>
        <w:rPr>
          <w:b/>
        </w:rPr>
      </w:r>
    </w:p>
    <w:p>
      <w:pPr>
        <w:pStyle w:val="Normal"/>
        <w:tabs>
          <w:tab w:val="right" w:pos="8820" w:leader="none"/>
        </w:tabs>
        <w:spacing w:lineRule="auto" w:line="360"/>
        <w:jc w:val="both"/>
        <w:rPr>
          <w:b/>
          <w:b/>
        </w:rPr>
      </w:pPr>
      <w:r>
        <w:rPr>
          <w:b/>
        </w:rPr>
        <w:t>OBSAH</w:t>
        <w:tab/>
        <w:t>str.</w:t>
      </w:r>
    </w:p>
    <w:p>
      <w:pPr>
        <w:pStyle w:val="Normal"/>
        <w:numPr>
          <w:ilvl w:val="0"/>
          <w:numId w:val="2"/>
        </w:numPr>
        <w:spacing w:lineRule="auto" w:line="360"/>
        <w:ind w:left="284" w:hanging="284"/>
        <w:rPr/>
      </w:pPr>
      <w:r>
        <w:rPr/>
        <w:t xml:space="preserve">Úvodné slovo starostu obce </w:t>
        <w:tab/>
        <w:tab/>
        <w:tab/>
        <w:tab/>
        <w:tab/>
        <w:tab/>
        <w:tab/>
        <w:tab/>
        <w:t>3</w:t>
      </w:r>
    </w:p>
    <w:p>
      <w:pPr>
        <w:pStyle w:val="Normal"/>
        <w:numPr>
          <w:ilvl w:val="0"/>
          <w:numId w:val="2"/>
        </w:numPr>
        <w:spacing w:lineRule="auto" w:line="360"/>
        <w:ind w:left="284" w:hanging="284"/>
        <w:rPr/>
      </w:pPr>
      <w:r>
        <w:rPr/>
        <w:t>Identifikačné údaje obce</w:t>
        <w:tab/>
        <w:tab/>
        <w:tab/>
        <w:tab/>
        <w:tab/>
        <w:tab/>
        <w:tab/>
        <w:tab/>
        <w:tab/>
        <w:t>3</w:t>
      </w:r>
    </w:p>
    <w:p>
      <w:pPr>
        <w:pStyle w:val="Normal"/>
        <w:numPr>
          <w:ilvl w:val="0"/>
          <w:numId w:val="2"/>
        </w:numPr>
        <w:spacing w:lineRule="auto" w:line="360"/>
        <w:ind w:left="284" w:hanging="284"/>
        <w:rPr/>
      </w:pPr>
      <w:r>
        <w:rPr/>
        <w:t>Organizačná štruktúra obce a identifikácia vedúcich predstaviteľov</w:t>
        <w:tab/>
        <w:tab/>
        <w:tab/>
        <w:t>3</w:t>
      </w:r>
    </w:p>
    <w:p>
      <w:pPr>
        <w:pStyle w:val="Normal"/>
        <w:numPr>
          <w:ilvl w:val="0"/>
          <w:numId w:val="2"/>
        </w:numPr>
        <w:spacing w:lineRule="auto" w:line="360"/>
        <w:ind w:left="284" w:hanging="284"/>
        <w:rPr/>
      </w:pPr>
      <w:r>
        <w:rPr/>
        <w:t xml:space="preserve">Poslanie, vízie, ciele </w:t>
        <w:tab/>
        <w:tab/>
        <w:tab/>
        <w:tab/>
        <w:tab/>
        <w:tab/>
        <w:tab/>
        <w:tab/>
        <w:tab/>
        <w:t>3</w:t>
      </w:r>
    </w:p>
    <w:p>
      <w:pPr>
        <w:pStyle w:val="Normal"/>
        <w:numPr>
          <w:ilvl w:val="0"/>
          <w:numId w:val="2"/>
        </w:numPr>
        <w:spacing w:lineRule="auto" w:line="360"/>
        <w:ind w:left="284" w:hanging="284"/>
        <w:rPr/>
      </w:pPr>
      <w:r>
        <w:rPr/>
        <w:t>Základná charakteristika obce</w:t>
        <w:tab/>
        <w:tab/>
        <w:tab/>
        <w:tab/>
        <w:tab/>
        <w:tab/>
        <w:tab/>
        <w:tab/>
        <w:t>3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>5.1.  Geografické údaje</w:t>
        <w:tab/>
        <w:tab/>
        <w:tab/>
        <w:tab/>
        <w:tab/>
        <w:tab/>
        <w:tab/>
        <w:tab/>
        <w:tab/>
        <w:t>3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>5.2.  Demografické údaje</w:t>
        <w:tab/>
        <w:tab/>
        <w:tab/>
        <w:tab/>
        <w:tab/>
        <w:tab/>
        <w:tab/>
        <w:tab/>
        <w:tab/>
        <w:t>3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>5.3.  Ekonomické údaje</w:t>
        <w:tab/>
        <w:tab/>
        <w:tab/>
        <w:tab/>
        <w:tab/>
        <w:tab/>
        <w:tab/>
        <w:tab/>
        <w:tab/>
        <w:t>3</w:t>
      </w:r>
    </w:p>
    <w:p>
      <w:pPr>
        <w:pStyle w:val="Normal"/>
        <w:spacing w:lineRule="auto" w:line="360"/>
        <w:jc w:val="both"/>
        <w:rPr/>
      </w:pPr>
      <w:r>
        <w:rPr/>
        <w:t>5.4.  Symboly obce</w:t>
        <w:tab/>
        <w:tab/>
        <w:tab/>
        <w:tab/>
        <w:tab/>
        <w:tab/>
        <w:tab/>
        <w:tab/>
        <w:tab/>
        <w:tab/>
        <w:t>3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>5.5.  Logo obce</w:t>
        <w:tab/>
        <w:tab/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>5.6.  História obce</w:t>
        <w:tab/>
        <w:tab/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5.7.  Pamiatky </w:t>
        <w:tab/>
        <w:tab/>
        <w:tab/>
        <w:tab/>
        <w:tab/>
        <w:tab/>
        <w:tab/>
        <w:tab/>
        <w:tab/>
        <w:tab/>
        <w:t>4</w:t>
      </w:r>
    </w:p>
    <w:p>
      <w:pPr>
        <w:pStyle w:val="Normal"/>
        <w:spacing w:lineRule="auto" w:line="360"/>
        <w:jc w:val="both"/>
        <w:rPr/>
      </w:pPr>
      <w:r>
        <w:rPr/>
        <w:t>5.8.  Významné osobnosti obce</w:t>
        <w:tab/>
        <w:tab/>
        <w:tab/>
        <w:tab/>
        <w:tab/>
        <w:tab/>
        <w:tab/>
        <w:tab/>
        <w:t>4</w:t>
      </w:r>
    </w:p>
    <w:p>
      <w:pPr>
        <w:pStyle w:val="Normal"/>
        <w:numPr>
          <w:ilvl w:val="0"/>
          <w:numId w:val="2"/>
        </w:numPr>
        <w:spacing w:lineRule="auto" w:line="360"/>
        <w:ind w:left="284" w:hanging="284"/>
        <w:rPr/>
      </w:pPr>
      <w:r>
        <w:rPr/>
        <w:t xml:space="preserve">Plnenie úloh obce (prenesené kompetencie, originálne kompetencie) </w:t>
      </w:r>
    </w:p>
    <w:p>
      <w:pPr>
        <w:pStyle w:val="Normal"/>
        <w:spacing w:lineRule="auto" w:line="360"/>
        <w:ind w:left="284" w:hanging="0"/>
        <w:rPr/>
      </w:pPr>
      <w:r>
        <w:rPr/>
        <w:t>6.1. Výchova a vzdelávanie</w:t>
        <w:tab/>
        <w:tab/>
        <w:tab/>
        <w:tab/>
        <w:tab/>
        <w:tab/>
        <w:tab/>
        <w:tab/>
        <w:t>4</w:t>
      </w:r>
    </w:p>
    <w:p>
      <w:pPr>
        <w:pStyle w:val="Normal"/>
        <w:spacing w:lineRule="auto" w:line="360"/>
        <w:ind w:left="284" w:hanging="0"/>
        <w:rPr/>
      </w:pPr>
      <w:r>
        <w:rPr/>
        <w:t>6.2. Zdravotníctvo</w:t>
        <w:tab/>
        <w:tab/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>6.3. Sociálne zabezpečenie</w:t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>6.4. Kultúra</w:t>
        <w:tab/>
        <w:tab/>
        <w:tab/>
        <w:tab/>
        <w:tab/>
        <w:tab/>
        <w:tab/>
        <w:tab/>
        <w:tab/>
        <w:tab/>
        <w:t>4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>6.5. Hospodárstvo</w:t>
        <w:tab/>
        <w:tab/>
        <w:tab/>
        <w:tab/>
        <w:tab/>
        <w:tab/>
        <w:tab/>
        <w:tab/>
        <w:tab/>
        <w:tab/>
        <w:t>5</w:t>
      </w:r>
    </w:p>
    <w:p>
      <w:pPr>
        <w:pStyle w:val="Normal"/>
        <w:numPr>
          <w:ilvl w:val="0"/>
          <w:numId w:val="2"/>
        </w:numPr>
        <w:spacing w:lineRule="auto" w:line="360"/>
        <w:ind w:left="284" w:hanging="284"/>
        <w:rPr/>
      </w:pPr>
      <w:r>
        <w:rPr/>
        <w:t>Informácia o vývoji obce z pohľadu rozpočtovníctva</w:t>
        <w:tab/>
        <w:tab/>
        <w:tab/>
        <w:tab/>
        <w:tab/>
        <w:t>5</w:t>
      </w:r>
    </w:p>
    <w:p>
      <w:pPr>
        <w:pStyle w:val="Normal"/>
        <w:spacing w:lineRule="auto" w:line="360"/>
        <w:jc w:val="both"/>
        <w:rPr/>
      </w:pPr>
      <w:r>
        <w:rPr/>
        <w:t>7.1.  Plnenie príjmov a čerpanie výdavkov za rok 2024</w:t>
        <w:tab/>
        <w:tab/>
        <w:tab/>
        <w:tab/>
        <w:t>6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7.2.  Prebytok/schodok rozpočtového hospodárenia za rok 2024  </w:t>
        <w:tab/>
        <w:tab/>
        <w:tab/>
        <w:t>10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>7.3.  Rozpočet na roky 2024- 2026</w:t>
        <w:tab/>
        <w:tab/>
        <w:tab/>
        <w:tab/>
        <w:tab/>
        <w:tab/>
        <w:tab/>
        <w:t>10</w:t>
      </w:r>
    </w:p>
    <w:p>
      <w:pPr>
        <w:pStyle w:val="Normal"/>
        <w:numPr>
          <w:ilvl w:val="0"/>
          <w:numId w:val="2"/>
        </w:numPr>
        <w:spacing w:lineRule="auto" w:line="360"/>
        <w:ind w:left="284" w:hanging="284"/>
        <w:rPr/>
      </w:pPr>
      <w:r>
        <w:rPr/>
        <w:t xml:space="preserve">Informácia o vývoji obce z pohľadu účtovníctva </w:t>
        <w:tab/>
        <w:tab/>
        <w:tab/>
        <w:tab/>
        <w:tab/>
        <w:t>12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>8.1.  Majetok</w:t>
        <w:tab/>
        <w:tab/>
        <w:tab/>
        <w:tab/>
        <w:tab/>
        <w:tab/>
        <w:tab/>
        <w:tab/>
        <w:tab/>
        <w:tab/>
        <w:t>12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>8.2.  Zdroje krytia</w:t>
        <w:tab/>
        <w:tab/>
        <w:tab/>
        <w:tab/>
        <w:tab/>
        <w:tab/>
        <w:tab/>
        <w:tab/>
        <w:tab/>
        <w:tab/>
        <w:t>12</w:t>
      </w:r>
    </w:p>
    <w:p>
      <w:pPr>
        <w:pStyle w:val="Normal"/>
        <w:spacing w:lineRule="auto" w:line="360"/>
        <w:jc w:val="both"/>
        <w:rPr/>
      </w:pPr>
      <w:r>
        <w:rPr/>
        <w:t>8.3.  Pohľadávky</w:t>
        <w:tab/>
        <w:tab/>
        <w:tab/>
        <w:tab/>
        <w:tab/>
        <w:tab/>
        <w:tab/>
        <w:tab/>
        <w:tab/>
        <w:tab/>
        <w:t>13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>8.4.  Záväzky</w:t>
        <w:tab/>
        <w:tab/>
        <w:tab/>
        <w:tab/>
        <w:tab/>
        <w:tab/>
        <w:tab/>
        <w:tab/>
        <w:tab/>
        <w:tab/>
        <w:t>13</w:t>
      </w:r>
    </w:p>
    <w:p>
      <w:pPr>
        <w:pStyle w:val="Normal"/>
        <w:numPr>
          <w:ilvl w:val="0"/>
          <w:numId w:val="2"/>
        </w:numPr>
        <w:spacing w:lineRule="auto" w:line="360"/>
        <w:ind w:left="284" w:hanging="284"/>
        <w:rPr/>
      </w:pPr>
      <w:r>
        <w:rPr/>
        <w:t>Hospodársky výsledok za rok 2024 - vývoj nákladov a výnosov</w:t>
        <w:tab/>
        <w:tab/>
        <w:tab/>
        <w:t>14</w:t>
      </w:r>
    </w:p>
    <w:p>
      <w:pPr>
        <w:pStyle w:val="Normal"/>
        <w:numPr>
          <w:ilvl w:val="0"/>
          <w:numId w:val="2"/>
        </w:numPr>
        <w:spacing w:lineRule="auto" w:line="360"/>
        <w:ind w:left="426" w:hanging="426"/>
        <w:rPr/>
      </w:pPr>
      <w:r>
        <w:rPr/>
        <w:t>Ostatné dôležité informácie</w:t>
        <w:tab/>
        <w:tab/>
        <w:tab/>
        <w:tab/>
        <w:tab/>
        <w:tab/>
        <w:tab/>
        <w:tab/>
        <w:t>13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>10.1. Prijaté granty a transfery</w:t>
        <w:tab/>
        <w:tab/>
        <w:tab/>
        <w:tab/>
        <w:tab/>
        <w:tab/>
        <w:tab/>
        <w:tab/>
        <w:t>13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>10.2. Poskytnuté dotácie</w:t>
        <w:tab/>
        <w:tab/>
        <w:tab/>
        <w:tab/>
        <w:tab/>
        <w:tab/>
        <w:tab/>
        <w:tab/>
        <w:tab/>
        <w:t>14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>10.3. Významné investičné akcie v roku 2024</w:t>
        <w:tab/>
        <w:tab/>
        <w:tab/>
        <w:tab/>
        <w:tab/>
        <w:tab/>
        <w:t>14</w:t>
      </w:r>
    </w:p>
    <w:p>
      <w:pPr>
        <w:pStyle w:val="Normal"/>
        <w:tabs>
          <w:tab w:val="right" w:pos="-5670" w:leader="none"/>
        </w:tabs>
        <w:spacing w:lineRule="auto" w:line="360"/>
        <w:jc w:val="both"/>
        <w:rPr/>
      </w:pPr>
      <w:r>
        <w:rPr/>
        <w:t>10.4. Predpokladaný budúci vývoj činnosti</w:t>
        <w:tab/>
        <w:tab/>
        <w:tab/>
        <w:tab/>
        <w:tab/>
        <w:tab/>
        <w:t>14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>10.5  Udalosti osobitného významu po skončení účtovného obdobia</w:t>
        <w:tab/>
        <w:tab/>
        <w:tab/>
        <w:t>14</w:t>
      </w:r>
    </w:p>
    <w:p>
      <w:pPr>
        <w:pStyle w:val="Normal"/>
        <w:tabs>
          <w:tab w:val="right" w:pos="-5529" w:leader="none"/>
        </w:tabs>
        <w:spacing w:lineRule="auto" w:line="360"/>
        <w:jc w:val="both"/>
        <w:rPr/>
      </w:pPr>
      <w:r>
        <w:rPr/>
        <w:t xml:space="preserve">10.6. Významné riziká a neistoty, ktorým je účtovná jednotka vystavená </w:t>
        <w:tab/>
        <w:tab/>
        <w:t>14</w:t>
      </w:r>
    </w:p>
    <w:p>
      <w:pPr>
        <w:pStyle w:val="Normal"/>
        <w:tabs>
          <w:tab w:val="right" w:pos="8820" w:leader="none"/>
        </w:tabs>
        <w:spacing w:lineRule="auto" w:line="360"/>
        <w:jc w:val="both"/>
        <w:rPr/>
      </w:pPr>
      <w:r>
        <w:rPr/>
      </w:r>
      <w:r>
        <w:br w:type="page"/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</w:p>
    <w:p>
      <w:pPr>
        <w:pStyle w:val="Normal"/>
        <w:spacing w:lineRule="auto" w:line="360"/>
        <w:ind w:left="284" w:hanging="0"/>
        <w:rPr/>
      </w:pPr>
      <w:r>
        <w:rPr>
          <w:sz w:val="28"/>
          <w:szCs w:val="28"/>
        </w:rPr>
        <w:t>Individuálna výročná správa obce Dubno</w:t>
        <w:tab/>
        <w:t>za rok 2024 je dokument, ktorý nielen formou čísiel a tabuliek hodnotí ako obec nakladala s finančnými prostriedkami v roku 2024, ale poskytuje aj základné informácie o majetkovej a finančnej situácii. Obec sa zameriavala hlavne na plnenie zákonom daných povinností s cieľom vychádzať v ústrety požiadavkám občanov obce.</w:t>
        <w:tab/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>
      <w:pPr>
        <w:pStyle w:val="Normal"/>
        <w:spacing w:lineRule="auto" w:line="360"/>
        <w:jc w:val="both"/>
        <w:rPr/>
      </w:pPr>
      <w:r>
        <w:rPr/>
        <w:t>Názov: Obec Dubno</w:t>
      </w:r>
    </w:p>
    <w:p>
      <w:pPr>
        <w:pStyle w:val="Normal"/>
        <w:spacing w:lineRule="auto" w:line="360"/>
        <w:jc w:val="both"/>
        <w:rPr/>
      </w:pPr>
      <w:r>
        <w:rPr/>
        <w:t>Sídlo: Dubno č. 40, 980 35 Gemerský Jablonec</w:t>
      </w:r>
    </w:p>
    <w:p>
      <w:pPr>
        <w:pStyle w:val="Normal"/>
        <w:spacing w:lineRule="auto" w:line="360"/>
        <w:jc w:val="both"/>
        <w:rPr/>
      </w:pPr>
      <w:r>
        <w:rPr/>
        <w:t>IČO: 00649546</w:t>
      </w:r>
    </w:p>
    <w:p>
      <w:pPr>
        <w:pStyle w:val="Normal"/>
        <w:spacing w:lineRule="auto" w:line="360"/>
        <w:jc w:val="both"/>
        <w:rPr/>
      </w:pPr>
      <w:r>
        <w:rPr/>
        <w:t>Štatutárny orgán obce: Alexandra Farkašová, starostka obce</w:t>
      </w:r>
    </w:p>
    <w:p>
      <w:pPr>
        <w:pStyle w:val="Normal"/>
        <w:spacing w:lineRule="auto" w:line="360"/>
        <w:jc w:val="both"/>
        <w:rPr/>
      </w:pPr>
      <w:r>
        <w:rPr/>
        <w:t>Telefón: 047/56 84 238</w:t>
      </w:r>
    </w:p>
    <w:p>
      <w:pPr>
        <w:pStyle w:val="Normal"/>
        <w:spacing w:lineRule="auto" w:line="360"/>
        <w:jc w:val="both"/>
        <w:rPr/>
      </w:pPr>
      <w:r>
        <w:rPr/>
        <w:t>E-mail: obecdubnogmail.com</w:t>
      </w:r>
    </w:p>
    <w:p>
      <w:pPr>
        <w:pStyle w:val="Normal"/>
        <w:spacing w:lineRule="auto" w:line="360"/>
        <w:jc w:val="both"/>
        <w:rPr/>
      </w:pPr>
      <w:r>
        <w:rPr/>
        <w:t>Webová stránka: www.obec-dubno.sk</w:t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>
      <w:pPr>
        <w:pStyle w:val="Normal"/>
        <w:spacing w:lineRule="auto" w:line="360"/>
        <w:jc w:val="both"/>
        <w:rPr/>
      </w:pPr>
      <w:r>
        <w:rPr/>
        <w:t>Starosta obce: Alexandra Farkašová,</w:t>
      </w:r>
    </w:p>
    <w:p>
      <w:pPr>
        <w:pStyle w:val="Normal"/>
        <w:spacing w:lineRule="auto" w:line="360"/>
        <w:jc w:val="both"/>
        <w:rPr>
          <w:color w:val="FF0000"/>
        </w:rPr>
      </w:pPr>
      <w:r>
        <w:rPr/>
        <w:t xml:space="preserve">Zástupca starostu obce: </w:t>
      </w:r>
    </w:p>
    <w:p>
      <w:pPr>
        <w:pStyle w:val="Normal"/>
        <w:spacing w:lineRule="auto" w:line="360"/>
        <w:jc w:val="both"/>
        <w:rPr/>
      </w:pPr>
      <w:r>
        <w:rPr/>
        <w:t>Hlavný kontrolór obce: Margita Kisfaludiová</w:t>
      </w:r>
    </w:p>
    <w:p>
      <w:pPr>
        <w:pStyle w:val="Normal"/>
        <w:spacing w:lineRule="auto" w:line="360"/>
        <w:jc w:val="both"/>
        <w:rPr/>
      </w:pPr>
      <w:r>
        <w:rPr/>
        <w:t>Obecné zastupiteľstvo: Eva Szilágyiová</w:t>
      </w:r>
    </w:p>
    <w:p>
      <w:pPr>
        <w:pStyle w:val="Normal"/>
        <w:spacing w:lineRule="auto" w:line="360"/>
        <w:jc w:val="both"/>
        <w:rPr/>
      </w:pPr>
      <w:r>
        <w:rPr>
          <w:rFonts w:cs="Arial" w:ascii="Arial" w:hAnsi="Arial"/>
          <w:color w:val="333333"/>
          <w:sz w:val="22"/>
          <w:szCs w:val="22"/>
        </w:rPr>
        <w:t>Mgr. Kristína Farkašová</w:t>
      </w:r>
    </w:p>
    <w:p>
      <w:pPr>
        <w:pStyle w:val="NormalWeb"/>
        <w:shd w:val="clear" w:color="auto" w:fill="FFFFFF"/>
        <w:spacing w:beforeAutospacing="0" w:before="280" w:afterAutospacing="0" w:after="150"/>
        <w:jc w:val="center"/>
        <w:rPr>
          <w:rFonts w:ascii="Arial" w:hAnsi="Arial" w:cs="Arial"/>
          <w:color w:val="333333"/>
          <w:sz w:val="22"/>
          <w:szCs w:val="22"/>
        </w:rPr>
      </w:pPr>
      <w:r>
        <w:rPr>
          <w:rFonts w:cs="Arial" w:ascii="Arial" w:hAnsi="Arial"/>
          <w:color w:val="333333"/>
          <w:sz w:val="22"/>
          <w:szCs w:val="22"/>
        </w:rPr>
        <w:t>Rudolf Bari</w:t>
      </w:r>
    </w:p>
    <w:p>
      <w:pPr>
        <w:pStyle w:val="NormalWeb"/>
        <w:shd w:val="clear" w:color="auto" w:fill="FFFFFF"/>
        <w:spacing w:beforeAutospacing="0" w:before="280" w:afterAutospacing="0" w:after="150"/>
        <w:jc w:val="center"/>
        <w:rPr>
          <w:rFonts w:ascii="Arial" w:hAnsi="Arial" w:cs="Arial"/>
          <w:color w:val="333333"/>
          <w:sz w:val="22"/>
          <w:szCs w:val="22"/>
        </w:rPr>
      </w:pPr>
      <w:r>
        <w:rPr>
          <w:rFonts w:cs="Arial" w:ascii="Arial" w:hAnsi="Arial"/>
          <w:color w:val="333333"/>
          <w:sz w:val="22"/>
          <w:szCs w:val="22"/>
        </w:rPr>
        <w:t>Otto Danyi</w:t>
      </w:r>
    </w:p>
    <w:p>
      <w:pPr>
        <w:pStyle w:val="NormalWeb"/>
        <w:shd w:val="clear" w:color="auto" w:fill="FFFFFF"/>
        <w:spacing w:beforeAutospacing="0" w:before="280" w:afterAutospacing="0" w:after="150"/>
        <w:jc w:val="center"/>
        <w:rPr>
          <w:rFonts w:ascii="Arial" w:hAnsi="Arial" w:cs="Arial"/>
          <w:color w:val="333333"/>
          <w:sz w:val="22"/>
          <w:szCs w:val="22"/>
        </w:rPr>
      </w:pPr>
      <w:r>
        <w:rPr>
          <w:rFonts w:cs="Arial" w:ascii="Arial" w:hAnsi="Arial"/>
          <w:color w:val="333333"/>
          <w:sz w:val="22"/>
          <w:szCs w:val="22"/>
        </w:rPr>
        <w:t>Tomáš Farkaš</w:t>
      </w:r>
    </w:p>
    <w:p>
      <w:pPr>
        <w:pStyle w:val="Normal"/>
        <w:spacing w:lineRule="auto" w:line="360"/>
        <w:jc w:val="both"/>
        <w:rPr/>
      </w:pPr>
      <w:r>
        <w:rPr/>
        <w:t>Obecný úrad:  , samostatná referentka : Terézia Foglárová</w:t>
      </w:r>
    </w:p>
    <w:p>
      <w:pPr>
        <w:pStyle w:val="Normal"/>
        <w:spacing w:lineRule="auto" w:line="360"/>
        <w:jc w:val="both"/>
        <w:rPr/>
      </w:pPr>
      <w:r>
        <w:rPr>
          <w:b/>
        </w:rPr>
        <w:t>Rozpočtové organizácie</w:t>
      </w:r>
      <w:r>
        <w:rPr/>
        <w:t xml:space="preserve"> obce /uviesť názov, sídlo, štatutárny orgán, základná činnosť, IČO, telefón, e-mail, webová stránka / : </w:t>
      </w:r>
    </w:p>
    <w:p>
      <w:pPr>
        <w:pStyle w:val="Normal"/>
        <w:spacing w:lineRule="auto" w:line="360"/>
        <w:jc w:val="both"/>
        <w:rPr/>
      </w:pPr>
      <w:r>
        <w:rPr>
          <w:b/>
        </w:rPr>
        <w:t>Príspevkové organizácie</w:t>
      </w:r>
      <w:r>
        <w:rPr/>
        <w:t xml:space="preserve"> obce /uviesť názov, sídlo, štatutárny orgán, základná činnosť, IČO, telefón, e-mail, webová stránka /: </w:t>
      </w:r>
    </w:p>
    <w:p>
      <w:pPr>
        <w:pStyle w:val="Normal"/>
        <w:spacing w:lineRule="auto" w:line="360"/>
        <w:jc w:val="both"/>
        <w:rPr/>
      </w:pPr>
      <w:r>
        <w:rPr>
          <w:b/>
        </w:rPr>
        <w:t>Neziskové organizácie</w:t>
      </w:r>
      <w:r>
        <w:rPr/>
        <w:t xml:space="preserve"> založené obcou /uviesť názov, sídlo, štatutárny orgány vklad do základného imania, predmet činnosti, IČO, telefón, e-mail, webová stránka /: </w:t>
      </w:r>
    </w:p>
    <w:p>
      <w:pPr>
        <w:pStyle w:val="Normal"/>
        <w:spacing w:lineRule="auto" w:line="360"/>
        <w:jc w:val="both"/>
        <w:rPr/>
      </w:pPr>
      <w:r>
        <w:rPr>
          <w:b/>
        </w:rPr>
        <w:t>Obchodné spoločnosti</w:t>
      </w:r>
      <w:r>
        <w:rPr/>
        <w:t xml:space="preserve"> založené obcou /uviesť názov, sídlo, štatutárny orgán, vklad do základného imania, percentuálne podiely, podiel na hlasovacích  právach, predmet činnosti, IČO, telefón, e-mail, webová stránka /: </w:t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>
      <w:pPr>
        <w:pStyle w:val="Normal"/>
        <w:spacing w:lineRule="auto" w:line="360"/>
        <w:rPr/>
      </w:pPr>
      <w:r>
        <w:rPr/>
        <w:t>Poslanie obce: rozvíjať obec, riešiť základné otázky zo života obce ako ich občanov</w:t>
      </w:r>
    </w:p>
    <w:p>
      <w:pPr>
        <w:pStyle w:val="Normal"/>
        <w:spacing w:lineRule="auto" w:line="360"/>
        <w:rPr/>
      </w:pPr>
      <w:r>
        <w:rPr/>
        <w:t>Vízie obce: zamestnanosť občanov</w:t>
      </w:r>
    </w:p>
    <w:p>
      <w:pPr>
        <w:pStyle w:val="Normal"/>
        <w:spacing w:lineRule="auto" w:line="360"/>
        <w:rPr/>
      </w:pPr>
      <w:r>
        <w:rPr/>
        <w:t>Ciele obce: zabezpečiť občanom pokojný a bezpečný život v čistom prostredí, dobudovať technickú infraštruktúru, rozvíjať kultúrne a historické tradície</w:t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>
      <w:pPr>
        <w:pStyle w:val="Normal"/>
        <w:spacing w:lineRule="auto" w:line="360"/>
        <w:jc w:val="both"/>
        <w:rPr/>
      </w:pPr>
      <w:r>
        <w:rPr/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>
      <w:pPr>
        <w:pStyle w:val="Normal"/>
        <w:numPr>
          <w:ilvl w:val="1"/>
          <w:numId w:val="3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Geografické údaje</w:t>
      </w:r>
    </w:p>
    <w:p>
      <w:pPr>
        <w:pStyle w:val="Normal"/>
        <w:spacing w:lineRule="auto" w:line="360"/>
        <w:jc w:val="both"/>
        <w:rPr/>
      </w:pPr>
      <w:r>
        <w:rPr/>
        <w:t>Geografická poloha obce :  leží na južnom okraji Cerovej vrchoviny, pri hornom toku Gortvy, blízko hraníc s Maďarskom. Obec Dubno patrí do okresu Rimavská Sobota, Mikroregión: Medveš, Palócska vrchovina. Povrch chotára na vrchovine a zamokrenej poriečnej rovine so zvyškami cerových dúbrav a agátin tvoria treťohorné pieskovice. Má ilimerizované a lužné pôdy. Stred obce sa nachádza v nadmorskej výške 235 m, chotár 231-331 m. Výmera katastra: 361 ha. Počet obyvateľov 156, Obec je východiskom pre turistiku do chránenej krajinnej oblasti Cerovej vrchoviny, a aj inej oblasti Cerová vrchovina a CHVÚ. V časti dubnianskeho katastra v prírodnom rezervácii sa rozprestiera vodná nádrž Petrovce, ktorá je považovaná za jeden z najlepších rybárskych revírov na Slovensku.</w:t>
      </w:r>
    </w:p>
    <w:p>
      <w:pPr>
        <w:pStyle w:val="Normal"/>
        <w:spacing w:lineRule="auto" w:line="360"/>
        <w:jc w:val="both"/>
        <w:rPr/>
      </w:pPr>
      <w:r>
        <w:rPr/>
        <w:t>Susedné mestá a obce : Petrovce, Gemerský Jablonec</w:t>
      </w:r>
    </w:p>
    <w:p>
      <w:pPr>
        <w:pStyle w:val="Normal"/>
        <w:spacing w:lineRule="auto" w:line="360"/>
        <w:jc w:val="both"/>
        <w:rPr/>
      </w:pPr>
      <w:r>
        <w:rPr/>
        <w:t>Celková rozloha obce : 361 ha</w:t>
      </w:r>
    </w:p>
    <w:p>
      <w:pPr>
        <w:pStyle w:val="Normal"/>
        <w:spacing w:lineRule="auto" w:line="360"/>
        <w:jc w:val="both"/>
        <w:rPr/>
      </w:pPr>
      <w:r>
        <w:rPr/>
        <w:t>Nadmorská výška : 235 m. n.m</w:t>
      </w:r>
    </w:p>
    <w:p>
      <w:pPr>
        <w:pStyle w:val="Normal"/>
        <w:numPr>
          <w:ilvl w:val="1"/>
          <w:numId w:val="3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 xml:space="preserve">Demografické údaje </w:t>
      </w:r>
    </w:p>
    <w:p>
      <w:pPr>
        <w:pStyle w:val="Normal"/>
        <w:spacing w:lineRule="auto" w:line="360"/>
        <w:jc w:val="both"/>
        <w:rPr/>
      </w:pPr>
      <w:r>
        <w:rPr/>
        <w:t>Hustota a počet obyvateľov :  41/ km</w:t>
      </w:r>
      <w:r>
        <w:rPr>
          <w:vertAlign w:val="superscript"/>
        </w:rPr>
        <w:t>2</w:t>
      </w:r>
      <w:r>
        <w:rPr/>
        <w:t>, 156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>Národnostná štruktúra : 135 občan maďarskej národnosti</w:t>
      </w:r>
    </w:p>
    <w:p>
      <w:pPr>
        <w:pStyle w:val="Normal"/>
        <w:spacing w:lineRule="auto" w:line="360"/>
        <w:jc w:val="both"/>
        <w:rPr/>
      </w:pPr>
      <w:r>
        <w:rPr/>
        <w:tab/>
        <w:tab/>
        <w:tab/>
        <w:t xml:space="preserve">      20 slovenskej národnosti</w:t>
      </w:r>
    </w:p>
    <w:p>
      <w:pPr>
        <w:pStyle w:val="Normal"/>
        <w:spacing w:lineRule="auto" w:line="360"/>
        <w:jc w:val="both"/>
        <w:rPr/>
      </w:pPr>
      <w:r>
        <w:rPr/>
        <w:tab/>
        <w:tab/>
        <w:tab/>
        <w:t xml:space="preserve">        1 českej národnosti</w:t>
      </w:r>
    </w:p>
    <w:p>
      <w:pPr>
        <w:pStyle w:val="Normal"/>
        <w:spacing w:lineRule="auto" w:line="360"/>
        <w:jc w:val="both"/>
        <w:rPr/>
      </w:pPr>
      <w:r>
        <w:rPr/>
        <w:t>Štruktúra obyvateľstva podľa náboženského významu : rímskokatolícka, reformovaná</w:t>
      </w:r>
    </w:p>
    <w:p>
      <w:pPr>
        <w:pStyle w:val="Normal"/>
        <w:spacing w:lineRule="auto" w:line="360"/>
        <w:jc w:val="both"/>
        <w:rPr/>
      </w:pPr>
      <w:r>
        <w:rPr/>
        <w:t>Vývoj počtu obyvateľov : zníži</w:t>
      </w:r>
    </w:p>
    <w:p>
      <w:pPr>
        <w:pStyle w:val="Normal"/>
        <w:numPr>
          <w:ilvl w:val="1"/>
          <w:numId w:val="3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 xml:space="preserve">Ekonomické údaje </w:t>
      </w:r>
    </w:p>
    <w:p>
      <w:pPr>
        <w:pStyle w:val="Normal"/>
        <w:spacing w:lineRule="auto" w:line="360"/>
        <w:jc w:val="both"/>
        <w:rPr/>
      </w:pPr>
      <w:r>
        <w:rPr/>
        <w:t>Nezamestnanosť v obci : 8%</w:t>
      </w:r>
    </w:p>
    <w:p>
      <w:pPr>
        <w:pStyle w:val="Normal"/>
        <w:spacing w:lineRule="auto" w:line="360"/>
        <w:jc w:val="both"/>
        <w:rPr/>
      </w:pPr>
      <w:r>
        <w:rPr/>
        <w:t>Nezamestnanosť v okrese : 20%</w:t>
      </w:r>
    </w:p>
    <w:p>
      <w:pPr>
        <w:pStyle w:val="Normal"/>
        <w:spacing w:lineRule="auto" w:line="360"/>
        <w:jc w:val="both"/>
        <w:rPr/>
      </w:pPr>
      <w:r>
        <w:rPr/>
        <w:t>Vývoj nezamestnanosti : zniži</w:t>
      </w:r>
    </w:p>
    <w:p>
      <w:pPr>
        <w:pStyle w:val="Normal"/>
        <w:numPr>
          <w:ilvl w:val="1"/>
          <w:numId w:val="3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Symboly obce</w:t>
      </w:r>
    </w:p>
    <w:p>
      <w:pPr>
        <w:pStyle w:val="Normal"/>
        <w:spacing w:lineRule="auto" w:line="360"/>
        <w:jc w:val="both"/>
        <w:rPr/>
      </w:pPr>
      <w:r>
        <w:rPr/>
        <w:t>Erb obce : v zelenom štíte zlatá trojlistá dubová vetvička dolu po bokoch sprevádzaná striebornými radlicami – vpravo skloneným lemešom a vľavo obráteným čerieslom.</w:t>
      </w:r>
    </w:p>
    <w:p>
      <w:pPr>
        <w:pStyle w:val="Normal"/>
        <w:spacing w:lineRule="auto" w:line="360"/>
        <w:jc w:val="both"/>
        <w:rPr>
          <w:color w:val="000000"/>
          <w:sz w:val="0"/>
          <w:szCs w:val="0"/>
          <w:highlight w:val="black"/>
          <w:u w:val="none" w:color="000000"/>
        </w:rPr>
      </w:pPr>
      <w:r>
        <w:rPr/>
        <w:drawing>
          <wp:inline distT="0" distB="0" distL="0" distR="0">
            <wp:extent cx="1228725" cy="1409700"/>
            <wp:effectExtent l="0" t="0" r="0" b="0"/>
            <wp:docPr id="2" name="Kép 2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Kép 2" descr="erb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1409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>Vlajka obce : pozostáva so siedmich pozdĺžnych pruhov vo farbách bielej (1/9), zelenej (2/9), žltej (1/9), zelenej (1/9), žltej (1/9), zelenej (2/9) a bielej (1/9). Vlajka má pomer strán 2:3 a ukončená je tromi cípmi, t.j. dvomi zástrihmi, siahajúcimi do tretiny jej listu.</w:t>
      </w:r>
    </w:p>
    <w:p>
      <w:pPr>
        <w:pStyle w:val="Normal"/>
        <w:spacing w:lineRule="auto" w:line="360"/>
        <w:jc w:val="both"/>
        <w:rPr/>
      </w:pPr>
      <w:r>
        <w:rPr/>
        <w:t>Pečať obce :je okrúhla, uprostred s obecným symbolom a kruhopisom OBEC DUBNO.</w:t>
      </w:r>
    </w:p>
    <w:p>
      <w:pPr>
        <w:pStyle w:val="Normal"/>
        <w:spacing w:lineRule="auto" w:line="360"/>
        <w:jc w:val="both"/>
        <w:rPr/>
      </w:pPr>
      <w:r>
        <w:rPr/>
        <w:t>Pečať má priemer 35 mm, čo je v súlade s domácimi zvyklosťami a predpismi o používaní pečiatok s obecnými symbolmi.</w:t>
      </w:r>
    </w:p>
    <w:p>
      <w:pPr>
        <w:pStyle w:val="Normal"/>
        <w:numPr>
          <w:ilvl w:val="1"/>
          <w:numId w:val="3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 xml:space="preserve">História obce 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>Prvá zmienka obce Dobfenek je z roku 1427, ako vlatníctvo Tomáša Recskyho, vyvinulo sa na zemiansku obec. Podľa historika Bálinta Ilu ju založili obyvateliaGemerského Jablonca už v roku 1273- Vyľudnila sa za tureckých vpádov, znovu bola osídlená v polovici 18. Storočia. Roku 1773 tu okrem zemanov žilo 5 sedliakov, roku 1828 mala 18 domov a 146 obyvateľov. Zaoberali sa poľnohospodárstvom. V rokoch 1938-44 bola pripojená k Maďarsku. Dubno sa vyvíjalo ako samostatná obec až do 70 –tých rokov 20. Storočia, kedy bola zlúčená z Gemerský Jabloncom. Činnosť obecného úradu sa znovu obnovila až po roku 1989. Obec je známa najmä nálezmi bronzových predmetov z obdobia kyjatickej kultúry. Jej dominantou je rímskokatolícky kostol z roku 1427, ktorý bol v roku 1927 prestavaný.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>Historické názvy obce sú: Dobfenek (1427), Dubenec (1920), Dubno (1948).</w:t>
      </w:r>
    </w:p>
    <w:p>
      <w:pPr>
        <w:pStyle w:val="Normal"/>
        <w:numPr>
          <w:ilvl w:val="1"/>
          <w:numId w:val="3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 xml:space="preserve">Pamiatky 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 xml:space="preserve">Rímskokatolícky kostol z roku 1427, ktorý bol v roku 1927 prestavaný. Kostol stavali obyvatelia obce Dubno. 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>Bývalá kúria patrila grófovi Šipošovi- pánovi obce.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>Hrob, kde je pochovaný gróf Šipos – bývalý pán obce.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>Pamiatková tabuľa pre padlých hrdinov I. a II. Svetovej vojny.</w:t>
      </w:r>
    </w:p>
    <w:p>
      <w:pPr>
        <w:pStyle w:val="Normal"/>
        <w:numPr>
          <w:ilvl w:val="1"/>
          <w:numId w:val="3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Významné osobnosti obce:</w:t>
      </w:r>
    </w:p>
    <w:p>
      <w:pPr>
        <w:pStyle w:val="Normal"/>
        <w:spacing w:lineRule="auto" w:line="360"/>
        <w:ind w:left="426" w:hanging="0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 xml:space="preserve">Plnenie úloh obce (prenesené kompetencie, originálne kompetencie) </w:t>
      </w:r>
    </w:p>
    <w:p>
      <w:pPr>
        <w:pStyle w:val="Normal"/>
        <w:numPr>
          <w:ilvl w:val="1"/>
          <w:numId w:val="3"/>
        </w:numPr>
        <w:spacing w:lineRule="auto" w:line="360"/>
        <w:ind w:left="426" w:hanging="426"/>
        <w:jc w:val="both"/>
        <w:rPr/>
      </w:pPr>
      <w:r>
        <w:rPr>
          <w:b/>
        </w:rPr>
        <w:t xml:space="preserve">Výchova a vzdelávanie </w:t>
      </w:r>
    </w:p>
    <w:p>
      <w:pPr>
        <w:pStyle w:val="Normal"/>
        <w:spacing w:lineRule="auto" w:line="360"/>
        <w:jc w:val="both"/>
        <w:rPr/>
      </w:pPr>
      <w:r>
        <w:rPr/>
        <w:t>V obi sa nenachádza materská škola ani základná škola.</w:t>
      </w:r>
    </w:p>
    <w:p>
      <w:pPr>
        <w:pStyle w:val="Normal"/>
        <w:numPr>
          <w:ilvl w:val="1"/>
          <w:numId w:val="3"/>
        </w:numPr>
        <w:spacing w:lineRule="auto" w:line="360"/>
        <w:ind w:left="426" w:hanging="426"/>
        <w:jc w:val="both"/>
        <w:rPr/>
      </w:pPr>
      <w:r>
        <w:rPr>
          <w:b/>
        </w:rPr>
        <w:t>Zdravotníctvo</w:t>
      </w:r>
    </w:p>
    <w:p>
      <w:pPr>
        <w:pStyle w:val="Normal"/>
        <w:spacing w:lineRule="auto" w:line="360"/>
        <w:ind w:left="426" w:hanging="0"/>
        <w:jc w:val="both"/>
        <w:rPr>
          <w:b/>
          <w:b/>
        </w:rPr>
      </w:pPr>
      <w:r>
        <w:rPr/>
        <w:t>V obci sa nenachádza žiadne zdravotnícke zariadenie. Obyvatelia môžu navštevovať zdravotnícke stredisko v Hajnáčke a zdravotnícke stredisko v Novej Bašte, prípadne vyššiu zdravotnú starostlivosť v okresnom meste Rimavská Sobota.</w:t>
      </w:r>
    </w:p>
    <w:p>
      <w:pPr>
        <w:pStyle w:val="Normal"/>
        <w:numPr>
          <w:ilvl w:val="1"/>
          <w:numId w:val="3"/>
        </w:numPr>
        <w:spacing w:lineRule="auto" w:line="360"/>
        <w:ind w:left="426" w:hanging="426"/>
        <w:jc w:val="both"/>
        <w:rPr/>
      </w:pPr>
      <w:r>
        <w:rPr>
          <w:b/>
        </w:rPr>
        <w:t>Sociálne zabezpečenie</w:t>
      </w:r>
    </w:p>
    <w:p>
      <w:pPr>
        <w:pStyle w:val="Normal"/>
        <w:spacing w:lineRule="auto" w:line="360"/>
        <w:ind w:left="426" w:hanging="0"/>
        <w:jc w:val="both"/>
        <w:rPr/>
      </w:pPr>
      <w:r>
        <w:rPr/>
        <w:t>Na sociálnom úseku obec zabezpečuje nevyhnutnú sociálnu starostlivosť pre svojich občanov. ÚPVSaR pobočka Gemerský Jablonec zabezpečuje pre UoZ a pre obyvateľov obce v hmotnej núdzi aktivačné práce a poakytovanie sociálnych dávok.</w:t>
      </w:r>
    </w:p>
    <w:p>
      <w:pPr>
        <w:pStyle w:val="Normal"/>
        <w:numPr>
          <w:ilvl w:val="1"/>
          <w:numId w:val="3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>Kultúra</w:t>
      </w:r>
    </w:p>
    <w:p>
      <w:pPr>
        <w:pStyle w:val="Normal"/>
        <w:spacing w:lineRule="auto" w:line="360"/>
        <w:ind w:left="435" w:hanging="0"/>
        <w:jc w:val="both"/>
        <w:rPr/>
      </w:pPr>
      <w:r>
        <w:rPr/>
        <w:t>Spoločenský a kultúrny život v obci zabezpečuje obec. Kultúrne podujatia obce a jej obyvateľov sa realizujú v miestnom kultúrnom dome.</w:t>
      </w:r>
    </w:p>
    <w:p>
      <w:pPr>
        <w:pStyle w:val="Normal"/>
        <w:spacing w:lineRule="auto" w:line="360"/>
        <w:ind w:left="435" w:hanging="0"/>
        <w:jc w:val="both"/>
        <w:rPr/>
      </w:pPr>
      <w:r>
        <w:rPr/>
        <w:t>Spoločenské akcie v roku 2024: Mesiac úcty k starším, Mikuláš.</w:t>
      </w:r>
    </w:p>
    <w:p>
      <w:pPr>
        <w:pStyle w:val="Normal"/>
        <w:numPr>
          <w:ilvl w:val="1"/>
          <w:numId w:val="3"/>
        </w:numPr>
        <w:spacing w:lineRule="auto" w:line="360"/>
        <w:ind w:left="426" w:hanging="426"/>
        <w:jc w:val="both"/>
        <w:rPr>
          <w:b/>
          <w:b/>
        </w:rPr>
      </w:pPr>
      <w:r>
        <w:rPr>
          <w:b/>
        </w:rPr>
        <w:t xml:space="preserve">Hospodárstvo </w:t>
      </w:r>
    </w:p>
    <w:p>
      <w:pPr>
        <w:pStyle w:val="Normal"/>
        <w:jc w:val="both"/>
        <w:rPr/>
      </w:pPr>
      <w:r>
        <w:rPr/>
        <w:t>V obci Dubno sa nachádzajú len dve prevádzky živnostníkov a to:</w:t>
      </w:r>
    </w:p>
    <w:p>
      <w:pPr>
        <w:pStyle w:val="Normal"/>
        <w:jc w:val="both"/>
        <w:rPr/>
      </w:pPr>
      <w:r>
        <w:rPr/>
        <w:t>- Mária Molnárová – poľnohospodárska výroba.</w:t>
      </w:r>
    </w:p>
    <w:p>
      <w:pPr>
        <w:pStyle w:val="Normal"/>
        <w:jc w:val="both"/>
        <w:rPr/>
      </w:pPr>
      <w:r>
        <w:rPr/>
        <w:t>- Rebeka Hanyusová – masérka.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3"/>
        </w:numPr>
        <w:spacing w:lineRule="auto" w:line="360"/>
        <w:ind w:left="284" w:hanging="284"/>
        <w:rPr/>
      </w:pPr>
      <w:r>
        <w:rPr>
          <w:b/>
          <w:sz w:val="28"/>
          <w:szCs w:val="28"/>
        </w:rPr>
        <w:t>Informácia o vývoji obce z pohľadu rozpočtovníctva</w:t>
      </w:r>
    </w:p>
    <w:p>
      <w:pPr>
        <w:pStyle w:val="Normal"/>
        <w:jc w:val="both"/>
        <w:rPr/>
      </w:pPr>
      <w:r>
        <w:rPr/>
        <w:t>Základným   nástrojom  finančného  hospodárenia  obce  bol   rozpočet   obce   na  rok   2024.</w:t>
      </w:r>
    </w:p>
    <w:p>
      <w:pPr>
        <w:pStyle w:val="Normal"/>
        <w:jc w:val="both"/>
        <w:rPr/>
      </w:pPr>
      <w:r>
        <w:rPr/>
        <w:t xml:space="preserve">Obec zostavila rozpočet podľa ustanovenia § 10 ods. 7 zákona č.583/2004 Z.z. o rozpočtových pravidlách územnej samosprávy a o zmene a doplnení niektorých zákonov v znení neskorších predpisov. </w:t>
      </w:r>
      <w:r>
        <w:rPr>
          <w:color w:val="FF0000"/>
        </w:rPr>
        <w:t>Rozpočet obce</w:t>
      </w:r>
      <w:r>
        <w:rPr/>
        <w:t xml:space="preserve"> na rok 2024 bol zostavený ako </w:t>
      </w:r>
      <w:r>
        <w:rPr>
          <w:color w:val="FF0000"/>
        </w:rPr>
        <w:t xml:space="preserve">prebytkový. </w:t>
      </w:r>
      <w:r>
        <w:rPr/>
        <w:t xml:space="preserve">Bežný rozpočet bol zostavený ako </w:t>
      </w:r>
      <w:r>
        <w:rPr>
          <w:color w:val="FF0000"/>
        </w:rPr>
        <w:t>prebytkový</w:t>
      </w:r>
      <w:r>
        <w:rPr/>
        <w:t xml:space="preserve"> a kapitálový rozpočet ako  </w:t>
      </w:r>
      <w:r>
        <w:rPr>
          <w:color w:val="FF0000"/>
        </w:rPr>
        <w:t>schodkový</w:t>
      </w:r>
      <w:r>
        <w:rPr/>
        <w:t>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Hospodárenie obce sa riadilo podľa schváleného rozpočtu na rok 2024. </w:t>
      </w:r>
    </w:p>
    <w:p>
      <w:pPr>
        <w:pStyle w:val="Normal"/>
        <w:jc w:val="both"/>
        <w:rPr/>
      </w:pPr>
      <w:r>
        <w:rPr/>
        <w:t>Rozpočet obce bol schválený obecným zastupiteľstvom dňa .......2023 uznesením č./2023</w:t>
      </w:r>
    </w:p>
    <w:p>
      <w:pPr>
        <w:pStyle w:val="Normal"/>
        <w:jc w:val="both"/>
        <w:rPr/>
      </w:pPr>
      <w:r>
        <w:rPr/>
        <w:t>Rozpočet bol zmenený štyrikrát:</w:t>
      </w:r>
    </w:p>
    <w:p>
      <w:pPr>
        <w:pStyle w:val="Normal"/>
        <w:numPr>
          <w:ilvl w:val="0"/>
          <w:numId w:val="4"/>
        </w:numPr>
        <w:jc w:val="both"/>
        <w:rPr/>
      </w:pPr>
      <w:r>
        <w:rPr/>
        <w:t>prvá zmena   schválená dňa ......................... uznesením č. ....</w:t>
      </w:r>
    </w:p>
    <w:p>
      <w:pPr>
        <w:pStyle w:val="Normal"/>
        <w:numPr>
          <w:ilvl w:val="0"/>
          <w:numId w:val="4"/>
        </w:numPr>
        <w:jc w:val="both"/>
        <w:rPr/>
      </w:pPr>
      <w:r>
        <w:rPr/>
        <w:t>druhá zmena schválená dňa ......................... uznesením č. ....</w:t>
      </w:r>
    </w:p>
    <w:p>
      <w:pPr>
        <w:pStyle w:val="Normal"/>
        <w:numPr>
          <w:ilvl w:val="0"/>
          <w:numId w:val="4"/>
        </w:numPr>
        <w:jc w:val="both"/>
        <w:rPr/>
      </w:pPr>
      <w:r>
        <w:rPr/>
        <w:t>tretia zmena  schválená dňa ......................... uznesením č. ....</w:t>
      </w:r>
    </w:p>
    <w:p>
      <w:pPr>
        <w:pStyle w:val="Normal"/>
        <w:numPr>
          <w:ilvl w:val="0"/>
          <w:numId w:val="4"/>
        </w:numPr>
        <w:jc w:val="both"/>
        <w:rPr/>
      </w:pPr>
      <w:r>
        <w:rPr/>
        <w:t>štvrtá zmena schválená dňa .........................  uznesením č. ....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center"/>
        <w:rPr>
          <w:b/>
          <w:b/>
        </w:rPr>
      </w:pPr>
      <w:r>
        <w:rPr>
          <w:b/>
        </w:rPr>
        <w:t xml:space="preserve">Rozpočet obce k 31.12.2024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tbl>
      <w:tblPr>
        <w:tblW w:w="9923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410"/>
        <w:gridCol w:w="1984"/>
        <w:gridCol w:w="1985"/>
        <w:gridCol w:w="1985"/>
        <w:gridCol w:w="1559"/>
      </w:tblGrid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31.12.2024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59 870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61 797,95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60 797,95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98,38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z toho :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Bežné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58 870,00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57 797,95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57 797,95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Kapitálové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/>
              <w:t>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/>
              <w:t>3 000,00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/>
              <w:t>3 000,00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0"/>
              </w:numPr>
              <w:jc w:val="center"/>
              <w:outlineLvl w:val="0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Finančné príjmy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1 000,00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1 000,00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b/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54 070,00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59 793,51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59 793,51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z toho :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Bežné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53 070,00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59 793,51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59 793,51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Kapitálové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1 000,00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/>
            </w:pPr>
            <w:r>
              <w:rPr/>
              <w:t>Finančné výdavky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both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</w:r>
          </w:p>
        </w:tc>
      </w:tr>
      <w:tr>
        <w:trPr/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rPr>
                <w:b/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5 800,00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2 004,44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1 004,44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  <w:sz w:val="28"/>
          <w:szCs w:val="28"/>
          <w:highlight w:val="lightGray"/>
        </w:rPr>
        <w:t>8. Rozbor plnenia príjmov za rok 2024</w:t>
      </w:r>
      <w:r>
        <w:rPr>
          <w:b/>
          <w:sz w:val="28"/>
          <w:szCs w:val="28"/>
        </w:rPr>
        <w:t xml:space="preserve"> 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color w:val="0000FF"/>
        </w:rPr>
      </w:pPr>
      <w:r>
        <w:rPr>
          <w:color w:val="0000FF"/>
        </w:rPr>
      </w:r>
    </w:p>
    <w:tbl>
      <w:tblPr>
        <w:tblW w:w="918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24"/>
        <w:gridCol w:w="2365"/>
        <w:gridCol w:w="2363"/>
        <w:gridCol w:w="2227"/>
      </w:tblGrid>
      <w:tr>
        <w:trPr/>
        <w:tc>
          <w:tcPr>
            <w:tcW w:w="2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3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2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59 870</w:t>
            </w:r>
          </w:p>
        </w:tc>
        <w:tc>
          <w:tcPr>
            <w:tcW w:w="2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61 797,95</w:t>
            </w:r>
          </w:p>
        </w:tc>
        <w:tc>
          <w:tcPr>
            <w:tcW w:w="23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60 797,95</w:t>
            </w:r>
          </w:p>
        </w:tc>
        <w:tc>
          <w:tcPr>
            <w:tcW w:w="2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98,38</w:t>
            </w:r>
          </w:p>
        </w:tc>
      </w:tr>
    </w:tbl>
    <w:p>
      <w:pPr>
        <w:pStyle w:val="Normal"/>
        <w:rPr>
          <w:color w:val="00000A"/>
        </w:rPr>
      </w:pPr>
      <w:r>
        <w:rPr>
          <w:color w:val="00000A"/>
        </w:rPr>
      </w:r>
    </w:p>
    <w:p>
      <w:pPr>
        <w:pStyle w:val="Normal"/>
        <w:jc w:val="both"/>
        <w:rPr/>
      </w:pPr>
      <w:r>
        <w:rPr/>
        <w:t xml:space="preserve">Z rozpočtovaných celkových príjmov 61 797,95 EUR bol skutočný príjem k 31.12.2024 v sume 60 797,95 EUR, čo predstavuje  98,38% plnenie. 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5"/>
        </w:numPr>
        <w:ind w:left="284" w:hanging="284"/>
        <w:rPr>
          <w:b/>
          <w:b/>
          <w:color w:val="FF0000"/>
          <w:u w:val="single"/>
        </w:rPr>
      </w:pPr>
      <w:r>
        <w:rPr>
          <w:b/>
          <w:color w:val="FF0000"/>
          <w:u w:val="single"/>
        </w:rPr>
        <w:t>Príjmy obce</w:t>
      </w:r>
    </w:p>
    <w:p>
      <w:pPr>
        <w:pStyle w:val="Normal"/>
        <w:rPr>
          <w:color w:val="00000A"/>
        </w:rPr>
      </w:pPr>
      <w:r>
        <w:rPr>
          <w:color w:val="00000A"/>
        </w:rPr>
      </w:r>
    </w:p>
    <w:p>
      <w:pPr>
        <w:pStyle w:val="Normal"/>
        <w:numPr>
          <w:ilvl w:val="0"/>
          <w:numId w:val="6"/>
        </w:numPr>
        <w:ind w:left="284" w:hanging="284"/>
        <w:rPr>
          <w:b/>
          <w:b/>
          <w:color w:val="FF0000"/>
        </w:rPr>
      </w:pPr>
      <w:r>
        <w:rPr>
          <w:b/>
          <w:color w:val="FF0000"/>
        </w:rPr>
        <w:t>Bežné príjmy:</w:t>
      </w:r>
    </w:p>
    <w:p>
      <w:pPr>
        <w:pStyle w:val="Normal"/>
        <w:ind w:left="284" w:hanging="0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18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38"/>
        <w:gridCol w:w="2360"/>
        <w:gridCol w:w="2359"/>
        <w:gridCol w:w="2222"/>
      </w:tblGrid>
      <w:tr>
        <w:trPr/>
        <w:tc>
          <w:tcPr>
            <w:tcW w:w="2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58 870,00</w:t>
            </w:r>
          </w:p>
        </w:tc>
        <w:tc>
          <w:tcPr>
            <w:tcW w:w="2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57 797,95</w:t>
            </w:r>
          </w:p>
        </w:tc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57 797,95</w:t>
            </w:r>
          </w:p>
        </w:tc>
        <w:tc>
          <w:tcPr>
            <w:tcW w:w="2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right" w:pos="8460" w:leader="none"/>
              </w:tabs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>
          <w:color w:val="00000A"/>
        </w:rPr>
      </w:pPr>
      <w:r>
        <w:rPr/>
        <w:t xml:space="preserve">Z rozpočtovaných bežných príjmov 57 797,95 EUR bol skutočný príjem k 31.12.2024 v sume 57 797,95 EUR, čo predstavuje  100% plnenie. </w:t>
      </w:r>
    </w:p>
    <w:p>
      <w:pPr>
        <w:pStyle w:val="Normal"/>
        <w:ind w:left="284" w:hanging="0"/>
        <w:rPr/>
      </w:pPr>
      <w:r>
        <w:rPr/>
      </w:r>
    </w:p>
    <w:p>
      <w:pPr>
        <w:pStyle w:val="Normal"/>
        <w:numPr>
          <w:ilvl w:val="0"/>
          <w:numId w:val="7"/>
        </w:numPr>
        <w:ind w:left="284" w:hanging="284"/>
        <w:rPr>
          <w:b/>
          <w:b/>
          <w:color w:val="0000FF"/>
        </w:rPr>
      </w:pPr>
      <w:r>
        <w:rPr>
          <w:b/>
          <w:color w:val="0000FF"/>
        </w:rPr>
        <w:t>daňové príjmy:</w:t>
      </w:r>
    </w:p>
    <w:p>
      <w:pPr>
        <w:pStyle w:val="Normal"/>
        <w:rPr>
          <w:b/>
          <w:b/>
          <w:color w:val="00000A"/>
        </w:rPr>
      </w:pPr>
      <w:r>
        <w:rPr>
          <w:b/>
          <w:color w:val="00000A"/>
        </w:rPr>
      </w:r>
    </w:p>
    <w:tbl>
      <w:tblPr>
        <w:tblW w:w="918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594"/>
        <w:gridCol w:w="1865"/>
        <w:gridCol w:w="1948"/>
        <w:gridCol w:w="1925"/>
        <w:gridCol w:w="1848"/>
      </w:tblGrid>
      <w:tr>
        <w:trPr/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</w:t>
            </w:r>
          </w:p>
        </w:tc>
        <w:tc>
          <w:tcPr>
            <w:tcW w:w="1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1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110</w:t>
            </w:r>
          </w:p>
        </w:tc>
        <w:tc>
          <w:tcPr>
            <w:tcW w:w="1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44 400,00</w:t>
            </w:r>
          </w:p>
        </w:tc>
        <w:tc>
          <w:tcPr>
            <w:tcW w:w="1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43 057,00</w:t>
            </w:r>
          </w:p>
        </w:tc>
        <w:tc>
          <w:tcPr>
            <w:tcW w:w="1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43 057,00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120</w:t>
            </w:r>
          </w:p>
        </w:tc>
        <w:tc>
          <w:tcPr>
            <w:tcW w:w="1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5 200,00</w:t>
            </w:r>
          </w:p>
        </w:tc>
        <w:tc>
          <w:tcPr>
            <w:tcW w:w="1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5 356,52</w:t>
            </w:r>
          </w:p>
        </w:tc>
        <w:tc>
          <w:tcPr>
            <w:tcW w:w="1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5 356,52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130</w:t>
            </w:r>
          </w:p>
        </w:tc>
        <w:tc>
          <w:tcPr>
            <w:tcW w:w="1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2 950,00</w:t>
            </w:r>
          </w:p>
        </w:tc>
        <w:tc>
          <w:tcPr>
            <w:tcW w:w="1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2 565,38</w:t>
            </w:r>
          </w:p>
        </w:tc>
        <w:tc>
          <w:tcPr>
            <w:tcW w:w="1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2 565,38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Spolu</w:t>
            </w:r>
          </w:p>
        </w:tc>
        <w:tc>
          <w:tcPr>
            <w:tcW w:w="1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52 550,00</w:t>
            </w:r>
          </w:p>
        </w:tc>
        <w:tc>
          <w:tcPr>
            <w:tcW w:w="1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50 978,90</w:t>
            </w:r>
          </w:p>
        </w:tc>
        <w:tc>
          <w:tcPr>
            <w:tcW w:w="1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50 978,90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 xml:space="preserve">Výnos dane z príjmov poukázaný územnej samospráve </w:t>
      </w:r>
    </w:p>
    <w:p>
      <w:pPr>
        <w:pStyle w:val="Normal"/>
        <w:jc w:val="both"/>
        <w:rPr/>
      </w:pPr>
      <w:r>
        <w:rPr/>
        <w:t>Z predpokladanej finančnej čiastky v sume 43 057,00 EUR z výnosu dane z príjmov boli k 31.12.2024 poukázané finančné prostriedky zo ŠR v sume 43 057,00 EUR, čo predstavuje plnenie na 100 %.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>Daň z nehnuteľností</w:t>
      </w:r>
    </w:p>
    <w:p>
      <w:pPr>
        <w:pStyle w:val="Normal"/>
        <w:jc w:val="both"/>
        <w:rPr/>
      </w:pPr>
      <w:r>
        <w:rPr/>
        <w:t xml:space="preserve">Z rozpočtovaných 5 356,52 EUR bol skutočný príjem k 31.12.2024 v sume 5 356,52 EUR, čo predstavuje plnenie na 100 % plnenie. Príjmy dane z pozemkov boli v sume 4 818,39 EUR, príjmy dane zo stavieb boli v sume 538,13 EUR. 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 xml:space="preserve">Daň za psa  </w:t>
      </w:r>
      <w:r>
        <w:rPr/>
        <w:t>135,00 €,</w:t>
      </w:r>
    </w:p>
    <w:p>
      <w:pPr>
        <w:pStyle w:val="Normal"/>
        <w:jc w:val="both"/>
        <w:rPr>
          <w:b/>
          <w:b/>
        </w:rPr>
      </w:pPr>
      <w:r>
        <w:rPr>
          <w:b/>
        </w:rPr>
        <w:t xml:space="preserve">Daň za užívanie verejného priestranstva </w:t>
      </w:r>
      <w:r>
        <w:rPr/>
        <w:t>0,00 €,</w:t>
      </w:r>
    </w:p>
    <w:p>
      <w:pPr>
        <w:pStyle w:val="Normal"/>
        <w:jc w:val="both"/>
        <w:rPr/>
      </w:pPr>
      <w:r>
        <w:rPr>
          <w:b/>
        </w:rPr>
        <w:t xml:space="preserve">Poplatok za komunálny odpad a drobný stavebný odpad </w:t>
      </w:r>
      <w:r>
        <w:rPr/>
        <w:t>2 430,38 €.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7"/>
        </w:numPr>
        <w:ind w:left="284" w:hanging="284"/>
        <w:rPr>
          <w:b/>
          <w:b/>
          <w:color w:val="0000FF"/>
        </w:rPr>
      </w:pPr>
      <w:r>
        <w:rPr>
          <w:b/>
          <w:color w:val="0000FF"/>
        </w:rPr>
        <w:t xml:space="preserve">nedaňové príjmy: </w:t>
      </w:r>
    </w:p>
    <w:p>
      <w:pPr>
        <w:pStyle w:val="Normal"/>
        <w:rPr>
          <w:b/>
          <w:b/>
          <w:color w:val="0000FF"/>
        </w:rPr>
      </w:pPr>
      <w:r>
        <w:rPr>
          <w:b/>
          <w:color w:val="0000FF"/>
        </w:rPr>
      </w:r>
    </w:p>
    <w:tbl>
      <w:tblPr>
        <w:tblW w:w="9179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1612"/>
        <w:gridCol w:w="1858"/>
        <w:gridCol w:w="1941"/>
        <w:gridCol w:w="1904"/>
        <w:gridCol w:w="1864"/>
      </w:tblGrid>
      <w:tr>
        <w:trPr/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9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1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210</w:t>
            </w:r>
          </w:p>
        </w:tc>
        <w:tc>
          <w:tcPr>
            <w:tcW w:w="1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50,00</w:t>
            </w:r>
          </w:p>
        </w:tc>
        <w:tc>
          <w:tcPr>
            <w:tcW w:w="19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1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220</w:t>
            </w:r>
          </w:p>
        </w:tc>
        <w:tc>
          <w:tcPr>
            <w:tcW w:w="1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500,00</w:t>
            </w:r>
          </w:p>
        </w:tc>
        <w:tc>
          <w:tcPr>
            <w:tcW w:w="19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402,00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402,00</w:t>
            </w:r>
          </w:p>
        </w:tc>
        <w:tc>
          <w:tcPr>
            <w:tcW w:w="1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240</w:t>
            </w:r>
          </w:p>
        </w:tc>
        <w:tc>
          <w:tcPr>
            <w:tcW w:w="1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300,00</w:t>
            </w:r>
          </w:p>
        </w:tc>
        <w:tc>
          <w:tcPr>
            <w:tcW w:w="19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5,65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5,65</w:t>
            </w:r>
          </w:p>
        </w:tc>
        <w:tc>
          <w:tcPr>
            <w:tcW w:w="1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290</w:t>
            </w:r>
          </w:p>
        </w:tc>
        <w:tc>
          <w:tcPr>
            <w:tcW w:w="1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570,00</w:t>
            </w:r>
          </w:p>
        </w:tc>
        <w:tc>
          <w:tcPr>
            <w:tcW w:w="19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577,67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577,67</w:t>
            </w:r>
          </w:p>
        </w:tc>
        <w:tc>
          <w:tcPr>
            <w:tcW w:w="1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Spolu</w:t>
            </w:r>
          </w:p>
        </w:tc>
        <w:tc>
          <w:tcPr>
            <w:tcW w:w="18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1 420,00</w:t>
            </w:r>
          </w:p>
        </w:tc>
        <w:tc>
          <w:tcPr>
            <w:tcW w:w="19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985,32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985,32</w:t>
            </w:r>
          </w:p>
        </w:tc>
        <w:tc>
          <w:tcPr>
            <w:tcW w:w="18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tabs>
          <w:tab w:val="right" w:pos="284" w:leader="none"/>
        </w:tabs>
        <w:jc w:val="both"/>
        <w:rPr>
          <w:b/>
          <w:b/>
          <w:color w:val="00000A"/>
        </w:rPr>
      </w:pPr>
      <w:r>
        <w:rPr>
          <w:b/>
          <w:color w:val="00000A"/>
        </w:rPr>
      </w:r>
    </w:p>
    <w:p>
      <w:pPr>
        <w:pStyle w:val="Normal"/>
        <w:tabs>
          <w:tab w:val="right" w:pos="284" w:leader="none"/>
        </w:tabs>
        <w:jc w:val="both"/>
        <w:rPr>
          <w:b/>
          <w:b/>
        </w:rPr>
      </w:pPr>
      <w:r>
        <w:rPr>
          <w:b/>
        </w:rPr>
        <w:t>Administratívne poplatky a iné poplatky a platby</w:t>
      </w:r>
    </w:p>
    <w:p>
      <w:pPr>
        <w:pStyle w:val="Normal"/>
        <w:jc w:val="both"/>
        <w:rPr/>
      </w:pPr>
      <w:r>
        <w:rPr/>
        <w:t>Administratívne poplatky - správne poplatky:</w:t>
      </w:r>
    </w:p>
    <w:p>
      <w:pPr>
        <w:pStyle w:val="Normal"/>
        <w:jc w:val="both"/>
        <w:rPr/>
      </w:pPr>
      <w:r>
        <w:rPr/>
        <w:t xml:space="preserve">Z rozpočtovaných 402,00 EUR bol skutočný príjem k 31.12.2024 v sume 402,00 EUR, čo je 100 % plnenie. </w:t>
      </w:r>
    </w:p>
    <w:p>
      <w:pPr>
        <w:pStyle w:val="Normal"/>
        <w:jc w:val="both"/>
        <w:rPr>
          <w:b/>
          <w:b/>
        </w:rPr>
      </w:pPr>
      <w:r>
        <w:rPr>
          <w:b/>
        </w:rPr>
        <w:t>Úroky z tuzemských úverov</w:t>
      </w:r>
    </w:p>
    <w:p>
      <w:pPr>
        <w:pStyle w:val="Normal"/>
        <w:jc w:val="both"/>
        <w:rPr/>
      </w:pPr>
      <w:r>
        <w:rPr/>
        <w:t xml:space="preserve">Z rozpočtovaných 5,65 EUR bol skutočný príjem k 31.12.2024 v sume 5,65 EUR, čo je 100 % plnenie.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  <w:color w:val="0000FF"/>
        </w:rPr>
      </w:pPr>
      <w:r>
        <w:rPr>
          <w:b/>
          <w:color w:val="0000FF"/>
        </w:rPr>
        <w:t>Iné nedaňové príjmy</w:t>
      </w:r>
    </w:p>
    <w:p>
      <w:pPr>
        <w:pStyle w:val="Normal"/>
        <w:rPr>
          <w:b/>
          <w:b/>
          <w:color w:val="00000A"/>
        </w:rPr>
      </w:pPr>
      <w:r>
        <w:rPr>
          <w:b/>
          <w:color w:val="00000A"/>
        </w:rPr>
      </w:r>
    </w:p>
    <w:p>
      <w:pPr>
        <w:pStyle w:val="Normal"/>
        <w:jc w:val="both"/>
        <w:rPr/>
      </w:pPr>
      <w:r>
        <w:rPr/>
        <w:t xml:space="preserve">Z rozpočtovaných iných nedaňových príjmov 577,67 EUR, bol skutočný príjem vo výške 577,67 EUR, čo predstavuje 100 % plnenie. </w:t>
      </w:r>
    </w:p>
    <w:p>
      <w:pPr>
        <w:pStyle w:val="Normal"/>
        <w:jc w:val="both"/>
        <w:rPr>
          <w:b/>
          <w:b/>
          <w:u w:val="single"/>
        </w:rPr>
      </w:pPr>
      <w:r>
        <w:rPr/>
        <w:t xml:space="preserve">Medzi iné nedaňové príjmy boli rozpočtované príjmy z dobropisov a z vratiek. </w:t>
      </w:r>
    </w:p>
    <w:p>
      <w:pPr>
        <w:pStyle w:val="Normal"/>
        <w:numPr>
          <w:ilvl w:val="0"/>
          <w:numId w:val="0"/>
        </w:numPr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7"/>
        </w:numPr>
        <w:ind w:left="284" w:hanging="284"/>
        <w:rPr>
          <w:b/>
          <w:b/>
          <w:color w:val="0000FF"/>
        </w:rPr>
      </w:pPr>
      <w:r>
        <w:rPr>
          <w:b/>
          <w:color w:val="0000FF"/>
        </w:rPr>
        <w:t>prijaté bežné granty a transfery:</w:t>
      </w:r>
    </w:p>
    <w:p>
      <w:pPr>
        <w:pStyle w:val="Normal"/>
        <w:ind w:left="284" w:hanging="0"/>
        <w:rPr>
          <w:b/>
          <w:b/>
          <w:color w:val="0000FF"/>
        </w:rPr>
      </w:pPr>
      <w:r>
        <w:rPr>
          <w:b/>
          <w:color w:val="0000FF"/>
        </w:rPr>
      </w:r>
    </w:p>
    <w:tbl>
      <w:tblPr>
        <w:tblW w:w="918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33"/>
        <w:gridCol w:w="2357"/>
        <w:gridCol w:w="2356"/>
        <w:gridCol w:w="2233"/>
      </w:tblGrid>
      <w:tr>
        <w:trPr/>
        <w:tc>
          <w:tcPr>
            <w:tcW w:w="2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4 900,00</w:t>
            </w:r>
          </w:p>
        </w:tc>
        <w:tc>
          <w:tcPr>
            <w:tcW w:w="2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5 833,73</w:t>
            </w:r>
          </w:p>
        </w:tc>
        <w:tc>
          <w:tcPr>
            <w:tcW w:w="2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5 833,73</w:t>
            </w:r>
          </w:p>
        </w:tc>
        <w:tc>
          <w:tcPr>
            <w:tcW w:w="2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ind w:left="284" w:hanging="0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numPr>
          <w:ilvl w:val="0"/>
          <w:numId w:val="0"/>
        </w:numPr>
        <w:jc w:val="both"/>
        <w:outlineLvl w:val="0"/>
        <w:rPr>
          <w:color w:val="00000A"/>
        </w:rPr>
      </w:pPr>
      <w:r>
        <w:rPr/>
        <w:t>Z rozpočtovaných bežných grantov a transferov 5 833,73 EUR bol skutočný príjem vo výške 5 833,73 EUR, čo predstavuje 100% plnenie.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/>
      </w:r>
    </w:p>
    <w:p>
      <w:pPr>
        <w:pStyle w:val="Normal"/>
        <w:numPr>
          <w:ilvl w:val="0"/>
          <w:numId w:val="0"/>
        </w:numPr>
        <w:outlineLvl w:val="0"/>
        <w:rPr>
          <w:b/>
          <w:b/>
        </w:rPr>
      </w:pPr>
      <w:r>
        <w:rPr>
          <w:b/>
        </w:rPr>
        <w:t>Prijaté bežné granty a transfery:</w:t>
      </w:r>
    </w:p>
    <w:tbl>
      <w:tblPr>
        <w:tblW w:w="9923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694"/>
        <w:gridCol w:w="1841"/>
        <w:gridCol w:w="2552"/>
        <w:gridCol w:w="2835"/>
      </w:tblGrid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Poznámka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</w:tbl>
    <w:p>
      <w:pPr>
        <w:pStyle w:val="Normal"/>
        <w:numPr>
          <w:ilvl w:val="0"/>
          <w:numId w:val="0"/>
        </w:numPr>
        <w:outlineLvl w:val="0"/>
        <w:rPr/>
      </w:pPr>
      <w:r>
        <w:rPr/>
      </w:r>
    </w:p>
    <w:p>
      <w:pPr>
        <w:pStyle w:val="Normal"/>
        <w:jc w:val="both"/>
        <w:rPr>
          <w:color w:val="FF0000"/>
        </w:rPr>
      </w:pPr>
      <w:r>
        <w:rPr>
          <w:color w:val="FF0000"/>
        </w:rPr>
        <w:t>Popis najvýznamnejších prijatých bežných grantov a transferov:</w:t>
      </w:r>
    </w:p>
    <w:p>
      <w:pPr>
        <w:pStyle w:val="Normal"/>
        <w:numPr>
          <w:ilvl w:val="0"/>
          <w:numId w:val="8"/>
        </w:numPr>
        <w:jc w:val="both"/>
        <w:rPr>
          <w:color w:val="FF0000"/>
        </w:rPr>
      </w:pPr>
      <w:r>
        <w:rPr>
          <w:color w:val="FF0000"/>
        </w:rPr>
        <w:t>........</w:t>
      </w:r>
    </w:p>
    <w:p>
      <w:pPr>
        <w:pStyle w:val="Normal"/>
        <w:numPr>
          <w:ilvl w:val="0"/>
          <w:numId w:val="8"/>
        </w:numPr>
        <w:jc w:val="both"/>
        <w:rPr>
          <w:color w:val="FF0000"/>
        </w:rPr>
      </w:pPr>
      <w:r>
        <w:rPr>
          <w:color w:val="FF0000"/>
        </w:rPr>
        <w:t>........</w:t>
      </w:r>
    </w:p>
    <w:p>
      <w:pPr>
        <w:pStyle w:val="Normal"/>
        <w:jc w:val="both"/>
        <w:rPr>
          <w:color w:val="00000A"/>
        </w:rPr>
      </w:pPr>
      <w:r>
        <w:rPr>
          <w:color w:val="00000A"/>
        </w:rPr>
      </w:r>
    </w:p>
    <w:p>
      <w:pPr>
        <w:pStyle w:val="Normal"/>
        <w:jc w:val="both"/>
        <w:rPr/>
      </w:pPr>
      <w:r>
        <w:rPr/>
        <w:t xml:space="preserve">Prijaté granty a transfery boli účelovo učené </w:t>
      </w:r>
      <w:r>
        <w:rPr>
          <w:color w:val="FF0000"/>
        </w:rPr>
        <w:t>na bežné výdavky</w:t>
      </w:r>
      <w:r>
        <w:rPr/>
        <w:t xml:space="preserve"> a boli použité v súlade s ich účelom.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6"/>
        </w:numPr>
        <w:ind w:left="284" w:hanging="284"/>
        <w:rPr>
          <w:b/>
          <w:b/>
          <w:color w:val="FF0000"/>
        </w:rPr>
      </w:pPr>
      <w:r>
        <w:rPr>
          <w:b/>
          <w:color w:val="FF0000"/>
        </w:rPr>
        <w:t xml:space="preserve">Kapitálové príjmy: </w:t>
      </w:r>
    </w:p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18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31"/>
        <w:gridCol w:w="2358"/>
        <w:gridCol w:w="2355"/>
        <w:gridCol w:w="2235"/>
      </w:tblGrid>
      <w:tr>
        <w:trPr/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3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príjmov</w:t>
            </w:r>
          </w:p>
        </w:tc>
        <w:tc>
          <w:tcPr>
            <w:tcW w:w="2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2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3 000,00</w:t>
            </w:r>
          </w:p>
        </w:tc>
        <w:tc>
          <w:tcPr>
            <w:tcW w:w="23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3 000,00</w:t>
            </w:r>
          </w:p>
        </w:tc>
        <w:tc>
          <w:tcPr>
            <w:tcW w:w="22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>
          <w:color w:val="00000A"/>
        </w:rPr>
      </w:pPr>
      <w:r>
        <w:rPr/>
        <w:t xml:space="preserve">Z rozpočtovaných kapitálových príjmov 3 000,00 EUR bol skutočný príjem k 31.12.2024 v sume 3 000,00 EUR, čo predstavuje  100% plnenie. </w:t>
      </w:r>
    </w:p>
    <w:p>
      <w:pPr>
        <w:pStyle w:val="Normal"/>
        <w:tabs>
          <w:tab w:val="right" w:pos="284" w:leader="none"/>
        </w:tabs>
        <w:jc w:val="both"/>
        <w:rPr>
          <w:b/>
          <w:b/>
        </w:rPr>
      </w:pPr>
      <w:r>
        <w:rPr>
          <w:b/>
        </w:rPr>
      </w:r>
    </w:p>
    <w:p>
      <w:pPr>
        <w:pStyle w:val="Normal"/>
        <w:tabs>
          <w:tab w:val="right" w:pos="284" w:leader="none"/>
        </w:tabs>
        <w:jc w:val="both"/>
        <w:rPr>
          <w:b/>
          <w:b/>
          <w:color w:val="0000FF"/>
        </w:rPr>
      </w:pPr>
      <w:r>
        <w:rPr>
          <w:b/>
          <w:color w:val="0000FF"/>
        </w:rPr>
        <w:t>Prijaté kapitálové granty a transfery:</w:t>
      </w:r>
    </w:p>
    <w:p>
      <w:pPr>
        <w:pStyle w:val="Normal"/>
        <w:jc w:val="both"/>
        <w:rPr>
          <w:color w:val="00000A"/>
        </w:rPr>
      </w:pPr>
      <w:r>
        <w:rPr/>
        <w:t xml:space="preserve">Z rozpočtovaných 3 000,00 EUR bol skutočný príjem k 31.12.2024 v sume </w:t>
      </w:r>
    </w:p>
    <w:p>
      <w:pPr>
        <w:pStyle w:val="Normal"/>
        <w:jc w:val="both"/>
        <w:rPr/>
      </w:pPr>
      <w:r>
        <w:rPr/>
        <w:t>3 000,00 EUR, čo predstavuje 100 % plnenie.</w:t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outlineLvl w:val="0"/>
        <w:rPr>
          <w:b/>
          <w:b/>
        </w:rPr>
      </w:pPr>
      <w:r>
        <w:rPr>
          <w:b/>
        </w:rPr>
        <w:t>Prijaté kapitálové granty a transfery:</w:t>
      </w:r>
    </w:p>
    <w:tbl>
      <w:tblPr>
        <w:tblW w:w="9923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694"/>
        <w:gridCol w:w="1841"/>
        <w:gridCol w:w="2552"/>
        <w:gridCol w:w="2835"/>
      </w:tblGrid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Poznámka</w:t>
            </w:r>
          </w:p>
        </w:tc>
      </w:tr>
      <w:tr>
        <w:trPr/>
        <w:tc>
          <w:tcPr>
            <w:tcW w:w="26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  <w:t>MF SR</w:t>
            </w:r>
          </w:p>
        </w:tc>
        <w:tc>
          <w:tcPr>
            <w:tcW w:w="1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>3 000,00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  <w:t>Okno a vchodové dvere OÚ Dubno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both"/>
              <w:rPr/>
            </w:pPr>
            <w:r>
              <w:rPr/>
            </w:r>
          </w:p>
        </w:tc>
      </w:tr>
    </w:tbl>
    <w:p>
      <w:pPr>
        <w:pStyle w:val="Normal"/>
        <w:numPr>
          <w:ilvl w:val="0"/>
          <w:numId w:val="0"/>
        </w:numPr>
        <w:outlineLvl w:val="0"/>
        <w:rPr>
          <w:color w:val="FF0000"/>
        </w:rPr>
      </w:pPr>
      <w:r>
        <w:rPr>
          <w:color w:val="FF0000"/>
        </w:rPr>
      </w:r>
    </w:p>
    <w:p>
      <w:pPr>
        <w:pStyle w:val="Normal"/>
        <w:numPr>
          <w:ilvl w:val="0"/>
          <w:numId w:val="0"/>
        </w:numPr>
        <w:outlineLvl w:val="0"/>
        <w:rPr>
          <w:b/>
          <w:b/>
          <w:color w:val="00000A"/>
        </w:rPr>
      </w:pPr>
      <w:r>
        <w:rPr>
          <w:b/>
          <w:color w:val="00000A"/>
        </w:rPr>
      </w:r>
    </w:p>
    <w:p>
      <w:pPr>
        <w:pStyle w:val="Normal"/>
        <w:jc w:val="both"/>
        <w:rPr/>
      </w:pPr>
      <w:r>
        <w:rPr/>
        <w:t xml:space="preserve">Prijaté granty a transfery boli účelovo učené </w:t>
      </w:r>
      <w:r>
        <w:rPr>
          <w:color w:val="FF0000"/>
        </w:rPr>
        <w:t>na kapitálové výdavky</w:t>
      </w:r>
      <w:r>
        <w:rPr/>
        <w:t xml:space="preserve"> a boli použité v súlade s ich účelom.</w:t>
      </w:r>
    </w:p>
    <w:p>
      <w:pPr>
        <w:pStyle w:val="Normal"/>
        <w:numPr>
          <w:ilvl w:val="0"/>
          <w:numId w:val="0"/>
        </w:numPr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6"/>
        </w:numPr>
        <w:ind w:left="284" w:hanging="284"/>
        <w:rPr>
          <w:b/>
          <w:b/>
          <w:color w:val="FF0000"/>
        </w:rPr>
      </w:pPr>
      <w:r>
        <w:rPr>
          <w:b/>
          <w:color w:val="FF0000"/>
        </w:rPr>
        <w:t xml:space="preserve">Príjmové finančné operácie: </w:t>
      </w:r>
    </w:p>
    <w:tbl>
      <w:tblPr>
        <w:tblW w:w="918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30"/>
        <w:gridCol w:w="2355"/>
        <w:gridCol w:w="2361"/>
        <w:gridCol w:w="2233"/>
      </w:tblGrid>
      <w:tr>
        <w:trPr/>
        <w:tc>
          <w:tcPr>
            <w:tcW w:w="2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3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plnenie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finančných príjmov</w:t>
            </w:r>
          </w:p>
        </w:tc>
        <w:tc>
          <w:tcPr>
            <w:tcW w:w="2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plnenia fin. príjmov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1 000,00</w:t>
            </w:r>
          </w:p>
        </w:tc>
        <w:tc>
          <w:tcPr>
            <w:tcW w:w="23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1 000,00</w:t>
            </w:r>
          </w:p>
        </w:tc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22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color w:val="00000A"/>
        </w:rPr>
      </w:pPr>
      <w:r>
        <w:rPr>
          <w:color w:val="00000A"/>
        </w:rPr>
      </w:r>
    </w:p>
    <w:p>
      <w:pPr>
        <w:pStyle w:val="Normal"/>
        <w:jc w:val="both"/>
        <w:rPr/>
      </w:pPr>
      <w:r>
        <w:rPr/>
        <w:t xml:space="preserve">Z rozpočtovaných príjmových finančných operácií 1 000,00 EUR bol skutočný príjem k 31.12.2024 v sume 0,00EUR. </w:t>
      </w:r>
    </w:p>
    <w:p>
      <w:pPr>
        <w:pStyle w:val="Normal"/>
        <w:rPr>
          <w:b/>
          <w:b/>
          <w:color w:val="6600FF"/>
        </w:rPr>
      </w:pPr>
      <w:r>
        <w:rPr>
          <w:b/>
          <w:color w:val="6600FF"/>
        </w:rPr>
      </w:r>
    </w:p>
    <w:p>
      <w:pPr>
        <w:pStyle w:val="Normal"/>
        <w:rPr>
          <w:b/>
          <w:b/>
          <w:color w:val="6600FF"/>
        </w:rPr>
      </w:pPr>
      <w:r>
        <w:rPr>
          <w:b/>
          <w:color w:val="6600FF"/>
        </w:rPr>
      </w:r>
    </w:p>
    <w:p>
      <w:pPr>
        <w:pStyle w:val="Normal"/>
        <w:rPr>
          <w:b/>
          <w:b/>
          <w:color w:val="00000A"/>
          <w:sz w:val="28"/>
          <w:szCs w:val="28"/>
        </w:rPr>
      </w:pPr>
      <w:r>
        <w:rPr>
          <w:b/>
          <w:sz w:val="28"/>
          <w:szCs w:val="28"/>
          <w:highlight w:val="lightGray"/>
        </w:rPr>
        <w:t>9. Rozbor čerpania výdavkov za rok 2024</w:t>
      </w:r>
      <w:r>
        <w:rPr>
          <w:b/>
          <w:sz w:val="28"/>
          <w:szCs w:val="28"/>
        </w:rPr>
        <w:t xml:space="preserve"> </w:t>
      </w:r>
    </w:p>
    <w:p>
      <w:pPr>
        <w:pStyle w:val="Normal"/>
        <w:rPr/>
      </w:pPr>
      <w:r>
        <w:rPr/>
      </w:r>
    </w:p>
    <w:p>
      <w:pPr>
        <w:pStyle w:val="Normal"/>
        <w:jc w:val="both"/>
        <w:rPr>
          <w:color w:val="0000FF"/>
        </w:rPr>
      </w:pPr>
      <w:r>
        <w:rPr>
          <w:color w:val="0000FF"/>
        </w:rPr>
      </w:r>
    </w:p>
    <w:tbl>
      <w:tblPr>
        <w:tblW w:w="918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238"/>
        <w:gridCol w:w="2360"/>
        <w:gridCol w:w="2359"/>
        <w:gridCol w:w="2222"/>
      </w:tblGrid>
      <w:tr>
        <w:trPr/>
        <w:tc>
          <w:tcPr>
            <w:tcW w:w="2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2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čerpania výdavkov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54 070,00</w:t>
            </w:r>
          </w:p>
        </w:tc>
        <w:tc>
          <w:tcPr>
            <w:tcW w:w="2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59 793,51</w:t>
            </w:r>
          </w:p>
        </w:tc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59 793,51</w:t>
            </w:r>
          </w:p>
        </w:tc>
        <w:tc>
          <w:tcPr>
            <w:tcW w:w="2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jc w:val="both"/>
        <w:rPr>
          <w:color w:val="00000A"/>
        </w:rPr>
      </w:pPr>
      <w:r>
        <w:rPr>
          <w:color w:val="00000A"/>
        </w:rPr>
      </w:r>
    </w:p>
    <w:p>
      <w:pPr>
        <w:pStyle w:val="Normal"/>
        <w:jc w:val="both"/>
        <w:rPr/>
      </w:pPr>
      <w:r>
        <w:rPr/>
        <w:t xml:space="preserve">Z rozpočtovaných celkových výdavkov 59 793,51 EUR bolo skutočne čerpané  k 31.12.2024 v sume 59 793,51 EUR, čo predstavuje  100 % čerpanie. 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9"/>
        </w:numPr>
        <w:ind w:left="284" w:hanging="284"/>
        <w:rPr>
          <w:b/>
          <w:b/>
          <w:color w:val="FF0000"/>
          <w:u w:val="single"/>
        </w:rPr>
      </w:pPr>
      <w:r>
        <w:rPr>
          <w:b/>
          <w:color w:val="FF0000"/>
          <w:u w:val="single"/>
        </w:rPr>
        <w:t>Výdavky obce</w:t>
      </w:r>
    </w:p>
    <w:p>
      <w:pPr>
        <w:pStyle w:val="Normal"/>
        <w:rPr>
          <w:color w:val="00000A"/>
        </w:rPr>
      </w:pPr>
      <w:r>
        <w:rPr>
          <w:color w:val="00000A"/>
        </w:rPr>
      </w:r>
    </w:p>
    <w:p>
      <w:pPr>
        <w:pStyle w:val="Normal"/>
        <w:numPr>
          <w:ilvl w:val="0"/>
          <w:numId w:val="10"/>
        </w:numPr>
        <w:ind w:left="284" w:hanging="284"/>
        <w:rPr>
          <w:b/>
          <w:b/>
          <w:color w:val="FF0000"/>
        </w:rPr>
      </w:pPr>
      <w:r>
        <w:rPr>
          <w:b/>
          <w:color w:val="FF0000"/>
        </w:rPr>
        <w:t xml:space="preserve">Bežné výdavky: </w:t>
      </w:r>
    </w:p>
    <w:p>
      <w:pPr>
        <w:pStyle w:val="Normal"/>
        <w:ind w:left="284" w:hanging="0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18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067"/>
        <w:gridCol w:w="1492"/>
        <w:gridCol w:w="1840"/>
        <w:gridCol w:w="1725"/>
        <w:gridCol w:w="2056"/>
      </w:tblGrid>
      <w:tr>
        <w:trPr/>
        <w:tc>
          <w:tcPr>
            <w:tcW w:w="2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čerpania výdavkov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610</w:t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24 050,00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26 076,04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26 076,04</w:t>
            </w:r>
          </w:p>
        </w:tc>
        <w:tc>
          <w:tcPr>
            <w:tcW w:w="2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620</w:t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8 370,00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6 996,81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6 996,81</w:t>
            </w:r>
          </w:p>
        </w:tc>
        <w:tc>
          <w:tcPr>
            <w:tcW w:w="2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630</w:t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20 100,00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26 572,66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26 572,66</w:t>
            </w:r>
          </w:p>
        </w:tc>
        <w:tc>
          <w:tcPr>
            <w:tcW w:w="2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640</w:t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550,00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148,00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148,00</w:t>
            </w:r>
          </w:p>
        </w:tc>
        <w:tc>
          <w:tcPr>
            <w:tcW w:w="2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  <w:tr>
        <w:trPr/>
        <w:tc>
          <w:tcPr>
            <w:tcW w:w="20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Spolu</w:t>
            </w:r>
          </w:p>
        </w:tc>
        <w:tc>
          <w:tcPr>
            <w:tcW w:w="1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53 070,00</w:t>
            </w:r>
          </w:p>
        </w:tc>
        <w:tc>
          <w:tcPr>
            <w:tcW w:w="18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59 793,51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59 793,51</w:t>
            </w:r>
          </w:p>
        </w:tc>
        <w:tc>
          <w:tcPr>
            <w:tcW w:w="2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100</w:t>
            </w:r>
          </w:p>
        </w:tc>
      </w:tr>
    </w:tbl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p>
      <w:pPr>
        <w:pStyle w:val="Normal"/>
        <w:jc w:val="both"/>
        <w:rPr>
          <w:color w:val="00000A"/>
        </w:rPr>
      </w:pPr>
      <w:r>
        <w:rPr/>
        <w:t xml:space="preserve">Z rozpočtovaných bežných výdavkov 59 793,51 EUR bolo skutočne čerpané  k 31.12.2024 v sume 59 793,51 EUR, čo predstavuje  100 % čerpanie.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>
          <w:b/>
          <w:b/>
          <w:color w:val="0000FF"/>
        </w:rPr>
      </w:pPr>
      <w:r>
        <w:rPr>
          <w:b/>
          <w:color w:val="0000FF"/>
        </w:rPr>
        <w:t xml:space="preserve">Rozbor významných položiek bežného rozpočtu: </w:t>
      </w:r>
    </w:p>
    <w:p>
      <w:pPr>
        <w:pStyle w:val="Normal"/>
        <w:numPr>
          <w:ilvl w:val="0"/>
          <w:numId w:val="11"/>
        </w:numPr>
        <w:ind w:left="284" w:hanging="284"/>
        <w:jc w:val="both"/>
        <w:rPr>
          <w:b/>
          <w:b/>
          <w:color w:val="00000A"/>
        </w:rPr>
      </w:pPr>
      <w:r>
        <w:rPr>
          <w:b/>
        </w:rPr>
        <w:t>Mzdy, platy, služobné príjmy a ostatné osobné vyrovnania:</w:t>
      </w:r>
    </w:p>
    <w:p>
      <w:pPr>
        <w:pStyle w:val="Normal"/>
        <w:jc w:val="both"/>
        <w:rPr/>
      </w:pPr>
      <w:r>
        <w:rPr/>
        <w:t>Z rozpočtovaných výdavkov 26 076,04 EUR bolo skutočné čerpanie k 31.12.2024 v sume 26 076,44 EUR, čo je 100 % čerpanie. Patria sem mzdové prostriedky pracovníkov Ocú,aktivačných pracovníkov.</w:t>
      </w:r>
    </w:p>
    <w:p>
      <w:pPr>
        <w:pStyle w:val="Normal"/>
        <w:tabs>
          <w:tab w:val="right" w:pos="284" w:leader="none"/>
        </w:tabs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11"/>
        </w:numPr>
        <w:ind w:left="284" w:hanging="284"/>
        <w:jc w:val="both"/>
        <w:rPr>
          <w:b/>
          <w:b/>
        </w:rPr>
      </w:pPr>
      <w:r>
        <w:rPr>
          <w:b/>
        </w:rPr>
        <w:t>Poistné a príspevok do poisťovní:</w:t>
      </w:r>
    </w:p>
    <w:p>
      <w:pPr>
        <w:pStyle w:val="Normal"/>
        <w:jc w:val="both"/>
        <w:rPr/>
      </w:pPr>
      <w:r>
        <w:rPr/>
        <w:t xml:space="preserve">Z rozpočtovaných výdavkov 6 996,81 EUR bolo skutočne čerpané k 31.12.2024 v sume 6 996,81EUR, čo je 100 % čerpanie. </w:t>
      </w:r>
    </w:p>
    <w:p>
      <w:pPr>
        <w:pStyle w:val="Normal"/>
        <w:tabs>
          <w:tab w:val="right" w:pos="284" w:leader="none"/>
        </w:tabs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11"/>
        </w:numPr>
        <w:ind w:left="284" w:hanging="284"/>
        <w:jc w:val="both"/>
        <w:rPr>
          <w:b/>
          <w:b/>
        </w:rPr>
      </w:pPr>
      <w:r>
        <w:rPr>
          <w:b/>
        </w:rPr>
        <w:t>Tovary a služby:</w:t>
      </w:r>
    </w:p>
    <w:p>
      <w:pPr>
        <w:pStyle w:val="Normal"/>
        <w:jc w:val="both"/>
        <w:rPr/>
      </w:pPr>
      <w:r>
        <w:rPr/>
        <w:t>Z rozpočtovaných výdavkov 26 572,66 EUR bolo skutočne čerpané k 31.12.2024 v sume 26 577,076 EUR, čo je 100 % čerpanie. Ide o prevádzkové výdavky všetkých stredísk OcÚ, ako sú cestovné náhrady, energie, materiál, dopravné, rutinná a štandardná údržba, nájomné za nájom a ostatné tovary a služby.</w:t>
      </w:r>
    </w:p>
    <w:p>
      <w:pPr>
        <w:pStyle w:val="Normal"/>
        <w:tabs>
          <w:tab w:val="right" w:pos="284" w:leader="none"/>
        </w:tabs>
        <w:jc w:val="both"/>
        <w:rPr>
          <w:b/>
          <w:b/>
          <w:color w:val="FF0000"/>
          <w:highlight w:val="yellow"/>
        </w:rPr>
      </w:pPr>
      <w:r>
        <w:rPr>
          <w:b/>
          <w:color w:val="FF0000"/>
          <w:highlight w:val="yellow"/>
        </w:rPr>
      </w:r>
    </w:p>
    <w:p>
      <w:pPr>
        <w:pStyle w:val="Normal"/>
        <w:numPr>
          <w:ilvl w:val="0"/>
          <w:numId w:val="11"/>
        </w:numPr>
        <w:ind w:left="284" w:hanging="284"/>
        <w:jc w:val="both"/>
        <w:rPr>
          <w:b/>
          <w:b/>
          <w:color w:val="00000A"/>
        </w:rPr>
      </w:pPr>
      <w:r>
        <w:rPr>
          <w:b/>
        </w:rPr>
        <w:t xml:space="preserve">Bežné transfery </w:t>
      </w:r>
    </w:p>
    <w:p>
      <w:pPr>
        <w:pStyle w:val="Normal"/>
        <w:jc w:val="both"/>
        <w:rPr/>
      </w:pPr>
      <w:r>
        <w:rPr/>
        <w:t xml:space="preserve">Z rozpočtovaných výdavkov 148,00 EUR bolo skutočne čerpané k 31.12.2024 v sume 148,00 EUR, čo predstavuje 100 % čerpanie.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numPr>
          <w:ilvl w:val="0"/>
          <w:numId w:val="10"/>
        </w:numPr>
        <w:ind w:left="284" w:hanging="284"/>
        <w:rPr>
          <w:b/>
          <w:b/>
          <w:color w:val="FF0000"/>
        </w:rPr>
      </w:pPr>
      <w:r>
        <w:rPr>
          <w:b/>
          <w:color w:val="FF0000"/>
        </w:rPr>
        <w:t>Kapitálové výdavky:</w:t>
      </w:r>
    </w:p>
    <w:p>
      <w:pPr>
        <w:pStyle w:val="Normal"/>
        <w:rPr>
          <w:b/>
          <w:b/>
          <w:color w:val="FF0000"/>
        </w:rPr>
      </w:pPr>
      <w:r>
        <w:rPr>
          <w:b/>
          <w:color w:val="FF0000"/>
        </w:rPr>
      </w:r>
    </w:p>
    <w:tbl>
      <w:tblPr>
        <w:tblW w:w="9180" w:type="dxa"/>
        <w:jc w:val="left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085"/>
        <w:gridCol w:w="1479"/>
        <w:gridCol w:w="1833"/>
        <w:gridCol w:w="1709"/>
        <w:gridCol w:w="2074"/>
      </w:tblGrid>
      <w:tr>
        <w:trPr/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Funkčná klasifikácia</w:t>
            </w:r>
          </w:p>
        </w:tc>
        <w:tc>
          <w:tcPr>
            <w:tcW w:w="1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rozpočet </w:t>
            </w:r>
          </w:p>
        </w:tc>
        <w:tc>
          <w:tcPr>
            <w:tcW w:w="1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Schválený rozpočet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 poslednej zmene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čerpanie výdavkov</w:t>
            </w:r>
          </w:p>
        </w:tc>
        <w:tc>
          <w:tcPr>
            <w:tcW w:w="2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% čerpania výdavkov</w:t>
            </w:r>
          </w:p>
          <w:p>
            <w:pPr>
              <w:pStyle w:val="Normal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k rozpočtu po zmenách</w:t>
            </w:r>
          </w:p>
        </w:tc>
      </w:tr>
      <w:tr>
        <w:trPr/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710</w:t>
            </w:r>
          </w:p>
        </w:tc>
        <w:tc>
          <w:tcPr>
            <w:tcW w:w="1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1 000,00</w:t>
            </w:r>
          </w:p>
        </w:tc>
        <w:tc>
          <w:tcPr>
            <w:tcW w:w="18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  <w:t>0,00</w:t>
            </w:r>
          </w:p>
        </w:tc>
        <w:tc>
          <w:tcPr>
            <w:tcW w:w="20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b/>
          <w:b/>
          <w:color w:val="00000A"/>
        </w:rPr>
      </w:pPr>
      <w:r>
        <w:rPr>
          <w:b/>
          <w:color w:val="00000A"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tabs>
          <w:tab w:val="right" w:pos="5040" w:leader="none"/>
        </w:tabs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10. Prebytok/schodok rozpočtového hospodárenia za rok 2024</w:t>
      </w:r>
    </w:p>
    <w:p>
      <w:pPr>
        <w:pStyle w:val="Normal"/>
        <w:tabs>
          <w:tab w:val="right" w:pos="5040" w:leader="none"/>
        </w:tabs>
        <w:jc w:val="both"/>
        <w:rPr>
          <w:b/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</w:r>
    </w:p>
    <w:tbl>
      <w:tblPr>
        <w:tblW w:w="9866" w:type="dxa"/>
        <w:jc w:val="left"/>
        <w:tblInd w:w="80" w:type="dxa"/>
        <w:tblBorders>
          <w:top w:val="double" w:sz="6" w:space="0" w:color="00000A"/>
          <w:left w:val="double" w:sz="6" w:space="0" w:color="00000A"/>
          <w:right w:val="single" w:sz="8" w:space="0" w:color="000001"/>
          <w:insideV w:val="single" w:sz="8" w:space="0" w:color="000001"/>
        </w:tblBorders>
        <w:tblCellMar>
          <w:top w:w="0" w:type="dxa"/>
          <w:left w:w="-22" w:type="dxa"/>
          <w:bottom w:w="0" w:type="dxa"/>
          <w:right w:w="0" w:type="dxa"/>
        </w:tblCellMar>
        <w:tblLook w:val="04a0"/>
      </w:tblPr>
      <w:tblGrid>
        <w:gridCol w:w="5358"/>
        <w:gridCol w:w="4507"/>
      </w:tblGrid>
      <w:tr>
        <w:trPr>
          <w:trHeight w:val="300" w:hRule="atLeast"/>
        </w:trPr>
        <w:tc>
          <w:tcPr>
            <w:tcW w:w="5358" w:type="dxa"/>
            <w:tcBorders>
              <w:top w:val="double" w:sz="6" w:space="0" w:color="00000A"/>
              <w:left w:val="double" w:sz="6" w:space="0" w:color="00000A"/>
              <w:right w:val="single" w:sz="8" w:space="0" w:color="000001"/>
              <w:insideV w:val="single" w:sz="8" w:space="0" w:color="000001"/>
            </w:tcBorders>
            <w:shd w:color="auto" w:fill="D9D9D9" w:val="clear"/>
            <w:tcMar>
              <w:left w:w="-22" w:type="dxa"/>
            </w:tcMar>
            <w:vAlign w:val="center"/>
          </w:tcPr>
          <w:p>
            <w:pPr>
              <w:pStyle w:val="Normal"/>
              <w:jc w:val="center"/>
              <w:rPr>
                <w:rStyle w:val="Strong"/>
              </w:rPr>
            </w:pPr>
            <w:r>
              <w:rPr/>
            </w:r>
          </w:p>
          <w:p>
            <w:pPr>
              <w:pStyle w:val="Normal"/>
              <w:jc w:val="center"/>
              <w:rPr/>
            </w:pPr>
            <w:r>
              <w:rPr>
                <w:rStyle w:val="Strong"/>
              </w:rPr>
              <w:t xml:space="preserve">Hospodárenie obce </w:t>
            </w:r>
          </w:p>
        </w:tc>
        <w:tc>
          <w:tcPr>
            <w:tcW w:w="4507" w:type="dxa"/>
            <w:vMerge w:val="restart"/>
            <w:tcBorders>
              <w:top w:val="double" w:sz="6" w:space="0" w:color="00000A"/>
              <w:left w:val="single" w:sz="8" w:space="0" w:color="000001"/>
              <w:bottom w:val="single" w:sz="8" w:space="0" w:color="000001"/>
              <w:right w:val="double" w:sz="6" w:space="0" w:color="00000A"/>
              <w:insideH w:val="single" w:sz="8" w:space="0" w:color="000001"/>
              <w:insideV w:val="double" w:sz="6" w:space="0" w:color="00000A"/>
            </w:tcBorders>
            <w:shd w:color="auto" w:fill="D9D9D9" w:val="clear"/>
            <w:tcMar>
              <w:left w:w="-10" w:type="dxa"/>
            </w:tcMar>
            <w:vAlign w:val="center"/>
          </w:tcPr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</w:r>
          </w:p>
          <w:p>
            <w:pPr>
              <w:pStyle w:val="Normal"/>
              <w:tabs>
                <w:tab w:val="right" w:pos="8820" w:leader="none"/>
              </w:tabs>
              <w:jc w:val="center"/>
              <w:rPr>
                <w:b/>
                <w:b/>
              </w:rPr>
            </w:pPr>
            <w:r>
              <w:rPr>
                <w:b/>
              </w:rPr>
              <w:t>Skutočnosť k 31.12.2024 v EUR</w:t>
            </w:r>
          </w:p>
        </w:tc>
      </w:tr>
      <w:tr>
        <w:trPr>
          <w:trHeight w:val="300" w:hRule="exact"/>
        </w:trPr>
        <w:tc>
          <w:tcPr>
            <w:tcW w:w="5358" w:type="dxa"/>
            <w:tcBorders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9D9D9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4507" w:type="dxa"/>
            <w:vMerge w:val="continue"/>
            <w:tcBorders>
              <w:top w:val="double" w:sz="6" w:space="0" w:color="00000A"/>
              <w:left w:val="single" w:sz="8" w:space="0" w:color="000001"/>
              <w:bottom w:val="single" w:sz="8" w:space="0" w:color="000001"/>
              <w:right w:val="double" w:sz="6" w:space="0" w:color="00000A"/>
              <w:insideH w:val="single" w:sz="8" w:space="0" w:color="000001"/>
              <w:insideV w:val="double" w:sz="6" w:space="0" w:color="00000A"/>
            </w:tcBorders>
            <w:shd w:fill="auto" w:val="clear"/>
            <w:tcMar>
              <w:left w:w="-10" w:type="dxa"/>
            </w:tcMar>
            <w:vAlign w:val="center"/>
          </w:tcPr>
          <w:p>
            <w:pPr>
              <w:pStyle w:val="Normal"/>
              <w:rPr>
                <w:b/>
                <w:b/>
              </w:rPr>
            </w:pPr>
            <w:r>
              <w:rPr>
                <w:b/>
              </w:rPr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7" w:type="dxa"/>
            <w:tcBorders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57 797,95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7" w:type="dxa"/>
            <w:tcBorders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59 793,51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9D9D9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7" w:type="dxa"/>
            <w:tcBorders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D9D9D9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-1 995,56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7" w:type="dxa"/>
            <w:tcBorders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7" w:type="dxa"/>
            <w:tcBorders>
              <w:bottom w:val="single" w:sz="4" w:space="0" w:color="00000A"/>
              <w:right w:val="double" w:sz="6" w:space="0" w:color="00000A"/>
              <w:insideH w:val="single" w:sz="4" w:space="0" w:color="00000A"/>
              <w:insideV w:val="double" w:sz="6" w:space="0" w:color="00000A"/>
            </w:tcBorders>
            <w:shd w:color="auto"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3 000,00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9D9D9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b/>
                <w:b/>
                <w:i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7" w:type="dxa"/>
            <w:tcBorders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D9D9D9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+3 000,00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>Prebytok  bežného a kapitálového rozpočtu</w:t>
            </w:r>
          </w:p>
        </w:tc>
        <w:tc>
          <w:tcPr>
            <w:tcW w:w="4507" w:type="dxa"/>
            <w:tcBorders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DDD9C3" w:val="clear"/>
            <w:vAlign w:val="center"/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1 004,44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FFFFFF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rStyle w:val="Zdraznenie"/>
                <w:b/>
                <w:b/>
                <w:bCs/>
              </w:rPr>
            </w:pPr>
            <w:r>
              <w:rPr>
                <w:rStyle w:val="Zdraznenie"/>
                <w:b/>
                <w:sz w:val="20"/>
                <w:szCs w:val="20"/>
              </w:rPr>
              <w:t>Vylúčenie z prebytku /SF,357/</w:t>
            </w:r>
          </w:p>
        </w:tc>
        <w:tc>
          <w:tcPr>
            <w:tcW w:w="4507" w:type="dxa"/>
            <w:tcBorders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FFFFFF" w:val="clear"/>
            <w:vAlign w:val="center"/>
          </w:tcPr>
          <w:p>
            <w:pPr>
              <w:pStyle w:val="Normal"/>
              <w:jc w:val="right"/>
              <w:rPr/>
            </w:pPr>
            <w:r>
              <w:rPr/>
              <w:t>3 355,13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DD9C3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rStyle w:val="Zdraznenie"/>
                <w:b/>
                <w:b/>
              </w:rPr>
            </w:pPr>
            <w:r>
              <w:rPr>
                <w:rStyle w:val="Zdraznenie"/>
                <w:b/>
                <w:sz w:val="20"/>
                <w:szCs w:val="20"/>
              </w:rPr>
              <w:t xml:space="preserve">Upravený schodok </w:t>
            </w:r>
            <w:r>
              <w:rPr>
                <w:rStyle w:val="Zd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7" w:type="dxa"/>
            <w:tcBorders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DDD9C3" w:val="clear"/>
            <w:vAlign w:val="center"/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-2 350,69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4507" w:type="dxa"/>
            <w:tcBorders>
              <w:bottom w:val="single" w:sz="4" w:space="0" w:color="00000A"/>
              <w:right w:val="double" w:sz="6" w:space="0" w:color="00000A"/>
              <w:insideH w:val="single" w:sz="4" w:space="0" w:color="00000A"/>
              <w:insideV w:val="double" w:sz="6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</w:r>
          </w:p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fill="auto" w:val="clear"/>
            <w:tcMar>
              <w:left w:w="-22" w:type="dxa"/>
            </w:tcMar>
            <w:vAlign w:val="center"/>
          </w:tcPr>
          <w:p>
            <w:pPr>
              <w:pStyle w:val="Normal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4507" w:type="dxa"/>
            <w:tcBorders>
              <w:bottom w:val="single" w:sz="4" w:space="0" w:color="00000A"/>
              <w:right w:val="double" w:sz="6" w:space="0" w:color="00000A"/>
              <w:insideH w:val="single" w:sz="4" w:space="0" w:color="00000A"/>
              <w:insideV w:val="double" w:sz="6" w:space="0" w:color="00000A"/>
            </w:tcBorders>
            <w:shd w:fill="auto" w:val="clear"/>
            <w:vAlign w:val="center"/>
          </w:tcPr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</w:r>
          </w:p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</w:r>
          </w:p>
          <w:p>
            <w:pPr>
              <w:pStyle w:val="Normal"/>
              <w:jc w:val="right"/>
              <w:rPr>
                <w:i/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8" w:space="0" w:color="00000A"/>
              <w:left w:val="double" w:sz="6" w:space="0" w:color="00000A"/>
              <w:bottom w:val="single" w:sz="8" w:space="0" w:color="00000A"/>
              <w:right w:val="single" w:sz="8" w:space="0" w:color="000001"/>
              <w:insideH w:val="single" w:sz="8" w:space="0" w:color="00000A"/>
              <w:insideV w:val="single" w:sz="8" w:space="0" w:color="000001"/>
            </w:tcBorders>
            <w:shd w:color="auto" w:fill="D9D9D9" w:val="clear"/>
            <w:tcMar>
              <w:left w:w="-22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7" w:type="dxa"/>
            <w:tcBorders>
              <w:top w:val="single" w:sz="4" w:space="0" w:color="00000A"/>
              <w:bottom w:val="single" w:sz="8" w:space="0" w:color="00000A"/>
              <w:right w:val="double" w:sz="6" w:space="0" w:color="00000A"/>
              <w:insideH w:val="single" w:sz="8" w:space="0" w:color="00000A"/>
              <w:insideV w:val="double" w:sz="6" w:space="0" w:color="00000A"/>
            </w:tcBorders>
            <w:shd w:color="auto" w:fill="D9D9D9" w:val="clear"/>
            <w:vAlign w:val="center"/>
          </w:tcPr>
          <w:p>
            <w:pPr>
              <w:pStyle w:val="Normal"/>
              <w:jc w:val="right"/>
              <w:rPr>
                <w:b/>
                <w:b/>
              </w:rPr>
            </w:pPr>
            <w:r>
              <w:rPr>
                <w:b/>
              </w:rPr>
              <w:t>0,00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85" w:type="dxa"/>
              <w:right w:w="108" w:type="dxa"/>
            </w:tcMar>
          </w:tcPr>
          <w:p>
            <w:pPr>
              <w:pStyle w:val="Normal"/>
              <w:ind w:left="-85" w:hanging="0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  <w:insideH w:val="single" w:sz="6" w:space="0" w:color="000001"/>
              <w:insideV w:val="double" w:sz="6" w:space="0" w:color="000001"/>
            </w:tcBorders>
            <w:shd w:fill="auto" w:val="clear"/>
            <w:tcMar>
              <w:left w:w="100" w:type="dxa"/>
              <w:right w:w="108" w:type="dxa"/>
            </w:tcMar>
          </w:tcPr>
          <w:p>
            <w:pPr>
              <w:pStyle w:val="Normal"/>
              <w:ind w:right="-51" w:hanging="0"/>
              <w:jc w:val="right"/>
              <w:rPr/>
            </w:pPr>
            <w:r>
              <w:rPr/>
              <w:t>60 797,95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85" w:type="dxa"/>
              <w:right w:w="108" w:type="dxa"/>
            </w:tcMar>
          </w:tcPr>
          <w:p>
            <w:pPr>
              <w:pStyle w:val="Normal"/>
              <w:ind w:left="-85" w:hanging="0"/>
              <w:rPr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  <w:insideH w:val="single" w:sz="6" w:space="0" w:color="000001"/>
              <w:insideV w:val="double" w:sz="6" w:space="0" w:color="000001"/>
            </w:tcBorders>
            <w:shd w:fill="auto" w:val="clear"/>
            <w:tcMar>
              <w:left w:w="100" w:type="dxa"/>
              <w:right w:w="108" w:type="dxa"/>
            </w:tcMar>
          </w:tcPr>
          <w:p>
            <w:pPr>
              <w:pStyle w:val="Normal"/>
              <w:ind w:right="-51" w:hanging="0"/>
              <w:jc w:val="right"/>
              <w:rPr/>
            </w:pPr>
            <w:r>
              <w:rPr/>
              <w:t>59 793,51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auto" w:fill="DDD9C3" w:val="clear"/>
            <w:tcMar>
              <w:left w:w="85" w:type="dxa"/>
              <w:right w:w="108" w:type="dxa"/>
            </w:tcMar>
          </w:tcPr>
          <w:p>
            <w:pPr>
              <w:pStyle w:val="Normal"/>
              <w:ind w:left="-85" w:hanging="0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  <w:insideH w:val="single" w:sz="6" w:space="0" w:color="000001"/>
              <w:insideV w:val="double" w:sz="6" w:space="0" w:color="000001"/>
            </w:tcBorders>
            <w:shd w:color="auto" w:fill="DDD9C3" w:val="clear"/>
            <w:tcMar>
              <w:left w:w="100" w:type="dxa"/>
              <w:right w:w="108" w:type="dxa"/>
            </w:tcMar>
          </w:tcPr>
          <w:p>
            <w:pPr>
              <w:pStyle w:val="Normal"/>
              <w:ind w:right="-51" w:hanging="0"/>
              <w:jc w:val="right"/>
              <w:rPr>
                <w:b/>
                <w:b/>
              </w:rPr>
            </w:pPr>
            <w:r>
              <w:rPr>
                <w:b/>
              </w:rPr>
              <w:t>+1 004,44</w:t>
            </w:r>
          </w:p>
        </w:tc>
      </w:tr>
      <w:tr>
        <w:trPr>
          <w:trHeight w:val="300" w:hRule="atLeast"/>
        </w:trPr>
        <w:tc>
          <w:tcPr>
            <w:tcW w:w="5358" w:type="dxa"/>
            <w:tcBorders>
              <w:top w:val="single" w:sz="6" w:space="0" w:color="000001"/>
              <w:left w:val="doub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fill="auto" w:val="clear"/>
            <w:tcMar>
              <w:left w:w="85" w:type="dxa"/>
              <w:right w:w="108" w:type="dxa"/>
            </w:tcMar>
            <w:vAlign w:val="center"/>
          </w:tcPr>
          <w:p>
            <w:pPr>
              <w:pStyle w:val="Normal"/>
              <w:rPr>
                <w:rStyle w:val="Zdraznenie"/>
                <w:b/>
                <w:b/>
                <w:bCs/>
              </w:rPr>
            </w:pPr>
            <w:r>
              <w:rPr>
                <w:rStyle w:val="Zdraznenie"/>
                <w:b/>
                <w:sz w:val="20"/>
                <w:szCs w:val="20"/>
              </w:rPr>
              <w:t>Vylúčenie z prebytku</w:t>
            </w:r>
          </w:p>
        </w:tc>
        <w:tc>
          <w:tcPr>
            <w:tcW w:w="45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double" w:sz="6" w:space="0" w:color="000001"/>
              <w:insideH w:val="single" w:sz="6" w:space="0" w:color="000001"/>
              <w:insideV w:val="double" w:sz="6" w:space="0" w:color="000001"/>
            </w:tcBorders>
            <w:shd w:fill="auto" w:val="clear"/>
            <w:tcMar>
              <w:left w:w="100" w:type="dxa"/>
              <w:right w:w="108" w:type="dxa"/>
            </w:tcMar>
          </w:tcPr>
          <w:p>
            <w:pPr>
              <w:pStyle w:val="Normal"/>
              <w:ind w:right="-51" w:hanging="0"/>
              <w:jc w:val="right"/>
              <w:rPr/>
            </w:pPr>
            <w:r>
              <w:rPr/>
              <w:t>-3 355,13</w:t>
            </w:r>
          </w:p>
        </w:tc>
      </w:tr>
      <w:tr>
        <w:trPr>
          <w:trHeight w:val="285" w:hRule="atLeast"/>
        </w:trPr>
        <w:tc>
          <w:tcPr>
            <w:tcW w:w="5358" w:type="dxa"/>
            <w:tcBorders>
              <w:top w:val="single" w:sz="6" w:space="0" w:color="000001"/>
              <w:left w:val="double" w:sz="6" w:space="0" w:color="000001"/>
              <w:bottom w:val="double" w:sz="6" w:space="0" w:color="000001"/>
              <w:right w:val="single" w:sz="6" w:space="0" w:color="000001"/>
              <w:insideH w:val="double" w:sz="6" w:space="0" w:color="000001"/>
              <w:insideV w:val="single" w:sz="6" w:space="0" w:color="000001"/>
            </w:tcBorders>
            <w:shd w:color="auto" w:fill="D9D9D9" w:val="clear"/>
            <w:tcMar>
              <w:left w:w="85" w:type="dxa"/>
              <w:right w:w="108" w:type="dxa"/>
            </w:tcMar>
          </w:tcPr>
          <w:p>
            <w:pPr>
              <w:pStyle w:val="Normal"/>
              <w:ind w:left="-85" w:hanging="0"/>
              <w:rPr/>
            </w:pPr>
            <w:r>
              <w:rPr>
                <w:rStyle w:val="Zd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4507" w:type="dxa"/>
            <w:tcBorders>
              <w:top w:val="single" w:sz="6" w:space="0" w:color="000001"/>
              <w:left w:val="single" w:sz="6" w:space="0" w:color="000001"/>
              <w:bottom w:val="double" w:sz="6" w:space="0" w:color="000001"/>
              <w:right w:val="double" w:sz="6" w:space="0" w:color="000001"/>
              <w:insideH w:val="double" w:sz="6" w:space="0" w:color="000001"/>
              <w:insideV w:val="double" w:sz="6" w:space="0" w:color="000001"/>
            </w:tcBorders>
            <w:shd w:color="auto" w:fill="D9D9D9" w:val="clear"/>
            <w:tcMar>
              <w:left w:w="100" w:type="dxa"/>
              <w:right w:w="108" w:type="dxa"/>
            </w:tcMar>
          </w:tcPr>
          <w:p>
            <w:pPr>
              <w:pStyle w:val="Normal"/>
              <w:ind w:right="-51" w:hanging="0"/>
              <w:jc w:val="right"/>
              <w:rPr>
                <w:b/>
                <w:b/>
              </w:rPr>
            </w:pPr>
            <w:r>
              <w:rPr>
                <w:b/>
              </w:rPr>
              <w:t>-2 350,69</w:t>
            </w:r>
          </w:p>
        </w:tc>
      </w:tr>
    </w:tbl>
    <w:p>
      <w:pPr>
        <w:pStyle w:val="Normal"/>
        <w:ind w:left="540" w:hanging="0"/>
        <w:rPr>
          <w:rFonts w:ascii="Arial" w:hAnsi="Arial" w:cs="Arial"/>
          <w:color w:val="00000A"/>
          <w:sz w:val="22"/>
          <w:szCs w:val="22"/>
        </w:rPr>
      </w:pPr>
      <w:r>
        <w:rPr>
          <w:rFonts w:cs="Arial" w:ascii="Arial" w:hAnsi="Arial"/>
          <w:color w:val="00000A"/>
          <w:sz w:val="22"/>
          <w:szCs w:val="22"/>
        </w:rPr>
      </w:r>
    </w:p>
    <w:p>
      <w:pPr>
        <w:pStyle w:val="Normal"/>
        <w:rPr>
          <w:b/>
          <w:b/>
          <w:bCs/>
          <w:color w:val="FF0000"/>
        </w:rPr>
      </w:pPr>
      <w:r>
        <w:rPr>
          <w:b/>
          <w:bCs/>
          <w:color w:val="FF0000"/>
        </w:rPr>
      </w:r>
    </w:p>
    <w:p>
      <w:pPr>
        <w:pStyle w:val="Normal"/>
        <w:jc w:val="both"/>
        <w:rPr>
          <w:color w:val="00000A"/>
        </w:rPr>
      </w:pPr>
      <w:r>
        <w:rPr>
          <w:b/>
          <w:color w:val="FF0000"/>
        </w:rPr>
        <w:t>Prebytok rozpočtu</w:t>
      </w:r>
      <w:r>
        <w:rPr>
          <w:b/>
        </w:rPr>
        <w:t xml:space="preserve"> v sume  1 004,44 EUR</w:t>
      </w:r>
      <w:r>
        <w:rPr/>
        <w:t xml:space="preserve">  zistený podľa ustanovenia § 10 ods. 3 písm. a) a b) zákona č. 583/2004 Z.z. o rozpočtových pravidlách územnej samosprávy a o zmene a doplnení niektorých zákonov v znení neskorších predpisov sa upravuje o nevyčerpané účelovo určené prostriedky poskytnuté v predchádzajúcom rozpočtovom roku zo štátneho rozpočtu a na základe osobitných predpisov podľa § 16 ods.6 zákona č. 583/2004 Z.z. o rozpočtových pravidlách vo výške 3 355,13 EUR </w:t>
      </w:r>
      <w:r>
        <w:rPr>
          <w:b/>
          <w:color w:val="FF0000"/>
        </w:rPr>
        <w:t>a takto zistený schodok</w:t>
      </w:r>
      <w:r>
        <w:rPr/>
        <w:t xml:space="preserve"> v sume 2 350,69</w:t>
      </w:r>
      <w:r>
        <w:rPr>
          <w:iCs/>
        </w:rPr>
        <w:t xml:space="preserve"> </w:t>
      </w:r>
      <w:r>
        <w:rPr/>
        <w:t xml:space="preserve">EUR bol v rozpočtovom roku 2024 vysporiadaný </w:t>
      </w:r>
    </w:p>
    <w:p>
      <w:pPr>
        <w:pStyle w:val="Normal"/>
        <w:numPr>
          <w:ilvl w:val="0"/>
          <w:numId w:val="4"/>
        </w:numPr>
        <w:tabs>
          <w:tab w:val="right" w:pos="5580" w:leader="none"/>
        </w:tabs>
        <w:jc w:val="both"/>
        <w:rPr/>
      </w:pPr>
      <w:r>
        <w:rPr/>
        <w:t>z finančných operácií v sume  2 350,69 EUR.</w:t>
      </w:r>
    </w:p>
    <w:p>
      <w:pPr>
        <w:pStyle w:val="Normal"/>
        <w:tabs>
          <w:tab w:val="right" w:pos="5580" w:leader="none"/>
        </w:tabs>
        <w:jc w:val="both"/>
        <w:rPr>
          <w:b/>
          <w:b/>
        </w:rPr>
      </w:pPr>
      <w:r>
        <w:rPr>
          <w:b/>
        </w:rPr>
      </w:r>
    </w:p>
    <w:p>
      <w:pPr>
        <w:pStyle w:val="Normal"/>
        <w:tabs>
          <w:tab w:val="right" w:pos="5580" w:leader="none"/>
        </w:tabs>
        <w:jc w:val="both"/>
        <w:rPr/>
      </w:pPr>
      <w:r>
        <w:rPr/>
        <w:t xml:space="preserve">Na základe uvedených skutočností navrhujeme tvorbu rezervného fondu za rok 2024 </w:t>
      </w:r>
    </w:p>
    <w:p>
      <w:pPr>
        <w:pStyle w:val="Normal"/>
        <w:tabs>
          <w:tab w:val="right" w:pos="5580" w:leader="none"/>
        </w:tabs>
        <w:jc w:val="both"/>
        <w:rPr/>
      </w:pPr>
      <w:r>
        <w:rPr/>
        <w:t xml:space="preserve">vo výške 0,00 EUR. </w:t>
      </w:r>
    </w:p>
    <w:p>
      <w:pPr>
        <w:pStyle w:val="Normal"/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jc w:val="both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 xml:space="preserve">11.Bilancia aktív a pasív k 31.12.2024 </w:t>
      </w:r>
    </w:p>
    <w:p>
      <w:pPr>
        <w:pStyle w:val="Normal"/>
        <w:rPr>
          <w:b/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</w:r>
    </w:p>
    <w:p>
      <w:pPr>
        <w:pStyle w:val="Normal"/>
        <w:spacing w:lineRule="auto" w:line="360"/>
        <w:jc w:val="both"/>
        <w:rPr>
          <w:b/>
          <w:b/>
          <w:color w:val="00000A"/>
        </w:rPr>
      </w:pPr>
      <w:r>
        <w:rPr>
          <w:b/>
        </w:rPr>
        <w:t>A K T Í V A </w:t>
      </w:r>
    </w:p>
    <w:tbl>
      <w:tblPr>
        <w:tblW w:w="9990" w:type="dxa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755"/>
        <w:gridCol w:w="3117"/>
        <w:gridCol w:w="3118"/>
      </w:tblGrid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ZS  k  1.1.2024  v EUR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KZ  k  31.12.2024 v EUR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C4BC96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C4BC96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62 032,36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C4BC96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50 481,01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57 527,38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47 975,31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21 939,38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12 387,31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35 588,00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35 588,00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4 504,98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2 505,470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243,30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952,77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522,77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3 308,91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1 982,93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</w:tbl>
    <w:p>
      <w:pPr>
        <w:pStyle w:val="Normal"/>
        <w:spacing w:lineRule="auto" w:line="360"/>
        <w:jc w:val="both"/>
        <w:rPr>
          <w:b/>
          <w:b/>
        </w:rPr>
      </w:pPr>
      <w:r>
        <w:rPr>
          <w:b/>
        </w:rPr>
        <w:t xml:space="preserve">P A S Í V A </w:t>
      </w:r>
    </w:p>
    <w:tbl>
      <w:tblPr>
        <w:tblW w:w="9990" w:type="dxa"/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755"/>
        <w:gridCol w:w="3117"/>
        <w:gridCol w:w="3118"/>
      </w:tblGrid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ZS  k  1.1.2024 v EUR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70" w:type="dxa"/>
            </w:tcMar>
          </w:tcPr>
          <w:p>
            <w:pPr>
              <w:pStyle w:val="Normal"/>
              <w:jc w:val="center"/>
              <w:rPr>
                <w:b/>
                <w:b/>
              </w:rPr>
            </w:pPr>
            <w:r>
              <w:rPr>
                <w:b/>
              </w:rPr>
              <w:t>KZ  k  31.12.2024 v EUR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C4BC96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b/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C4BC96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62 032,36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C4BC96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50 481,01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18 293,72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6 678,57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18 293,72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6 678,57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b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4 037,86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4 101,66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2 756,70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402,18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598,43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3 635,68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746,53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0,00</w:t>
            </w:r>
          </w:p>
        </w:tc>
      </w:tr>
      <w:tr>
        <w:trPr/>
        <w:tc>
          <w:tcPr>
            <w:tcW w:w="37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1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39 700,78</w:t>
            </w:r>
          </w:p>
        </w:tc>
        <w:tc>
          <w:tcPr>
            <w:tcW w:w="3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0" w:type="dxa"/>
            </w:tcMar>
          </w:tcPr>
          <w:p>
            <w:pPr>
              <w:pStyle w:val="Normal"/>
              <w:jc w:val="right"/>
              <w:rPr/>
            </w:pPr>
            <w:r>
              <w:rPr/>
              <w:t>39 700,78</w:t>
            </w:r>
          </w:p>
        </w:tc>
      </w:tr>
    </w:tbl>
    <w:p>
      <w:pPr>
        <w:pStyle w:val="Normal"/>
        <w:rPr>
          <w:b/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12. Prehľad o stave a vývoji dlhu k 31.12.2024</w:t>
      </w:r>
    </w:p>
    <w:p>
      <w:pPr>
        <w:pStyle w:val="Normal"/>
        <w:ind w:left="360" w:hanging="0"/>
        <w:jc w:val="both"/>
        <w:rPr/>
      </w:pPr>
      <w:r>
        <w:rPr/>
      </w:r>
    </w:p>
    <w:tbl>
      <w:tblPr>
        <w:tblW w:w="9180" w:type="dxa"/>
        <w:jc w:val="left"/>
        <w:tblInd w:w="108" w:type="dxa"/>
        <w:tblBorders>
          <w:bottom w:val="single" w:sz="4" w:space="0" w:color="00000A"/>
          <w:insideH w:val="single" w:sz="4" w:space="0" w:color="00000A"/>
        </w:tblBorders>
        <w:tblCellMar>
          <w:top w:w="0" w:type="dxa"/>
          <w:left w:w="113" w:type="dxa"/>
          <w:bottom w:w="0" w:type="dxa"/>
          <w:right w:w="108" w:type="dxa"/>
        </w:tblCellMar>
        <w:tblLook w:val="01e0"/>
      </w:tblPr>
      <w:tblGrid>
        <w:gridCol w:w="3282"/>
        <w:gridCol w:w="2130"/>
        <w:gridCol w:w="1950"/>
        <w:gridCol w:w="1817"/>
      </w:tblGrid>
      <w:tr>
        <w:trPr/>
        <w:tc>
          <w:tcPr>
            <w:tcW w:w="3282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Normal"/>
              <w:ind w:left="-108" w:hanging="0"/>
              <w:jc w:val="both"/>
              <w:rPr>
                <w:b/>
                <w:b/>
                <w:sz w:val="20"/>
                <w:szCs w:val="20"/>
              </w:rPr>
            </w:pPr>
            <w:r>
              <w:rPr>
                <w:b/>
              </w:rPr>
              <w:t>Stav záväzkov k 31.12.2024</w:t>
            </w:r>
          </w:p>
        </w:tc>
        <w:tc>
          <w:tcPr>
            <w:tcW w:w="2130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950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817" w:type="dxa"/>
            <w:tcBorders>
              <w:bottom w:val="single" w:sz="4" w:space="0" w:color="00000A"/>
              <w:insideH w:val="single" w:sz="4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2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záväzku</w:t>
            </w:r>
          </w:p>
        </w:tc>
        <w:tc>
          <w:tcPr>
            <w:tcW w:w="2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celkom k 31.12.2024 v EUR</w:t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 v lehote splatnosti </w:t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  <w:p>
            <w:pPr>
              <w:pStyle w:val="Normal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 lehote splatnosti</w:t>
            </w:r>
          </w:p>
        </w:tc>
      </w:tr>
      <w:tr>
        <w:trPr/>
        <w:tc>
          <w:tcPr>
            <w:tcW w:w="32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2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2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746,53</w:t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746,53</w:t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2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2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2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719,61</w:t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719,61</w:t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2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2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26,92</w:t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26,92</w:t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2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štátnemu rozpočtu</w:t>
            </w:r>
          </w:p>
        </w:tc>
        <w:tc>
          <w:tcPr>
            <w:tcW w:w="2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2 756,70</w:t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2 756,70</w:t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2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bankám</w:t>
            </w:r>
          </w:p>
        </w:tc>
        <w:tc>
          <w:tcPr>
            <w:tcW w:w="2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2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sociálnym fondom</w:t>
            </w:r>
          </w:p>
        </w:tc>
        <w:tc>
          <w:tcPr>
            <w:tcW w:w="2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598,43</w:t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598,43</w:t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2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numPr>
                <w:ilvl w:val="0"/>
                <w:numId w:val="12"/>
              </w:numPr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2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</w:r>
          </w:p>
        </w:tc>
      </w:tr>
      <w:tr>
        <w:trPr/>
        <w:tc>
          <w:tcPr>
            <w:tcW w:w="32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 k 31.12.2024</w:t>
            </w:r>
          </w:p>
        </w:tc>
        <w:tc>
          <w:tcPr>
            <w:tcW w:w="21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4 101,66</w:t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4 101,66</w:t>
            </w:r>
          </w:p>
        </w:tc>
        <w:tc>
          <w:tcPr>
            <w:tcW w:w="18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D9D9D9" w:val="clear"/>
            <w:tcMar>
              <w:left w:w="108" w:type="dxa"/>
            </w:tcMar>
          </w:tcPr>
          <w:p>
            <w:pPr>
              <w:pStyle w:val="Normal"/>
              <w:jc w:val="right"/>
              <w:rPr>
                <w:b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</w:tbl>
    <w:p>
      <w:pPr>
        <w:pStyle w:val="Normal"/>
        <w:jc w:val="both"/>
        <w:rPr>
          <w:color w:val="0000FF"/>
        </w:rPr>
      </w:pPr>
      <w:r>
        <w:rPr>
          <w:color w:val="0000FF"/>
        </w:rPr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color w:val="FF0000"/>
        </w:rPr>
        <w:t xml:space="preserve">Stav úverov a návratných finančných výpomocí (NFV) k 31.12.2024 </w:t>
      </w:r>
    </w:p>
    <w:p>
      <w:pPr>
        <w:pStyle w:val="Normal"/>
        <w:jc w:val="both"/>
        <w:rPr/>
      </w:pPr>
      <w:r>
        <w:rPr/>
        <w:t>Obec nemá úver.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>
          <w:b/>
          <w:sz w:val="28"/>
          <w:szCs w:val="28"/>
          <w:highlight w:val="lightGray"/>
        </w:rPr>
        <w:t>13. Údaje o hospodárení príspevkových organizácií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color w:val="FF0000"/>
        </w:rPr>
        <w:t xml:space="preserve">Obec nie je zriaďovateľom príspevkových organizácií. 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/>
          <w:sz w:val="28"/>
          <w:szCs w:val="28"/>
          <w:highlight w:val="lightGray"/>
        </w:rPr>
        <w:t>14. Prehľad o poskytnutých dotáciách  právnickým osobám a fyzickým osobám - podnikateľom podľa § 7 ods. 4 zákona č.583/2004 Z.z.</w:t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 xml:space="preserve">Obec v roku 2024 neposkytla dotácie. </w:t>
      </w:r>
    </w:p>
    <w:p>
      <w:pPr>
        <w:pStyle w:val="Normal"/>
        <w:tabs>
          <w:tab w:val="left" w:pos="2880" w:leader="none"/>
          <w:tab w:val="right" w:pos="8820" w:leader="none"/>
        </w:tabs>
        <w:jc w:val="both"/>
        <w:rPr>
          <w:color w:val="FF0000"/>
        </w:rPr>
      </w:pPr>
      <w:r>
        <w:rPr>
          <w:color w:val="FF0000"/>
        </w:rPr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rPr/>
      </w:pPr>
      <w:r>
        <w:rPr>
          <w:b/>
          <w:sz w:val="28"/>
          <w:szCs w:val="28"/>
          <w:highlight w:val="lightGray"/>
        </w:rPr>
        <w:t>15. Údaje o nákladoch a výnosoch podnikateľskej činnosti</w:t>
      </w:r>
    </w:p>
    <w:p>
      <w:pPr>
        <w:pStyle w:val="Normal"/>
        <w:rPr>
          <w:b/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</w:r>
    </w:p>
    <w:p>
      <w:pPr>
        <w:pStyle w:val="Normal"/>
        <w:jc w:val="both"/>
        <w:rPr/>
      </w:pPr>
      <w:r>
        <w:rPr/>
        <w:t>Obec nepodniká na základe živnostenského oprávnenia.</w:t>
      </w:r>
    </w:p>
    <w:p>
      <w:pPr>
        <w:pStyle w:val="Normal"/>
        <w:tabs>
          <w:tab w:val="right" w:pos="6663" w:leader="none"/>
        </w:tabs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>
          <w:b/>
        </w:rPr>
        <w:t xml:space="preserve">16. Poskytnuté dotácie </w:t>
      </w:r>
    </w:p>
    <w:p>
      <w:pPr>
        <w:pStyle w:val="Normal"/>
        <w:spacing w:lineRule="auto" w:line="360"/>
        <w:jc w:val="both"/>
        <w:rPr/>
      </w:pPr>
      <w:r>
        <w:rPr/>
        <w:t xml:space="preserve">V roku 2024 obec neposkytla zo svojho rozpočtu dotácie. 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>
          <w:b/>
        </w:rPr>
        <w:t>17. Významné investičné akcie v roku 2024</w:t>
      </w:r>
    </w:p>
    <w:p>
      <w:pPr>
        <w:pStyle w:val="Normal"/>
        <w:tabs>
          <w:tab w:val="left" w:pos="2880" w:leader="none"/>
          <w:tab w:val="right" w:pos="8820" w:leader="none"/>
        </w:tabs>
        <w:spacing w:lineRule="auto" w:line="360"/>
        <w:jc w:val="both"/>
        <w:rPr/>
      </w:pPr>
      <w:r>
        <w:rPr/>
        <w:t>Najvýznamnejšie investičné akcie realizované v roku 2024:</w:t>
      </w:r>
    </w:p>
    <w:p>
      <w:pPr>
        <w:pStyle w:val="Normal"/>
        <w:spacing w:lineRule="auto" w:line="360"/>
        <w:jc w:val="both"/>
        <w:rPr/>
      </w:pPr>
      <w:r>
        <w:rPr/>
        <w:t>Väčšiu investičnú akciu obec v tomto roku nemal.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>
          <w:b/>
        </w:rPr>
        <w:t xml:space="preserve">18. Predpokladaný budúci vývoj činnosti </w:t>
      </w:r>
    </w:p>
    <w:p>
      <w:pPr>
        <w:pStyle w:val="Normal"/>
        <w:spacing w:lineRule="auto" w:line="360"/>
        <w:jc w:val="both"/>
        <w:rPr/>
      </w:pPr>
      <w:r>
        <w:rPr/>
        <w:t>Predpokladané investičné akcie realizované v budúcich rokoch: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>
          <w:b/>
        </w:rPr>
        <w:t xml:space="preserve">19. Udalosti osobitného významu po skončení účtovného obdobia </w:t>
      </w:r>
    </w:p>
    <w:p>
      <w:pPr>
        <w:pStyle w:val="Normal"/>
        <w:spacing w:lineRule="auto" w:line="360"/>
        <w:jc w:val="both"/>
        <w:rPr/>
      </w:pPr>
      <w:r>
        <w:rPr/>
        <w:t xml:space="preserve">Obec nezaznamenala žiadnu udalosť osobitného významu po skončení účtovného obdobia, za ktoré sa vyhotovuje výročná správa. 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ind w:left="720" w:hanging="0"/>
        <w:jc w:val="both"/>
        <w:rPr/>
      </w:pPr>
      <w:r>
        <w:rPr>
          <w:b/>
        </w:rPr>
        <w:t xml:space="preserve">20. Významné riziká a neistoty, ktorým je účtovná jednotka vystavená  </w:t>
      </w:r>
    </w:p>
    <w:p>
      <w:pPr>
        <w:pStyle w:val="Normal"/>
        <w:spacing w:lineRule="auto" w:line="360"/>
        <w:jc w:val="both"/>
        <w:rPr/>
      </w:pPr>
      <w:r>
        <w:rPr/>
        <w:t>Obec nevedie žiadny súdny spor.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>Vypracovala: Margita Kisfaludiová                                Schválil: Alexandra Farkašová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  <w:t>V Dubne dňa 05.06.2025</w:t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rmal"/>
        <w:spacing w:lineRule="auto" w:line="360"/>
        <w:jc w:val="both"/>
        <w:rPr/>
      </w:pPr>
      <w:r>
        <w:rPr/>
      </w:r>
    </w:p>
    <w:p>
      <w:pPr>
        <w:pStyle w:val="NoSpacing"/>
        <w:rPr>
          <w:rFonts w:ascii="Times New Roman" w:hAnsi="Times New Roman"/>
          <w:b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>
      <w:pPr>
        <w:pStyle w:val="NoSpacing"/>
        <w:jc w:val="center"/>
        <w:rPr>
          <w:rFonts w:ascii="Times New Roman" w:hAnsi="Times New Roman"/>
          <w:b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</w:r>
    </w:p>
    <w:p>
      <w:pPr>
        <w:pStyle w:val="NoSpacing"/>
        <w:numPr>
          <w:ilvl w:val="0"/>
          <w:numId w:val="1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, </w:t>
      </w:r>
      <w:r>
        <w:rPr>
          <w:rFonts w:ascii="Times New Roman" w:hAnsi="Times New Roman"/>
          <w:sz w:val="24"/>
          <w:szCs w:val="24"/>
          <w:lang w:val="sk-SK"/>
        </w:rPr>
        <w:t>Poznámky</w:t>
      </w:r>
    </w:p>
    <w:p>
      <w:pPr>
        <w:pStyle w:val="NoSpacing"/>
        <w:numPr>
          <w:ilvl w:val="0"/>
          <w:numId w:val="1"/>
        </w:numPr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color w:val="00000A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sz w:val="28"/>
        <w:b/>
        <w:color w:val="00000A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b/>
        <w:color w:val="00000A"/>
      </w:r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4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5"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6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8">
    <w:lvl w:ilvl="0">
      <w:start w:val="1"/>
      <w:numFmt w:val="bullet"/>
      <w:lvlText w:val="-"/>
      <w:lvlJc w:val="left"/>
      <w:pPr>
        <w:ind w:left="795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9"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0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1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2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0"/>
        <w:rFonts w:cs="Times New Roman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Calibri" w:cs="Times New Roman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uiPriority="0" w:semiHidden="0" w:unhideWhenUsed="0" w:qFormat="1"/>
    <w:lsdException w:name="Default Paragraph Font" w:uiPriority="1"/>
    <w:lsdException w:name="Subtitle" w:uiPriority="0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0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14c6"/>
    <w:pPr>
      <w:widowControl/>
      <w:bidi w:val="0"/>
      <w:jc w:val="left"/>
    </w:pPr>
    <w:rPr>
      <w:rFonts w:eastAsia="Times New Roman" w:ascii="Times New Roman" w:hAnsi="Times New Roman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Kiemels2" w:customStyle="1">
    <w:name w:val="Kiemelés 2"/>
    <w:uiPriority w:val="22"/>
    <w:qFormat/>
    <w:rsid w:val="00c214c6"/>
    <w:rPr>
      <w:b/>
      <w:bCs/>
    </w:rPr>
  </w:style>
  <w:style w:type="character" w:styleId="Zdraznenie">
    <w:name w:val="Zdôraznenie"/>
    <w:basedOn w:val="DefaultParagraphFont"/>
    <w:uiPriority w:val="20"/>
    <w:qFormat/>
    <w:rsid w:val="00e14f07"/>
    <w:rPr>
      <w:i/>
      <w:iCs/>
    </w:rPr>
  </w:style>
  <w:style w:type="character" w:styleId="BuborkszvegChar" w:customStyle="1">
    <w:name w:val="Buborékszöveg Char"/>
    <w:basedOn w:val="DefaultParagraphFont"/>
    <w:link w:val="Buborkszveg"/>
    <w:uiPriority w:val="99"/>
    <w:semiHidden/>
    <w:qFormat/>
    <w:rsid w:val="00c214c6"/>
    <w:rPr>
      <w:rFonts w:ascii="Tahoma" w:hAnsi="Tahoma" w:eastAsia="Times New Roman" w:cs="Tahoma"/>
      <w:sz w:val="16"/>
      <w:szCs w:val="16"/>
    </w:rPr>
  </w:style>
  <w:style w:type="character" w:styleId="ListLabel1" w:customStyle="1">
    <w:name w:val="ListLabel 1"/>
    <w:qFormat/>
    <w:rsid w:val="0027273b"/>
    <w:rPr>
      <w:rFonts w:eastAsia="Times New Roman" w:cs="Times New Roman"/>
      <w:b/>
    </w:rPr>
  </w:style>
  <w:style w:type="character" w:styleId="ListLabel2" w:customStyle="1">
    <w:name w:val="ListLabel 2"/>
    <w:qFormat/>
    <w:rsid w:val="0027273b"/>
    <w:rPr>
      <w:rFonts w:cs="Courier New"/>
    </w:rPr>
  </w:style>
  <w:style w:type="character" w:styleId="ListLabel3" w:customStyle="1">
    <w:name w:val="ListLabel 3"/>
    <w:qFormat/>
    <w:rsid w:val="0027273b"/>
    <w:rPr>
      <w:rFonts w:cs="Courier New"/>
    </w:rPr>
  </w:style>
  <w:style w:type="character" w:styleId="ListLabel4" w:customStyle="1">
    <w:name w:val="ListLabel 4"/>
    <w:qFormat/>
    <w:rsid w:val="0027273b"/>
    <w:rPr>
      <w:rFonts w:cs="Courier New"/>
    </w:rPr>
  </w:style>
  <w:style w:type="character" w:styleId="ListLabel5" w:customStyle="1">
    <w:name w:val="ListLabel 5"/>
    <w:qFormat/>
    <w:rsid w:val="0027273b"/>
    <w:rPr>
      <w:rFonts w:cs="Courier New"/>
    </w:rPr>
  </w:style>
  <w:style w:type="character" w:styleId="ListLabel6" w:customStyle="1">
    <w:name w:val="ListLabel 6"/>
    <w:qFormat/>
    <w:rsid w:val="0027273b"/>
    <w:rPr>
      <w:rFonts w:cs="Courier New"/>
    </w:rPr>
  </w:style>
  <w:style w:type="character" w:styleId="ListLabel7" w:customStyle="1">
    <w:name w:val="ListLabel 7"/>
    <w:qFormat/>
    <w:rsid w:val="0027273b"/>
    <w:rPr>
      <w:rFonts w:cs="Courier New"/>
    </w:rPr>
  </w:style>
  <w:style w:type="character" w:styleId="ListLabel8" w:customStyle="1">
    <w:name w:val="ListLabel 8"/>
    <w:qFormat/>
    <w:rsid w:val="0027273b"/>
    <w:rPr>
      <w:color w:val="00000A"/>
    </w:rPr>
  </w:style>
  <w:style w:type="character" w:styleId="ListLabel9" w:customStyle="1">
    <w:name w:val="ListLabel 9"/>
    <w:qFormat/>
    <w:rsid w:val="0027273b"/>
    <w:rPr>
      <w:b/>
      <w:color w:val="00000A"/>
      <w:sz w:val="28"/>
    </w:rPr>
  </w:style>
  <w:style w:type="character" w:styleId="ListLabel10" w:customStyle="1">
    <w:name w:val="ListLabel 10"/>
    <w:qFormat/>
    <w:rsid w:val="0027273b"/>
    <w:rPr>
      <w:b/>
      <w:color w:val="00000A"/>
    </w:rPr>
  </w:style>
  <w:style w:type="character" w:styleId="ListLabel11" w:customStyle="1">
    <w:name w:val="ListLabel 11"/>
    <w:qFormat/>
    <w:rsid w:val="0027273b"/>
    <w:rPr>
      <w:rFonts w:cs="Times New Roman"/>
      <w:b/>
    </w:rPr>
  </w:style>
  <w:style w:type="character" w:styleId="ListLabel12" w:customStyle="1">
    <w:name w:val="ListLabel 12"/>
    <w:qFormat/>
    <w:rsid w:val="0027273b"/>
    <w:rPr>
      <w:rFonts w:cs="Courier New"/>
    </w:rPr>
  </w:style>
  <w:style w:type="character" w:styleId="ListLabel13" w:customStyle="1">
    <w:name w:val="ListLabel 13"/>
    <w:qFormat/>
    <w:rsid w:val="0027273b"/>
    <w:rPr>
      <w:rFonts w:cs="Wingdings"/>
    </w:rPr>
  </w:style>
  <w:style w:type="character" w:styleId="ListLabel14" w:customStyle="1">
    <w:name w:val="ListLabel 14"/>
    <w:qFormat/>
    <w:rsid w:val="0027273b"/>
    <w:rPr>
      <w:rFonts w:cs="Symbol"/>
    </w:rPr>
  </w:style>
  <w:style w:type="character" w:styleId="ListLabel15" w:customStyle="1">
    <w:name w:val="ListLabel 15"/>
    <w:qFormat/>
    <w:rsid w:val="0027273b"/>
    <w:rPr>
      <w:rFonts w:cs="Courier New"/>
    </w:rPr>
  </w:style>
  <w:style w:type="character" w:styleId="ListLabel16" w:customStyle="1">
    <w:name w:val="ListLabel 16"/>
    <w:qFormat/>
    <w:rsid w:val="0027273b"/>
    <w:rPr>
      <w:rFonts w:cs="Wingdings"/>
    </w:rPr>
  </w:style>
  <w:style w:type="character" w:styleId="ListLabel17" w:customStyle="1">
    <w:name w:val="ListLabel 17"/>
    <w:qFormat/>
    <w:rsid w:val="0027273b"/>
    <w:rPr>
      <w:rFonts w:cs="Symbol"/>
    </w:rPr>
  </w:style>
  <w:style w:type="character" w:styleId="ListLabel18" w:customStyle="1">
    <w:name w:val="ListLabel 18"/>
    <w:qFormat/>
    <w:rsid w:val="0027273b"/>
    <w:rPr>
      <w:rFonts w:cs="Courier New"/>
    </w:rPr>
  </w:style>
  <w:style w:type="character" w:styleId="ListLabel19" w:customStyle="1">
    <w:name w:val="ListLabel 19"/>
    <w:qFormat/>
    <w:rsid w:val="0027273b"/>
    <w:rPr>
      <w:rFonts w:cs="Wingdings"/>
    </w:rPr>
  </w:style>
  <w:style w:type="character" w:styleId="ListLabel20" w:customStyle="1">
    <w:name w:val="ListLabel 20"/>
    <w:qFormat/>
    <w:rsid w:val="0027273b"/>
    <w:rPr>
      <w:rFonts w:ascii="Times New Roman" w:hAnsi="Times New Roman" w:cs="Symbol"/>
      <w:sz w:val="24"/>
    </w:rPr>
  </w:style>
  <w:style w:type="character" w:styleId="ListLabel21" w:customStyle="1">
    <w:name w:val="ListLabel 21"/>
    <w:qFormat/>
    <w:rsid w:val="0027273b"/>
    <w:rPr>
      <w:rFonts w:cs="Courier New"/>
    </w:rPr>
  </w:style>
  <w:style w:type="character" w:styleId="ListLabel22" w:customStyle="1">
    <w:name w:val="ListLabel 22"/>
    <w:qFormat/>
    <w:rsid w:val="0027273b"/>
    <w:rPr>
      <w:rFonts w:cs="Wingdings"/>
    </w:rPr>
  </w:style>
  <w:style w:type="character" w:styleId="ListLabel23" w:customStyle="1">
    <w:name w:val="ListLabel 23"/>
    <w:qFormat/>
    <w:rsid w:val="0027273b"/>
    <w:rPr>
      <w:rFonts w:cs="Symbol"/>
    </w:rPr>
  </w:style>
  <w:style w:type="character" w:styleId="ListLabel24" w:customStyle="1">
    <w:name w:val="ListLabel 24"/>
    <w:qFormat/>
    <w:rsid w:val="0027273b"/>
    <w:rPr>
      <w:rFonts w:cs="Courier New"/>
    </w:rPr>
  </w:style>
  <w:style w:type="character" w:styleId="ListLabel25" w:customStyle="1">
    <w:name w:val="ListLabel 25"/>
    <w:qFormat/>
    <w:rsid w:val="0027273b"/>
    <w:rPr>
      <w:rFonts w:cs="Wingdings"/>
    </w:rPr>
  </w:style>
  <w:style w:type="character" w:styleId="ListLabel26" w:customStyle="1">
    <w:name w:val="ListLabel 26"/>
    <w:qFormat/>
    <w:rsid w:val="0027273b"/>
    <w:rPr>
      <w:rFonts w:cs="Symbol"/>
    </w:rPr>
  </w:style>
  <w:style w:type="character" w:styleId="ListLabel27" w:customStyle="1">
    <w:name w:val="ListLabel 27"/>
    <w:qFormat/>
    <w:rsid w:val="0027273b"/>
    <w:rPr>
      <w:rFonts w:cs="Courier New"/>
    </w:rPr>
  </w:style>
  <w:style w:type="character" w:styleId="ListLabel28" w:customStyle="1">
    <w:name w:val="ListLabel 28"/>
    <w:qFormat/>
    <w:rsid w:val="0027273b"/>
    <w:rPr>
      <w:rFonts w:cs="Wingdings"/>
    </w:rPr>
  </w:style>
  <w:style w:type="character" w:styleId="ListLabel29" w:customStyle="1">
    <w:name w:val="ListLabel 29"/>
    <w:qFormat/>
    <w:rsid w:val="0027273b"/>
    <w:rPr>
      <w:color w:val="00000A"/>
    </w:rPr>
  </w:style>
  <w:style w:type="character" w:styleId="ListLabel30" w:customStyle="1">
    <w:name w:val="ListLabel 30"/>
    <w:qFormat/>
    <w:rsid w:val="0027273b"/>
    <w:rPr>
      <w:b/>
      <w:color w:val="00000A"/>
      <w:sz w:val="28"/>
    </w:rPr>
  </w:style>
  <w:style w:type="character" w:styleId="ListLabel31" w:customStyle="1">
    <w:name w:val="ListLabel 31"/>
    <w:qFormat/>
    <w:rsid w:val="0027273b"/>
    <w:rPr>
      <w:b/>
      <w:color w:val="00000A"/>
    </w:rPr>
  </w:style>
  <w:style w:type="character" w:styleId="Strong">
    <w:name w:val="Strong"/>
    <w:uiPriority w:val="22"/>
    <w:qFormat/>
    <w:rsid w:val="0027273b"/>
    <w:rPr>
      <w:b/>
      <w:bCs/>
    </w:rPr>
  </w:style>
  <w:style w:type="character" w:styleId="ListLabel47" w:customStyle="1">
    <w:name w:val="ListLabel 47"/>
    <w:qFormat/>
    <w:rsid w:val="0027273b"/>
    <w:rPr>
      <w:rFonts w:eastAsia="Times New Roman" w:cs="Times New Roman"/>
    </w:rPr>
  </w:style>
  <w:style w:type="character" w:styleId="ListLabel48">
    <w:name w:val="ListLabel 48"/>
    <w:qFormat/>
    <w:rPr>
      <w:rFonts w:cs="Times New Roman"/>
      <w:b/>
    </w:rPr>
  </w:style>
  <w:style w:type="character" w:styleId="ListLabel49">
    <w:name w:val="ListLabel 49"/>
    <w:qFormat/>
    <w:rPr>
      <w:rFonts w:cs="Courier New"/>
    </w:rPr>
  </w:style>
  <w:style w:type="character" w:styleId="ListLabel50">
    <w:name w:val="ListLabel 50"/>
    <w:qFormat/>
    <w:rPr>
      <w:rFonts w:cs="Wingdings"/>
    </w:rPr>
  </w:style>
  <w:style w:type="character" w:styleId="ListLabel51">
    <w:name w:val="ListLabel 51"/>
    <w:qFormat/>
    <w:rPr>
      <w:rFonts w:cs="Symbol"/>
    </w:rPr>
  </w:style>
  <w:style w:type="character" w:styleId="ListLabel52">
    <w:name w:val="ListLabel 52"/>
    <w:qFormat/>
    <w:rPr>
      <w:rFonts w:cs="Courier New"/>
    </w:rPr>
  </w:style>
  <w:style w:type="character" w:styleId="ListLabel53">
    <w:name w:val="ListLabel 53"/>
    <w:qFormat/>
    <w:rPr>
      <w:rFonts w:cs="Wingdings"/>
    </w:rPr>
  </w:style>
  <w:style w:type="character" w:styleId="ListLabel54">
    <w:name w:val="ListLabel 54"/>
    <w:qFormat/>
    <w:rPr>
      <w:rFonts w:cs="Symbol"/>
    </w:rPr>
  </w:style>
  <w:style w:type="character" w:styleId="ListLabel55">
    <w:name w:val="ListLabel 55"/>
    <w:qFormat/>
    <w:rPr>
      <w:rFonts w:cs="Courier New"/>
    </w:rPr>
  </w:style>
  <w:style w:type="character" w:styleId="ListLabel56">
    <w:name w:val="ListLabel 56"/>
    <w:qFormat/>
    <w:rPr>
      <w:rFonts w:cs="Wingdings"/>
    </w:rPr>
  </w:style>
  <w:style w:type="character" w:styleId="ListLabel57">
    <w:name w:val="ListLabel 57"/>
    <w:qFormat/>
    <w:rPr>
      <w:rFonts w:ascii="Times New Roman" w:hAnsi="Times New Roman" w:cs="Symbol"/>
      <w:sz w:val="24"/>
    </w:rPr>
  </w:style>
  <w:style w:type="character" w:styleId="ListLabel58">
    <w:name w:val="ListLabel 58"/>
    <w:qFormat/>
    <w:rPr>
      <w:rFonts w:cs="Courier New"/>
    </w:rPr>
  </w:style>
  <w:style w:type="character" w:styleId="ListLabel59">
    <w:name w:val="ListLabel 59"/>
    <w:qFormat/>
    <w:rPr>
      <w:rFonts w:cs="Wingdings"/>
    </w:rPr>
  </w:style>
  <w:style w:type="character" w:styleId="ListLabel60">
    <w:name w:val="ListLabel 60"/>
    <w:qFormat/>
    <w:rPr>
      <w:rFonts w:cs="Symbol"/>
    </w:rPr>
  </w:style>
  <w:style w:type="character" w:styleId="ListLabel61">
    <w:name w:val="ListLabel 61"/>
    <w:qFormat/>
    <w:rPr>
      <w:rFonts w:cs="Courier New"/>
    </w:rPr>
  </w:style>
  <w:style w:type="character" w:styleId="ListLabel62">
    <w:name w:val="ListLabel 62"/>
    <w:qFormat/>
    <w:rPr>
      <w:rFonts w:cs="Wingdings"/>
    </w:rPr>
  </w:style>
  <w:style w:type="character" w:styleId="ListLabel63">
    <w:name w:val="ListLabel 63"/>
    <w:qFormat/>
    <w:rPr>
      <w:rFonts w:cs="Symbol"/>
    </w:rPr>
  </w:style>
  <w:style w:type="character" w:styleId="ListLabel64">
    <w:name w:val="ListLabel 64"/>
    <w:qFormat/>
    <w:rPr>
      <w:rFonts w:cs="Courier New"/>
    </w:rPr>
  </w:style>
  <w:style w:type="character" w:styleId="ListLabel65">
    <w:name w:val="ListLabel 65"/>
    <w:qFormat/>
    <w:rPr>
      <w:rFonts w:cs="Wingdings"/>
    </w:rPr>
  </w:style>
  <w:style w:type="character" w:styleId="ListLabel66">
    <w:name w:val="ListLabel 66"/>
    <w:qFormat/>
    <w:rPr>
      <w:color w:val="00000A"/>
    </w:rPr>
  </w:style>
  <w:style w:type="character" w:styleId="ListLabel67">
    <w:name w:val="ListLabel 67"/>
    <w:qFormat/>
    <w:rPr>
      <w:b/>
      <w:color w:val="00000A"/>
      <w:sz w:val="28"/>
    </w:rPr>
  </w:style>
  <w:style w:type="character" w:styleId="ListLabel68">
    <w:name w:val="ListLabel 68"/>
    <w:qFormat/>
    <w:rPr>
      <w:b/>
      <w:color w:val="00000A"/>
    </w:rPr>
  </w:style>
  <w:style w:type="character" w:styleId="ListLabel69">
    <w:name w:val="ListLabel 69"/>
    <w:qFormat/>
    <w:rPr>
      <w:rFonts w:eastAsia="Times New Roman" w:cs="Times New Roman"/>
    </w:rPr>
  </w:style>
  <w:style w:type="character" w:styleId="ListLabel70">
    <w:name w:val="ListLabel 70"/>
    <w:qFormat/>
    <w:rPr>
      <w:rFonts w:eastAsia="Times New Roman" w:cs="Times New Roman"/>
    </w:rPr>
  </w:style>
  <w:style w:type="character" w:styleId="ListLabel71">
    <w:name w:val="ListLabel 71"/>
    <w:qFormat/>
    <w:rPr>
      <w:rFonts w:eastAsia="Times New Roman" w:cs="Times New Roman"/>
    </w:rPr>
  </w:style>
  <w:style w:type="character" w:styleId="ListLabel72">
    <w:name w:val="ListLabel 72"/>
    <w:qFormat/>
    <w:rPr>
      <w:rFonts w:eastAsia="Times New Roman" w:cs="Times New Roman"/>
      <w:sz w:val="20"/>
    </w:rPr>
  </w:style>
  <w:style w:type="paragraph" w:styleId="Nadpis" w:customStyle="1">
    <w:name w:val="Nadpis"/>
    <w:basedOn w:val="Normal"/>
    <w:next w:val="Telotextu"/>
    <w:qFormat/>
    <w:rsid w:val="0027273b"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rsid w:val="0027273b"/>
    <w:pPr>
      <w:spacing w:lineRule="auto" w:line="288" w:before="0" w:after="140"/>
    </w:pPr>
    <w:rPr/>
  </w:style>
  <w:style w:type="paragraph" w:styleId="Zoznam">
    <w:name w:val="List"/>
    <w:basedOn w:val="Telotextu"/>
    <w:rsid w:val="0027273b"/>
    <w:pPr/>
    <w:rPr>
      <w:rFonts w:cs="Lucida Sans"/>
    </w:rPr>
  </w:style>
  <w:style w:type="paragraph" w:styleId="Popis" w:customStyle="1">
    <w:name w:val="Caption"/>
    <w:basedOn w:val="Normal"/>
    <w:qFormat/>
    <w:rsid w:val="0027273b"/>
    <w:pPr>
      <w:suppressLineNumbers/>
      <w:spacing w:before="120" w:after="120"/>
    </w:pPr>
    <w:rPr>
      <w:rFonts w:cs="Lucida Sans"/>
      <w:i/>
      <w:iCs/>
    </w:rPr>
  </w:style>
  <w:style w:type="paragraph" w:styleId="Index" w:customStyle="1">
    <w:name w:val="Index"/>
    <w:basedOn w:val="Normal"/>
    <w:qFormat/>
    <w:rsid w:val="0027273b"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fc38ea"/>
    <w:pPr>
      <w:spacing w:before="0" w:after="0"/>
      <w:ind w:left="720" w:hanging="0"/>
      <w:contextualSpacing/>
    </w:pPr>
    <w:rPr>
      <w:rFonts w:ascii="Calibri" w:hAnsi="Calibri" w:eastAsia="" w:cs="" w:asciiTheme="minorHAnsi" w:cstheme="minorBidi" w:eastAsiaTheme="minorEastAsia" w:hAnsiTheme="minorHAnsi"/>
    </w:rPr>
  </w:style>
  <w:style w:type="paragraph" w:styleId="NoSpacing">
    <w:name w:val="No Spacing"/>
    <w:qFormat/>
    <w:rsid w:val="00c214c6"/>
    <w:pPr>
      <w:widowControl/>
      <w:bidi w:val="0"/>
      <w:jc w:val="left"/>
    </w:pPr>
    <w:rPr>
      <w:rFonts w:ascii="Calibri" w:hAnsi="Calibri" w:eastAsia="Calibri" w:cs="Times New Roman"/>
      <w:color w:val="00000A"/>
      <w:sz w:val="22"/>
      <w:szCs w:val="22"/>
      <w:lang w:val="cs-CZ" w:eastAsia="en-US" w:bidi="ar-SA"/>
    </w:rPr>
  </w:style>
  <w:style w:type="paragraph" w:styleId="NormalWeb">
    <w:name w:val="Normal (Web)"/>
    <w:basedOn w:val="Normal"/>
    <w:uiPriority w:val="99"/>
    <w:unhideWhenUsed/>
    <w:qFormat/>
    <w:rsid w:val="00c214c6"/>
    <w:pPr>
      <w:spacing w:beforeAutospacing="1" w:afterAutospacing="1"/>
    </w:pPr>
    <w:rPr/>
  </w:style>
  <w:style w:type="paragraph" w:styleId="BalloonText">
    <w:name w:val="Balloon Text"/>
    <w:basedOn w:val="Normal"/>
    <w:link w:val="BuborkszvegChar"/>
    <w:uiPriority w:val="99"/>
    <w:semiHidden/>
    <w:unhideWhenUsed/>
    <w:qFormat/>
    <w:rsid w:val="00c214c6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Application>LibreOffice/5.3.2.2$Windows_x86 LibreOffice_project/6cd4f1ef626f15116896b1d8e1398b56da0d0ee1</Application>
  <Pages>22</Pages>
  <Words>2975</Words>
  <Characters>16566</Characters>
  <CharactersWithSpaces>19362</CharactersWithSpaces>
  <Paragraphs>616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2025-05-28T10:53:00Z</dcterms:created>
  <dc:creator>Ladislav Kisfaludi</dc:creator>
  <dc:description/>
  <dc:language>sk-SK</dc:language>
  <cp:lastModifiedBy>Ladislav Kisfaludi</cp:lastModifiedBy>
  <dcterms:modified xsi:type="dcterms:W3CDTF">2025-06-02T09:42:00Z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