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806" w:type="dxa"/>
        <w:jc w:val="left"/>
        <w:tblInd w:w="-7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61"/>
        <w:gridCol w:w="2664"/>
        <w:gridCol w:w="340"/>
        <w:gridCol w:w="341"/>
        <w:gridCol w:w="339"/>
        <w:gridCol w:w="340"/>
        <w:gridCol w:w="341"/>
        <w:gridCol w:w="340"/>
        <w:gridCol w:w="339"/>
        <w:gridCol w:w="340"/>
        <w:gridCol w:w="341"/>
        <w:gridCol w:w="340"/>
        <w:gridCol w:w="339"/>
        <w:gridCol w:w="340"/>
      </w:tblGrid>
      <w:tr>
        <w:trPr/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keepNext w:val="true"/>
              <w:numPr>
                <w:ilvl w:val="0"/>
                <w:numId w:val="0"/>
              </w:numPr>
              <w:tabs>
                <w:tab w:val="clear" w:pos="709"/>
              </w:tabs>
              <w:bidi w:val="0"/>
              <w:spacing w:before="0" w:after="120"/>
              <w:ind w:left="0" w:right="0" w:hanging="0"/>
              <w:jc w:val="left"/>
              <w:outlineLvl w:val="2"/>
              <w:rPr/>
            </w:pPr>
            <w:r>
              <w:rPr>
                <w:sz w:val="22"/>
                <w:szCs w:val="22"/>
                <w:lang w:eastAsia="sk-SK"/>
              </w:rPr>
              <w:t>Poznámky (Úč  NUJ 3 – 01)</w:t>
            </w:r>
          </w:p>
        </w:tc>
        <w:tc>
          <w:tcPr>
            <w:tcW w:w="266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keepNext w:val="true"/>
              <w:numPr>
                <w:ilvl w:val="0"/>
                <w:numId w:val="0"/>
              </w:numPr>
              <w:tabs>
                <w:tab w:val="clear" w:pos="709"/>
              </w:tabs>
              <w:bidi w:val="0"/>
              <w:spacing w:before="0" w:after="120"/>
              <w:ind w:left="0" w:right="0" w:hanging="0"/>
              <w:jc w:val="right"/>
              <w:outlineLvl w:val="2"/>
              <w:rPr/>
            </w:pPr>
            <w:r>
              <w:rPr>
                <w:b/>
                <w:bCs/>
                <w:sz w:val="22"/>
                <w:szCs w:val="22"/>
              </w:rPr>
              <w:t xml:space="preserve">IČO 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keepNext w:val="true"/>
              <w:numPr>
                <w:ilvl w:val="0"/>
                <w:numId w:val="0"/>
              </w:numPr>
              <w:tabs>
                <w:tab w:val="clear" w:pos="709"/>
              </w:tabs>
              <w:bidi w:val="0"/>
              <w:spacing w:before="0" w:after="0"/>
              <w:ind w:left="0" w:right="0" w:hanging="0"/>
              <w:outlineLvl w:val="2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keepNext w:val="true"/>
              <w:numPr>
                <w:ilvl w:val="0"/>
                <w:numId w:val="0"/>
              </w:numPr>
              <w:tabs>
                <w:tab w:val="clear" w:pos="709"/>
              </w:tabs>
              <w:bidi w:val="0"/>
              <w:spacing w:before="0" w:after="0"/>
              <w:ind w:left="0" w:right="0" w:hanging="0"/>
              <w:outlineLvl w:val="2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keepNext w:val="true"/>
              <w:numPr>
                <w:ilvl w:val="0"/>
                <w:numId w:val="0"/>
              </w:numPr>
              <w:tabs>
                <w:tab w:val="clear" w:pos="709"/>
              </w:tabs>
              <w:bidi w:val="0"/>
              <w:spacing w:before="0" w:after="0"/>
              <w:ind w:left="0" w:right="0" w:hanging="0"/>
              <w:outlineLvl w:val="2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keepNext w:val="true"/>
              <w:numPr>
                <w:ilvl w:val="0"/>
                <w:numId w:val="0"/>
              </w:numPr>
              <w:tabs>
                <w:tab w:val="clear" w:pos="709"/>
              </w:tabs>
              <w:bidi w:val="0"/>
              <w:spacing w:before="0" w:after="0"/>
              <w:ind w:left="0" w:right="0" w:hanging="0"/>
              <w:outlineLvl w:val="2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keepNext w:val="true"/>
              <w:numPr>
                <w:ilvl w:val="0"/>
                <w:numId w:val="0"/>
              </w:numPr>
              <w:tabs>
                <w:tab w:val="clear" w:pos="709"/>
              </w:tabs>
              <w:bidi w:val="0"/>
              <w:spacing w:before="0" w:after="0"/>
              <w:ind w:left="0" w:right="0" w:hanging="0"/>
              <w:outlineLvl w:val="2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keepNext w:val="true"/>
              <w:numPr>
                <w:ilvl w:val="0"/>
                <w:numId w:val="0"/>
              </w:numPr>
              <w:tabs>
                <w:tab w:val="clear" w:pos="709"/>
              </w:tabs>
              <w:bidi w:val="0"/>
              <w:spacing w:before="0" w:after="0"/>
              <w:ind w:left="0" w:right="0" w:hanging="0"/>
              <w:outlineLvl w:val="2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keepNext w:val="true"/>
              <w:numPr>
                <w:ilvl w:val="0"/>
                <w:numId w:val="0"/>
              </w:numPr>
              <w:tabs>
                <w:tab w:val="clear" w:pos="709"/>
              </w:tabs>
              <w:bidi w:val="0"/>
              <w:spacing w:before="0" w:after="0"/>
              <w:ind w:left="0" w:right="0" w:hanging="0"/>
              <w:outlineLvl w:val="2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keepNext w:val="true"/>
              <w:numPr>
                <w:ilvl w:val="0"/>
                <w:numId w:val="0"/>
              </w:numPr>
              <w:tabs>
                <w:tab w:val="clear" w:pos="709"/>
              </w:tabs>
              <w:bidi w:val="0"/>
              <w:spacing w:before="0" w:after="0"/>
              <w:ind w:left="0" w:right="0" w:hanging="0"/>
              <w:outlineLvl w:val="2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keepNext w:val="true"/>
              <w:numPr>
                <w:ilvl w:val="0"/>
                <w:numId w:val="0"/>
              </w:numPr>
              <w:tabs>
                <w:tab w:val="clear" w:pos="709"/>
              </w:tabs>
              <w:bidi w:val="0"/>
              <w:spacing w:before="0" w:after="0"/>
              <w:ind w:left="0" w:right="0" w:hanging="0"/>
              <w:outlineLvl w:val="2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keepNext w:val="true"/>
              <w:numPr>
                <w:ilvl w:val="0"/>
                <w:numId w:val="0"/>
              </w:numPr>
              <w:tabs>
                <w:tab w:val="clear" w:pos="709"/>
              </w:tabs>
              <w:bidi w:val="0"/>
              <w:spacing w:before="0" w:after="0"/>
              <w:ind w:left="0" w:right="0" w:hanging="0"/>
              <w:outlineLvl w:val="2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keepNext w:val="true"/>
              <w:numPr>
                <w:ilvl w:val="0"/>
                <w:numId w:val="0"/>
              </w:numPr>
              <w:tabs>
                <w:tab w:val="clear" w:pos="709"/>
              </w:tabs>
              <w:bidi w:val="0"/>
              <w:spacing w:before="0" w:after="0"/>
              <w:ind w:left="0" w:right="0" w:hanging="0"/>
              <w:outlineLvl w:val="2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keepNext w:val="true"/>
              <w:numPr>
                <w:ilvl w:val="0"/>
                <w:numId w:val="0"/>
              </w:numPr>
              <w:tabs>
                <w:tab w:val="clear" w:pos="709"/>
              </w:tabs>
              <w:bidi w:val="0"/>
              <w:spacing w:before="0" w:after="0"/>
              <w:ind w:left="0" w:right="0" w:hanging="0"/>
              <w:outlineLvl w:val="2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</w:tr>
    </w:tbl>
    <w:p>
      <w:pPr>
        <w:pStyle w:val="Normalpodnadpis"/>
        <w:keepNext w:val="true"/>
        <w:numPr>
          <w:ilvl w:val="0"/>
          <w:numId w:val="0"/>
        </w:numPr>
        <w:bidi w:val="0"/>
        <w:spacing w:before="0" w:after="120"/>
        <w:ind w:left="0" w:right="0" w:hanging="0"/>
        <w:outlineLvl w:val="2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podnadpis"/>
        <w:keepNext w:val="true"/>
        <w:numPr>
          <w:ilvl w:val="0"/>
          <w:numId w:val="0"/>
        </w:numPr>
        <w:bidi w:val="0"/>
        <w:spacing w:before="0" w:after="120"/>
        <w:ind w:left="0" w:right="0" w:hanging="0"/>
        <w:jc w:val="center"/>
        <w:outlineLvl w:val="2"/>
        <w:rPr/>
      </w:pPr>
      <w:r>
        <w:rPr>
          <w:b/>
          <w:bCs/>
          <w:sz w:val="22"/>
          <w:szCs w:val="22"/>
        </w:rPr>
        <w:t>Čl. I</w:t>
      </w:r>
    </w:p>
    <w:p>
      <w:pPr>
        <w:pStyle w:val="Normalpodnadpis"/>
        <w:keepNext w:val="true"/>
        <w:numPr>
          <w:ilvl w:val="0"/>
          <w:numId w:val="0"/>
        </w:numPr>
        <w:bidi w:val="0"/>
        <w:spacing w:before="0" w:after="120"/>
        <w:ind w:left="0" w:right="0" w:hanging="0"/>
        <w:jc w:val="center"/>
        <w:outlineLvl w:val="1"/>
        <w:rPr/>
      </w:pPr>
      <w:r>
        <w:rPr>
          <w:b/>
          <w:bCs/>
          <w:sz w:val="22"/>
          <w:szCs w:val="22"/>
        </w:rPr>
        <w:t>Všeobecné informácie</w:t>
      </w:r>
    </w:p>
    <w:p>
      <w:pPr>
        <w:pStyle w:val="Normalpodnadpis"/>
        <w:bidi w:val="0"/>
        <w:spacing w:before="0" w:after="120"/>
        <w:ind w:left="0" w:right="0" w:hanging="0"/>
        <w:rPr/>
      </w:pPr>
      <w:r>
        <w:rPr>
          <w:sz w:val="22"/>
          <w:szCs w:val="22"/>
        </w:rPr>
        <w:t>(1) Meno a priezvisko fyzickej osoby alebo názov právnickej osoby, ktorá je zakladateľom alebo zriaďovateľom účtovnej jednotky, dátum založenia alebo zriadenia účtovnej jednotky.</w:t>
      </w:r>
    </w:p>
    <w:p>
      <w:pPr>
        <w:pStyle w:val="Normalpodnadpis"/>
        <w:bidi w:val="0"/>
        <w:spacing w:before="0" w:after="120"/>
        <w:ind w:left="0" w:right="0" w:hanging="0"/>
        <w:rPr/>
      </w:pPr>
      <w:r>
        <w:rPr>
          <w:sz w:val="22"/>
          <w:szCs w:val="22"/>
        </w:rPr>
        <w:t>(2) Informácie o členoch štatutárnych orgánov, dozorných orgánov  a iných orgánov účtovnej jednotky; uvádzajú sa mená a priezviská členov štatutárnych orgánov, dozorných orgánov a iných orgánov účtovnej jednotky.</w:t>
      </w:r>
    </w:p>
    <w:p>
      <w:pPr>
        <w:pStyle w:val="Normalpodnadpis"/>
        <w:bidi w:val="0"/>
        <w:spacing w:before="0" w:after="120"/>
        <w:ind w:left="0" w:right="0" w:hanging="0"/>
        <w:rPr/>
      </w:pPr>
      <w:r>
        <w:rPr>
          <w:sz w:val="22"/>
          <w:szCs w:val="22"/>
        </w:rPr>
        <w:t>(3) Opis činnosti, na účel ktorej bola účtovná jednotka zriadená a opis druhu podnikateľskej činnosti, ak ju účtovná jednotka vykonáva.</w:t>
      </w:r>
    </w:p>
    <w:p>
      <w:pPr>
        <w:pStyle w:val="Normalpodnadpis"/>
        <w:bidi w:val="0"/>
        <w:spacing w:before="0" w:after="120"/>
        <w:ind w:left="0" w:right="0" w:hanging="0"/>
        <w:rPr/>
      </w:pPr>
      <w:r>
        <w:rPr>
          <w:sz w:val="22"/>
          <w:szCs w:val="22"/>
        </w:rPr>
        <w:t xml:space="preserve">(4) Priemerný prepočítaný počet zamestnancov, a z toho počet vedúcich zamestnancov účtovnej jednotky za účtovné obdobie, za ktoré sa zostavuje účtovná závierka (ďalej len „bežné účtovné obdobie“). Počet dobrovoľníkov vyslaných účtovnou jednotkou a počet dobrovoľníkov, ktorí vykonávali dobrovoľnícku činnosť pre účtovnú jednotku počas bežného účtovného obdobia. </w:t>
      </w:r>
    </w:p>
    <w:tbl>
      <w:tblPr>
        <w:tblW w:w="9668" w:type="dxa"/>
        <w:jc w:val="left"/>
        <w:tblInd w:w="14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57"/>
        <w:gridCol w:w="1842"/>
        <w:gridCol w:w="2269"/>
      </w:tblGrid>
      <w:tr>
        <w:trPr/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extopatrenia"/>
              <w:numPr>
                <w:ilvl w:val="0"/>
                <w:numId w:val="4"/>
              </w:numPr>
              <w:tabs>
                <w:tab w:val="clear" w:pos="1440"/>
              </w:tabs>
              <w:bidi w:val="0"/>
              <w:spacing w:before="0" w:after="0"/>
              <w:ind w:left="0" w:right="0" w:hanging="0"/>
              <w:rPr/>
            </w:pPr>
            <w:r>
              <w:rPr/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extopatrenia"/>
              <w:numPr>
                <w:ilvl w:val="0"/>
                <w:numId w:val="4"/>
              </w:numPr>
              <w:tabs>
                <w:tab w:val="clear" w:pos="1440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lang w:eastAsia="sk-SK"/>
              </w:rPr>
              <w:t>Bežné účtovné obdobie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extopatrenia"/>
              <w:numPr>
                <w:ilvl w:val="0"/>
                <w:numId w:val="4"/>
              </w:numPr>
              <w:tabs>
                <w:tab w:val="clear" w:pos="1440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lang w:eastAsia="sk-SK"/>
              </w:rPr>
              <w:t>Počet hodín vykonávania dobrovoľníckej činnosti</w:t>
            </w:r>
          </w:p>
        </w:tc>
      </w:tr>
      <w:tr>
        <w:trPr>
          <w:trHeight w:val="391" w:hRule="atLeast"/>
        </w:trPr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extopatrenia"/>
              <w:numPr>
                <w:ilvl w:val="0"/>
                <w:numId w:val="4"/>
              </w:numPr>
              <w:tabs>
                <w:tab w:val="clear" w:pos="1440"/>
              </w:tabs>
              <w:bidi w:val="0"/>
              <w:spacing w:before="0" w:after="0"/>
              <w:ind w:left="0" w:right="0" w:hanging="0"/>
              <w:jc w:val="left"/>
              <w:rPr/>
            </w:pPr>
            <w:r>
              <w:rPr/>
              <w:t>Priemerný prepočítaný počet zamestnancov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extopatrenia"/>
              <w:numPr>
                <w:ilvl w:val="0"/>
                <w:numId w:val="4"/>
              </w:numPr>
              <w:tabs>
                <w:tab w:val="clear" w:pos="1440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/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extopatrenia"/>
              <w:numPr>
                <w:ilvl w:val="0"/>
                <w:numId w:val="4"/>
              </w:numPr>
              <w:tabs>
                <w:tab w:val="clear" w:pos="1440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/>
              <w:t>x</w:t>
            </w:r>
          </w:p>
        </w:tc>
      </w:tr>
      <w:tr>
        <w:trPr>
          <w:trHeight w:val="391" w:hRule="atLeast"/>
        </w:trPr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extopatrenia"/>
              <w:numPr>
                <w:ilvl w:val="0"/>
                <w:numId w:val="4"/>
              </w:numPr>
              <w:bidi w:val="0"/>
              <w:spacing w:before="0" w:after="0"/>
              <w:ind w:left="0" w:right="0" w:hanging="0"/>
              <w:jc w:val="left"/>
              <w:rPr/>
            </w:pPr>
            <w:r>
              <w:rPr/>
              <w:t>z toho  počet vedúcich zamestnancov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extopatrenia"/>
              <w:numPr>
                <w:ilvl w:val="0"/>
                <w:numId w:val="4"/>
              </w:numPr>
              <w:bidi w:val="0"/>
              <w:spacing w:before="0" w:after="0"/>
              <w:ind w:left="0" w:right="0" w:hanging="0"/>
              <w:jc w:val="center"/>
              <w:rPr/>
            </w:pPr>
            <w:r>
              <w:rPr/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extopatrenia"/>
              <w:numPr>
                <w:ilvl w:val="0"/>
                <w:numId w:val="4"/>
              </w:numPr>
              <w:bidi w:val="0"/>
              <w:spacing w:before="0" w:after="0"/>
              <w:ind w:left="0" w:right="0" w:hanging="0"/>
              <w:jc w:val="center"/>
              <w:rPr/>
            </w:pPr>
            <w:r>
              <w:rPr/>
              <w:t>x</w:t>
            </w:r>
          </w:p>
        </w:tc>
      </w:tr>
      <w:tr>
        <w:trPr>
          <w:trHeight w:val="391" w:hRule="atLeast"/>
        </w:trPr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extopatrenia"/>
              <w:numPr>
                <w:ilvl w:val="0"/>
                <w:numId w:val="4"/>
              </w:numPr>
              <w:bidi w:val="0"/>
              <w:spacing w:before="0" w:after="0"/>
              <w:ind w:left="0" w:right="0" w:hanging="0"/>
              <w:jc w:val="left"/>
              <w:rPr/>
            </w:pPr>
            <w:r>
              <w:rPr/>
              <w:t xml:space="preserve">Počet dobrovoľníkov vyslaných účtovnou jednotkou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extopatrenia"/>
              <w:numPr>
                <w:ilvl w:val="0"/>
                <w:numId w:val="4"/>
              </w:numPr>
              <w:bidi w:val="0"/>
              <w:spacing w:before="0" w:after="0"/>
              <w:ind w:left="0" w:right="0" w:hanging="0"/>
              <w:jc w:val="center"/>
              <w:rPr/>
            </w:pPr>
            <w:r>
              <w:rPr/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extopatrenia"/>
              <w:numPr>
                <w:ilvl w:val="0"/>
                <w:numId w:val="4"/>
              </w:numPr>
              <w:bidi w:val="0"/>
              <w:spacing w:before="0" w:after="0"/>
              <w:ind w:left="0" w:right="0" w:hanging="0"/>
              <w:jc w:val="center"/>
              <w:rPr/>
            </w:pPr>
            <w:r>
              <w:rPr/>
            </w:r>
          </w:p>
        </w:tc>
      </w:tr>
      <w:tr>
        <w:trPr>
          <w:trHeight w:val="391" w:hRule="atLeast"/>
        </w:trPr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extopatrenia"/>
              <w:numPr>
                <w:ilvl w:val="0"/>
                <w:numId w:val="4"/>
              </w:numPr>
              <w:bidi w:val="0"/>
              <w:spacing w:before="0" w:after="0"/>
              <w:ind w:left="0" w:right="0" w:hanging="0"/>
              <w:jc w:val="left"/>
              <w:rPr/>
            </w:pPr>
            <w:r>
              <w:rPr/>
              <w:t>Počet dobrovoľníkov, ktorí vykonávali dobrovoľnícku činnosť pre účtovnú jednotku počas účtovného obdobia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extopatrenia"/>
              <w:numPr>
                <w:ilvl w:val="0"/>
                <w:numId w:val="4"/>
              </w:numPr>
              <w:bidi w:val="0"/>
              <w:spacing w:before="0" w:after="0"/>
              <w:ind w:left="0" w:right="0" w:hanging="0"/>
              <w:jc w:val="center"/>
              <w:rPr/>
            </w:pPr>
            <w:r>
              <w:rPr/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extopatrenia"/>
              <w:numPr>
                <w:ilvl w:val="0"/>
                <w:numId w:val="4"/>
              </w:numPr>
              <w:bidi w:val="0"/>
              <w:spacing w:before="0" w:after="0"/>
              <w:ind w:left="0" w:right="0" w:hanging="0"/>
              <w:jc w:val="center"/>
              <w:rPr/>
            </w:pPr>
            <w:r>
              <w:rPr/>
            </w:r>
          </w:p>
        </w:tc>
      </w:tr>
    </w:tbl>
    <w:p>
      <w:pPr>
        <w:pStyle w:val="Normalpodnadpis"/>
        <w:bidi w:val="0"/>
        <w:ind w:left="0" w:right="0" w:hanging="0"/>
        <w:rPr/>
      </w:pPr>
      <w:r>
        <w:rPr>
          <w:sz w:val="22"/>
          <w:szCs w:val="22"/>
        </w:rPr>
        <w:t>(5) Organizačná štruktúra účtovnej jednotky.</w:t>
      </w:r>
    </w:p>
    <w:p>
      <w:pPr>
        <w:pStyle w:val="Normalpodnadpis"/>
        <w:bidi w:val="0"/>
        <w:spacing w:before="0" w:after="120"/>
        <w:ind w:left="0" w:right="0" w:hanging="0"/>
        <w:rPr/>
      </w:pPr>
      <w:r>
        <w:rPr>
          <w:sz w:val="22"/>
          <w:szCs w:val="22"/>
        </w:rPr>
        <w:t xml:space="preserve">(6) Informácia o organizáciách v zriaďovateľskej pôsobnosti účtovnej jednotky. </w:t>
      </w:r>
    </w:p>
    <w:p>
      <w:pPr>
        <w:pStyle w:val="Normalpodnadpis"/>
        <w:bidi w:val="0"/>
        <w:spacing w:before="0" w:after="120"/>
        <w:ind w:left="0" w:right="0" w:hanging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podnadpis"/>
        <w:keepNext w:val="true"/>
        <w:numPr>
          <w:ilvl w:val="0"/>
          <w:numId w:val="0"/>
        </w:numPr>
        <w:bidi w:val="0"/>
        <w:spacing w:before="0" w:after="120"/>
        <w:ind w:left="0" w:right="0" w:hanging="0"/>
        <w:jc w:val="center"/>
        <w:outlineLvl w:val="0"/>
        <w:rPr/>
      </w:pPr>
      <w:r>
        <w:rPr>
          <w:b/>
          <w:bCs/>
          <w:kern w:val="2"/>
          <w:sz w:val="22"/>
          <w:szCs w:val="22"/>
        </w:rPr>
        <w:t>Čl. II</w:t>
      </w:r>
    </w:p>
    <w:p>
      <w:pPr>
        <w:pStyle w:val="Normalpodnadpis"/>
        <w:keepNext w:val="true"/>
        <w:numPr>
          <w:ilvl w:val="0"/>
          <w:numId w:val="0"/>
        </w:numPr>
        <w:bidi w:val="0"/>
        <w:spacing w:before="0" w:after="120"/>
        <w:ind w:left="0" w:right="0" w:hanging="0"/>
        <w:jc w:val="center"/>
        <w:outlineLvl w:val="1"/>
        <w:rPr/>
      </w:pPr>
      <w:r>
        <w:rPr>
          <w:b/>
          <w:bCs/>
          <w:sz w:val="22"/>
          <w:szCs w:val="22"/>
        </w:rPr>
        <w:t>Informácie o účtovných zásadách a účtovných metódach</w:t>
      </w:r>
    </w:p>
    <w:p>
      <w:pPr>
        <w:pStyle w:val="Normalpodnadpis"/>
        <w:bidi w:val="0"/>
        <w:spacing w:before="0" w:after="120"/>
        <w:ind w:left="0" w:right="0" w:hanging="0"/>
        <w:rPr/>
      </w:pPr>
      <w:r>
        <w:rPr>
          <w:sz w:val="22"/>
          <w:szCs w:val="22"/>
        </w:rPr>
        <w:t xml:space="preserve">(1) Informácia, či je účtovná závierka zostavená za splnenia predpokladu, že účtovná jednotka bude nepretržite pokračovať vo svojej činnosti. </w:t>
      </w:r>
    </w:p>
    <w:p>
      <w:pPr>
        <w:pStyle w:val="Normalpodnadpis"/>
        <w:bidi w:val="0"/>
        <w:spacing w:before="0" w:after="120"/>
        <w:ind w:left="0" w:right="0" w:hanging="0"/>
        <w:rPr/>
      </w:pPr>
      <w:r>
        <w:rPr>
          <w:sz w:val="22"/>
          <w:szCs w:val="22"/>
        </w:rPr>
        <w:t>(2) Zmeny účtovných zásad a zmeny účtovných metód s uvedením dôvodu týchto zmien a vyčíslením ich vplyvu na finančnú hodnotu majetku, záväzkov, základného imania a výsledku hospodárenia účtovnej jednotky.</w:t>
      </w:r>
    </w:p>
    <w:p>
      <w:pPr>
        <w:pStyle w:val="Normalpodnadpis"/>
        <w:bidi w:val="0"/>
        <w:spacing w:before="0" w:after="120"/>
        <w:ind w:left="0" w:right="0" w:hanging="0"/>
        <w:rPr/>
      </w:pPr>
      <w:r>
        <w:rPr>
          <w:sz w:val="22"/>
          <w:szCs w:val="22"/>
        </w:rPr>
        <w:t>(3) Spôsoby ocenenia jednotlivých položiek majetku a záväzkov.</w:t>
      </w:r>
    </w:p>
    <w:p>
      <w:pPr>
        <w:pStyle w:val="Normalpodnadpis"/>
        <w:bidi w:val="0"/>
        <w:spacing w:before="0" w:after="240"/>
        <w:ind w:left="0" w:right="0" w:hanging="0"/>
        <w:rPr/>
      </w:pPr>
      <w:r>
        <w:rPr>
          <w:sz w:val="22"/>
          <w:szCs w:val="22"/>
        </w:rPr>
        <w:t xml:space="preserve">(4) Spôsob zostavenia odpisového plánu pre jednotlivé druhy dlhodobého hmotného majetku a dlhodobého nehmotného majetku, pričom sa uvádza doba odpisovania, použité sadzby odpisov a odpisové metódy pri určení odpisov. </w:t>
      </w:r>
    </w:p>
    <w:tbl>
      <w:tblPr>
        <w:tblW w:w="10195" w:type="dxa"/>
        <w:jc w:val="left"/>
        <w:tblInd w:w="-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8"/>
        <w:gridCol w:w="2549"/>
        <w:gridCol w:w="2549"/>
        <w:gridCol w:w="2548"/>
      </w:tblGrid>
      <w:tr>
        <w:trPr>
          <w:trHeight w:val="416" w:hRule="atLeast"/>
        </w:trPr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keepNext w:val="true"/>
              <w:tabs>
                <w:tab w:val="clear" w:pos="709"/>
              </w:tabs>
              <w:bidi w:val="0"/>
              <w:spacing w:before="0" w:after="240"/>
              <w:ind w:left="0" w:right="0" w:hanging="0"/>
              <w:jc w:val="left"/>
              <w:rPr/>
            </w:pPr>
            <w:r>
              <w:rPr>
                <w:b/>
                <w:sz w:val="22"/>
                <w:szCs w:val="22"/>
              </w:rPr>
              <w:t>Druh dlhodobého majetku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keepNext w:val="true"/>
              <w:tabs>
                <w:tab w:val="clear" w:pos="709"/>
              </w:tabs>
              <w:bidi w:val="0"/>
              <w:spacing w:before="0" w:after="240"/>
              <w:ind w:left="0" w:right="0" w:hanging="0"/>
              <w:jc w:val="center"/>
              <w:rPr/>
            </w:pPr>
            <w:r>
              <w:rPr>
                <w:b/>
                <w:sz w:val="22"/>
                <w:szCs w:val="22"/>
              </w:rPr>
              <w:t>Doba odpisovania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keepNext w:val="true"/>
              <w:tabs>
                <w:tab w:val="clear" w:pos="709"/>
              </w:tabs>
              <w:bidi w:val="0"/>
              <w:spacing w:before="0" w:after="240"/>
              <w:ind w:left="0" w:right="0" w:hanging="0"/>
              <w:jc w:val="center"/>
              <w:rPr/>
            </w:pPr>
            <w:r>
              <w:rPr>
                <w:b/>
                <w:sz w:val="22"/>
                <w:szCs w:val="22"/>
              </w:rPr>
              <w:t>Sadzba odpisov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keepNext w:val="true"/>
              <w:tabs>
                <w:tab w:val="clear" w:pos="709"/>
              </w:tabs>
              <w:bidi w:val="0"/>
              <w:spacing w:before="0" w:after="240"/>
              <w:ind w:left="0" w:right="0" w:hanging="0"/>
              <w:jc w:val="center"/>
              <w:rPr/>
            </w:pPr>
            <w:r>
              <w:rPr>
                <w:b/>
                <w:sz w:val="22"/>
                <w:szCs w:val="22"/>
              </w:rPr>
              <w:t>Odpisová metóda</w:t>
            </w:r>
          </w:p>
        </w:tc>
      </w:tr>
      <w:tr>
        <w:trPr>
          <w:trHeight w:val="374" w:hRule="atLeast"/>
        </w:trPr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374" w:hRule="atLeast"/>
        </w:trPr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bidi w:val="0"/>
              <w:spacing w:before="0" w:after="0"/>
              <w:ind w:left="0" w:righ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374" w:hRule="atLeast"/>
        </w:trPr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bidi w:val="0"/>
              <w:spacing w:before="0" w:after="0"/>
              <w:ind w:left="0" w:righ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podnadpis"/>
        <w:bidi w:val="0"/>
        <w:spacing w:before="0" w:after="120"/>
        <w:ind w:left="0" w:right="0" w:hanging="0"/>
        <w:rPr/>
      </w:pPr>
      <w:r>
        <w:rPr>
          <w:sz w:val="22"/>
          <w:szCs w:val="22"/>
        </w:rPr>
        <w:t>(5) Zásady pre zohľadnenie zníženia hodnoty majetku. Uvádza sa, či účtovná jednotka uplatňuje opravné položky a rezervy.</w:t>
      </w:r>
    </w:p>
    <w:p>
      <w:pPr>
        <w:pStyle w:val="Normalpodnadpis"/>
        <w:bidi w:val="0"/>
        <w:spacing w:before="0" w:after="120"/>
        <w:ind w:left="0" w:right="0" w:hanging="0"/>
        <w:rPr/>
      </w:pPr>
      <w:r>
        <w:rPr>
          <w:sz w:val="22"/>
          <w:szCs w:val="22"/>
        </w:rPr>
        <w:t>(6) Informácie o účtovaní opráv významných chýb minulých účtovných období v bežnom účtovnom období s uvedením vplyvu na výsledok hospodárenia minulých rokov; súčasne sa môže uviesť aj informácia o účtovaní opráv nevýznamných chýb minulých účtovných období v bežnom účtovnom období s uvedením vplyvu na výsledok hospodárenia bežného účtovného obdobia.</w:t>
      </w:r>
    </w:p>
    <w:p>
      <w:pPr>
        <w:pStyle w:val="Normalpodnadpis"/>
        <w:keepNext w:val="true"/>
        <w:numPr>
          <w:ilvl w:val="0"/>
          <w:numId w:val="0"/>
        </w:numPr>
        <w:bidi w:val="0"/>
        <w:spacing w:before="240" w:after="120"/>
        <w:ind w:left="0" w:right="0" w:hanging="0"/>
        <w:jc w:val="center"/>
        <w:outlineLvl w:val="0"/>
        <w:rPr/>
      </w:pPr>
      <w:r>
        <w:rPr>
          <w:b/>
          <w:bCs/>
          <w:kern w:val="2"/>
          <w:sz w:val="22"/>
          <w:szCs w:val="22"/>
        </w:rPr>
        <w:t>Čl. III</w:t>
      </w:r>
    </w:p>
    <w:p>
      <w:pPr>
        <w:pStyle w:val="Normalpodnadpis"/>
        <w:keepNext w:val="true"/>
        <w:numPr>
          <w:ilvl w:val="0"/>
          <w:numId w:val="0"/>
        </w:numPr>
        <w:bidi w:val="0"/>
        <w:spacing w:before="0" w:after="120"/>
        <w:ind w:left="0" w:right="0" w:hanging="0"/>
        <w:jc w:val="center"/>
        <w:outlineLvl w:val="1"/>
        <w:rPr/>
      </w:pPr>
      <w:r>
        <w:rPr>
          <w:b/>
          <w:bCs/>
          <w:sz w:val="22"/>
          <w:szCs w:val="22"/>
        </w:rPr>
        <w:t>Informácie, ktoré dopĺňajú a vysvetľujú údaje v súvahe</w:t>
      </w:r>
    </w:p>
    <w:p>
      <w:pPr>
        <w:pStyle w:val="Normalpodnadpis"/>
        <w:numPr>
          <w:ilvl w:val="0"/>
          <w:numId w:val="5"/>
        </w:numPr>
        <w:bidi w:val="0"/>
        <w:spacing w:before="0" w:after="120"/>
        <w:ind w:left="0" w:right="0" w:hanging="0"/>
        <w:rPr/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Významné sumy prírastkov a úbytkov dlhodobého nehmotného majetku a dlhodobého hmotného majetku.</w:t>
      </w:r>
    </w:p>
    <w:p>
      <w:pPr>
        <w:pStyle w:val="Normalpodnadpis"/>
        <w:numPr>
          <w:ilvl w:val="0"/>
          <w:numId w:val="5"/>
        </w:numPr>
        <w:bidi w:val="0"/>
        <w:spacing w:before="0" w:after="120"/>
        <w:ind w:left="0" w:right="0" w:hanging="0"/>
        <w:rPr/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Prehľad dlhodobého majetku, na ktorý je zriadené záložné právo a prehľad dlhodobého majetku, pri ktorom má účtovná jednotka obmedzené právo s ním nakladať.</w:t>
      </w:r>
    </w:p>
    <w:p>
      <w:pPr>
        <w:pStyle w:val="Normalpodnadpis"/>
        <w:numPr>
          <w:ilvl w:val="0"/>
          <w:numId w:val="5"/>
        </w:numPr>
        <w:bidi w:val="0"/>
        <w:spacing w:before="0" w:after="120"/>
        <w:ind w:left="0" w:right="0" w:hanging="0"/>
        <w:rPr/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Údaje o štruktúre dlhodobého finančného majetku za bežné účtovné obdobie a jeho umiestnenie v členení podľa položiek súvahy v riadkoch 022 a 023.</w:t>
      </w:r>
    </w:p>
    <w:tbl>
      <w:tblPr>
        <w:tblW w:w="10022" w:type="dxa"/>
        <w:jc w:val="left"/>
        <w:tblInd w:w="4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18"/>
        <w:gridCol w:w="2410"/>
        <w:gridCol w:w="2694"/>
      </w:tblGrid>
      <w:tr>
        <w:trPr>
          <w:trHeight w:val="399" w:hRule="atLeast"/>
        </w:trPr>
        <w:tc>
          <w:tcPr>
            <w:tcW w:w="49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120"/>
              <w:ind w:left="0" w:right="0" w:hanging="0"/>
              <w:jc w:val="center"/>
              <w:rPr/>
            </w:pPr>
            <w:r>
              <w:rPr>
                <w:b/>
                <w:bCs/>
                <w:sz w:val="22"/>
                <w:szCs w:val="22"/>
              </w:rPr>
              <w:t>Názov účtovnej jednotky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120"/>
              <w:ind w:left="0" w:right="0" w:hanging="0"/>
              <w:jc w:val="center"/>
              <w:rPr/>
            </w:pPr>
            <w:r>
              <w:rPr>
                <w:b/>
                <w:bCs/>
                <w:sz w:val="22"/>
                <w:szCs w:val="22"/>
              </w:rPr>
              <w:t>Podiel na základnom imaní (v %)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120"/>
              <w:ind w:left="0" w:right="0" w:hanging="0"/>
              <w:jc w:val="center"/>
              <w:rPr/>
            </w:pPr>
            <w:r>
              <w:rPr>
                <w:b/>
                <w:bCs/>
                <w:sz w:val="22"/>
                <w:szCs w:val="22"/>
              </w:rPr>
              <w:t>Podiel účtovnej jednotky na hlasovacích právach</w:t>
            </w:r>
          </w:p>
          <w:p>
            <w:pPr>
              <w:pStyle w:val="Normalpodnadpis"/>
              <w:tabs>
                <w:tab w:val="clear" w:pos="709"/>
              </w:tabs>
              <w:bidi w:val="0"/>
              <w:spacing w:before="0" w:after="120"/>
              <w:ind w:left="0" w:right="0" w:hanging="0"/>
              <w:jc w:val="center"/>
              <w:rPr/>
            </w:pPr>
            <w:r>
              <w:rPr>
                <w:b/>
                <w:bCs/>
                <w:sz w:val="22"/>
                <w:szCs w:val="22"/>
              </w:rPr>
              <w:t>(v %)</w:t>
            </w:r>
          </w:p>
        </w:tc>
      </w:tr>
      <w:tr>
        <w:trPr>
          <w:trHeight w:val="1073" w:hRule="atLeast"/>
        </w:trPr>
        <w:tc>
          <w:tcPr>
            <w:tcW w:w="49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24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26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</w:tr>
      <w:tr>
        <w:trPr>
          <w:trHeight w:val="374" w:hRule="atLeast"/>
        </w:trPr>
        <w:tc>
          <w:tcPr>
            <w:tcW w:w="4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</w:r>
          </w:p>
        </w:tc>
      </w:tr>
      <w:tr>
        <w:trPr>
          <w:trHeight w:val="374" w:hRule="atLeast"/>
        </w:trPr>
        <w:tc>
          <w:tcPr>
            <w:tcW w:w="4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bidi w:val="0"/>
              <w:spacing w:before="0" w:after="0"/>
              <w:ind w:left="0" w:right="0" w:hanging="0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</w:r>
          </w:p>
        </w:tc>
      </w:tr>
    </w:tbl>
    <w:p>
      <w:pPr>
        <w:pStyle w:val="Normalpodnadpis"/>
        <w:numPr>
          <w:ilvl w:val="0"/>
          <w:numId w:val="5"/>
        </w:numPr>
        <w:bidi w:val="0"/>
        <w:ind w:left="0" w:right="0" w:hanging="0"/>
        <w:rPr/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Údaje o štruktúre dlhodobého finančného majetku a krátkodobého finančného majetku v členení podľa položiek súvahy v riadkoch 024, 026 a 055.</w:t>
      </w:r>
    </w:p>
    <w:tbl>
      <w:tblPr>
        <w:tblW w:w="10057" w:type="dxa"/>
        <w:jc w:val="left"/>
        <w:tblInd w:w="-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55"/>
        <w:gridCol w:w="3351"/>
        <w:gridCol w:w="3351"/>
      </w:tblGrid>
      <w:tr>
        <w:trPr/>
        <w:tc>
          <w:tcPr>
            <w:tcW w:w="3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keepNext w:val="true"/>
              <w:tabs>
                <w:tab w:val="clear" w:pos="709"/>
              </w:tabs>
              <w:bidi w:val="0"/>
              <w:spacing w:before="120" w:after="120"/>
              <w:ind w:left="0" w:right="0" w:hanging="0"/>
              <w:jc w:val="left"/>
              <w:rPr/>
            </w:pPr>
            <w:r>
              <w:rPr>
                <w:b/>
                <w:sz w:val="22"/>
                <w:szCs w:val="22"/>
              </w:rPr>
              <w:t xml:space="preserve">Opis druhu finančného majetku </w:t>
            </w:r>
          </w:p>
        </w:tc>
        <w:tc>
          <w:tcPr>
            <w:tcW w:w="3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keepNext w:val="true"/>
              <w:tabs>
                <w:tab w:val="clear" w:pos="709"/>
              </w:tabs>
              <w:bidi w:val="0"/>
              <w:spacing w:before="120" w:after="120"/>
              <w:ind w:left="0" w:right="0" w:hanging="0"/>
              <w:rPr/>
            </w:pPr>
            <w:r>
              <w:rPr>
                <w:b/>
                <w:sz w:val="22"/>
                <w:szCs w:val="22"/>
                <w:lang w:eastAsia="sk-SK"/>
              </w:rPr>
              <w:t xml:space="preserve">Stav na </w:t>
            </w:r>
            <w:r>
              <w:rPr>
                <w:b/>
                <w:sz w:val="22"/>
                <w:szCs w:val="22"/>
              </w:rPr>
              <w:t xml:space="preserve">konci bezprostredne predchádzajúceho </w:t>
            </w:r>
            <w:r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3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keepNext w:val="true"/>
              <w:tabs>
                <w:tab w:val="clear" w:pos="709"/>
              </w:tabs>
              <w:bidi w:val="0"/>
              <w:spacing w:before="120" w:after="120"/>
              <w:ind w:left="0" w:right="0" w:hanging="0"/>
              <w:rPr/>
            </w:pPr>
            <w:r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>
        <w:trPr>
          <w:trHeight w:val="374" w:hRule="atLeast"/>
        </w:trPr>
        <w:tc>
          <w:tcPr>
            <w:tcW w:w="3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</w:r>
          </w:p>
        </w:tc>
        <w:tc>
          <w:tcPr>
            <w:tcW w:w="3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</w:r>
          </w:p>
        </w:tc>
        <w:tc>
          <w:tcPr>
            <w:tcW w:w="3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</w:r>
          </w:p>
        </w:tc>
      </w:tr>
      <w:tr>
        <w:trPr>
          <w:trHeight w:val="374" w:hRule="atLeast"/>
        </w:trPr>
        <w:tc>
          <w:tcPr>
            <w:tcW w:w="3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bidi w:val="0"/>
              <w:spacing w:before="0" w:after="0"/>
              <w:ind w:left="0" w:right="0" w:hanging="0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</w:r>
          </w:p>
        </w:tc>
        <w:tc>
          <w:tcPr>
            <w:tcW w:w="3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bidi w:val="0"/>
              <w:spacing w:before="0" w:after="0"/>
              <w:ind w:left="0" w:right="0" w:hanging="0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</w:r>
          </w:p>
        </w:tc>
        <w:tc>
          <w:tcPr>
            <w:tcW w:w="3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bidi w:val="0"/>
              <w:spacing w:before="0" w:after="0"/>
              <w:ind w:left="0" w:right="0" w:hanging="0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</w:r>
          </w:p>
        </w:tc>
      </w:tr>
    </w:tbl>
    <w:p>
      <w:pPr>
        <w:pStyle w:val="Normalpodnadpis"/>
        <w:numPr>
          <w:ilvl w:val="0"/>
          <w:numId w:val="5"/>
        </w:numPr>
        <w:bidi w:val="0"/>
        <w:ind w:left="0" w:right="0" w:hanging="0"/>
        <w:rPr/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Údaje o štruktúre dlhodobých pôžičiek.</w:t>
      </w:r>
    </w:p>
    <w:tbl>
      <w:tblPr>
        <w:tblW w:w="10052" w:type="dxa"/>
        <w:jc w:val="left"/>
        <w:tblInd w:w="-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50"/>
        <w:gridCol w:w="3351"/>
        <w:gridCol w:w="3351"/>
      </w:tblGrid>
      <w:tr>
        <w:trPr/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keepNext w:val="true"/>
              <w:tabs>
                <w:tab w:val="clear" w:pos="709"/>
              </w:tabs>
              <w:bidi w:val="0"/>
              <w:spacing w:before="120" w:after="120"/>
              <w:ind w:left="0" w:right="0" w:hanging="0"/>
              <w:jc w:val="left"/>
              <w:rPr/>
            </w:pPr>
            <w:r>
              <w:rPr>
                <w:b/>
                <w:sz w:val="22"/>
                <w:szCs w:val="22"/>
              </w:rPr>
              <w:t>Poskytnuté dlhodobé pôžičky</w:t>
            </w:r>
          </w:p>
        </w:tc>
        <w:tc>
          <w:tcPr>
            <w:tcW w:w="3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keepNext w:val="true"/>
              <w:tabs>
                <w:tab w:val="clear" w:pos="709"/>
              </w:tabs>
              <w:bidi w:val="0"/>
              <w:spacing w:before="120" w:after="120"/>
              <w:ind w:left="0" w:right="0" w:hanging="0"/>
              <w:rPr/>
            </w:pPr>
            <w:r>
              <w:rPr>
                <w:b/>
                <w:sz w:val="22"/>
                <w:szCs w:val="22"/>
                <w:lang w:eastAsia="sk-SK"/>
              </w:rPr>
              <w:t xml:space="preserve">Stav na </w:t>
            </w:r>
            <w:r>
              <w:rPr>
                <w:b/>
                <w:sz w:val="22"/>
                <w:szCs w:val="22"/>
              </w:rPr>
              <w:t xml:space="preserve">konci bezprostredne predchádzajúceho </w:t>
            </w:r>
            <w:r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3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keepNext w:val="true"/>
              <w:tabs>
                <w:tab w:val="clear" w:pos="709"/>
              </w:tabs>
              <w:bidi w:val="0"/>
              <w:spacing w:before="120" w:after="120"/>
              <w:ind w:left="0" w:right="0" w:hanging="0"/>
              <w:rPr/>
            </w:pPr>
            <w:r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>
        <w:trPr>
          <w:trHeight w:val="374" w:hRule="atLeast"/>
        </w:trPr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</w:r>
          </w:p>
        </w:tc>
        <w:tc>
          <w:tcPr>
            <w:tcW w:w="3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</w:r>
          </w:p>
        </w:tc>
        <w:tc>
          <w:tcPr>
            <w:tcW w:w="3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</w:r>
          </w:p>
        </w:tc>
      </w:tr>
      <w:tr>
        <w:trPr>
          <w:trHeight w:val="374" w:hRule="atLeast"/>
        </w:trPr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bidi w:val="0"/>
              <w:spacing w:before="0" w:after="0"/>
              <w:ind w:left="0" w:right="0" w:hanging="0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</w:r>
          </w:p>
        </w:tc>
        <w:tc>
          <w:tcPr>
            <w:tcW w:w="3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bidi w:val="0"/>
              <w:spacing w:before="0" w:after="0"/>
              <w:ind w:left="0" w:right="0" w:hanging="0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</w:r>
          </w:p>
        </w:tc>
        <w:tc>
          <w:tcPr>
            <w:tcW w:w="3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bidi w:val="0"/>
              <w:spacing w:before="0" w:after="0"/>
              <w:ind w:left="0" w:right="0" w:hanging="0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</w:r>
          </w:p>
        </w:tc>
      </w:tr>
    </w:tbl>
    <w:p>
      <w:pPr>
        <w:pStyle w:val="Normalpodnadpis"/>
        <w:keepNext w:val="true"/>
        <w:numPr>
          <w:ilvl w:val="0"/>
          <w:numId w:val="5"/>
        </w:numPr>
        <w:bidi w:val="0"/>
        <w:ind w:left="0" w:right="0" w:hanging="0"/>
        <w:rPr/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Prehľad  o vývoji významných súm opravných položiek podľa jednotlivých druhov majetku.</w:t>
      </w:r>
    </w:p>
    <w:tbl>
      <w:tblPr>
        <w:tblW w:w="10135" w:type="dxa"/>
        <w:jc w:val="left"/>
        <w:tblInd w:w="4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7"/>
        <w:gridCol w:w="1983"/>
        <w:gridCol w:w="1844"/>
        <w:gridCol w:w="1983"/>
        <w:gridCol w:w="2128"/>
      </w:tblGrid>
      <w:tr>
        <w:trPr/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sz w:val="22"/>
                <w:szCs w:val="22"/>
              </w:rPr>
              <w:t>Druh majetku, ku ktorému sa tvorí opravná položka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sz w:val="22"/>
                <w:szCs w:val="22"/>
                <w:lang w:eastAsia="sk-SK"/>
              </w:rPr>
              <w:t xml:space="preserve">Stav opravnej položky na </w:t>
            </w:r>
            <w:r>
              <w:rPr>
                <w:b/>
                <w:sz w:val="22"/>
                <w:szCs w:val="22"/>
              </w:rPr>
              <w:t xml:space="preserve">konci bezprostredne predchádzajúceho </w:t>
            </w:r>
            <w:r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sz w:val="22"/>
                <w:szCs w:val="22"/>
                <w:lang w:eastAsia="sk-SK"/>
              </w:rPr>
              <w:t>Tvorba opravnej položky (zvýšenie)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sz w:val="22"/>
                <w:szCs w:val="22"/>
              </w:rPr>
              <w:t>Zúčtovanie opravnej položky</w:t>
            </w:r>
          </w:p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sz w:val="22"/>
                <w:szCs w:val="22"/>
              </w:rPr>
              <w:t>(použitie, zrušenie)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sz w:val="22"/>
                <w:szCs w:val="22"/>
                <w:lang w:eastAsia="sk-SK"/>
              </w:rPr>
              <w:t>Stav opravnej položky na konci bežného účtovného obdobia</w:t>
            </w:r>
          </w:p>
        </w:tc>
      </w:tr>
      <w:tr>
        <w:trPr>
          <w:trHeight w:val="374" w:hRule="atLeast"/>
        </w:trPr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  <w:highlight w:val="yellow"/>
              </w:rPr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374" w:hRule="atLeast"/>
        </w:trPr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bidi w:val="0"/>
              <w:spacing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  <w:highlight w:val="yellow"/>
              </w:rPr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374" w:hRule="atLeast"/>
        </w:trPr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bidi w:val="0"/>
              <w:spacing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  <w:highlight w:val="yellow"/>
              </w:rPr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podnadpis"/>
        <w:numPr>
          <w:ilvl w:val="0"/>
          <w:numId w:val="5"/>
        </w:numPr>
        <w:bidi w:val="0"/>
        <w:ind w:left="0" w:right="0" w:hanging="0"/>
        <w:rPr/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Opis významných súm pohľadávok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v nadväznosti na položky súvahy, v členení na pohľadávky za hlavnú nezdaňovanú činnosť a zdaňovanú činnosť za bežné účtovné obdobie.</w:t>
      </w:r>
    </w:p>
    <w:tbl>
      <w:tblPr>
        <w:tblW w:w="9738" w:type="dxa"/>
        <w:jc w:val="left"/>
        <w:tblInd w:w="-7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67"/>
        <w:gridCol w:w="2978"/>
        <w:gridCol w:w="2693"/>
      </w:tblGrid>
      <w:tr>
        <w:trPr/>
        <w:tc>
          <w:tcPr>
            <w:tcW w:w="4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120"/>
              <w:ind w:left="0" w:right="0" w:hanging="0"/>
              <w:rPr/>
            </w:pPr>
            <w:r>
              <w:rPr>
                <w:b/>
                <w:sz w:val="22"/>
                <w:szCs w:val="22"/>
              </w:rPr>
              <w:t xml:space="preserve">Druh a opis významných položiek pohľadávok 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120"/>
              <w:ind w:left="0" w:right="0" w:hanging="0"/>
              <w:jc w:val="center"/>
              <w:rPr/>
            </w:pPr>
            <w:r>
              <w:rPr>
                <w:b/>
                <w:sz w:val="22"/>
                <w:szCs w:val="22"/>
              </w:rPr>
              <w:t>Hlavná nezdaňovaná činnosť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120"/>
              <w:ind w:left="0" w:right="0" w:hanging="0"/>
              <w:jc w:val="center"/>
              <w:rPr/>
            </w:pPr>
            <w:r>
              <w:rPr>
                <w:b/>
                <w:sz w:val="22"/>
                <w:szCs w:val="22"/>
              </w:rPr>
              <w:t>Zdaňovaná činnosť</w:t>
            </w:r>
          </w:p>
        </w:tc>
      </w:tr>
      <w:tr>
        <w:trPr/>
        <w:tc>
          <w:tcPr>
            <w:tcW w:w="4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4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bidi w:val="0"/>
              <w:spacing w:before="0" w:after="0"/>
              <w:ind w:left="0" w:righ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4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bidi w:val="0"/>
              <w:spacing w:before="0" w:after="0"/>
              <w:ind w:left="0" w:righ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podnadpis"/>
        <w:keepNext w:val="true"/>
        <w:numPr>
          <w:ilvl w:val="0"/>
          <w:numId w:val="5"/>
        </w:numPr>
        <w:bidi w:val="0"/>
        <w:ind w:left="0" w:right="0" w:hanging="0"/>
        <w:rPr/>
      </w:pP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Prehľad pohľadávok do uplynutia lehoty splatnosti a po uplynutí lehoty splatnosti.</w:t>
      </w:r>
    </w:p>
    <w:tbl>
      <w:tblPr>
        <w:tblW w:w="9776" w:type="dxa"/>
        <w:jc w:val="left"/>
        <w:tblInd w:w="-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89"/>
        <w:gridCol w:w="3588"/>
        <w:gridCol w:w="3499"/>
      </w:tblGrid>
      <w:tr>
        <w:trPr/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keepNext w:val="true"/>
              <w:tabs>
                <w:tab w:val="clear" w:pos="709"/>
              </w:tabs>
              <w:bidi w:val="0"/>
              <w:spacing w:before="0" w:after="120"/>
              <w:ind w:left="0" w:right="0" w:hanging="0"/>
              <w:rPr/>
            </w:pPr>
            <w:r>
              <w:rPr>
                <w:b/>
                <w:sz w:val="22"/>
                <w:szCs w:val="22"/>
              </w:rPr>
              <w:t>Pohľadávky</w:t>
            </w:r>
          </w:p>
        </w:tc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keepNext w:val="true"/>
              <w:tabs>
                <w:tab w:val="clear" w:pos="709"/>
              </w:tabs>
              <w:bidi w:val="0"/>
              <w:spacing w:before="0" w:after="120"/>
              <w:ind w:left="0" w:right="0" w:hanging="0"/>
              <w:jc w:val="center"/>
              <w:rPr/>
            </w:pPr>
            <w:r>
              <w:rPr>
                <w:b/>
                <w:sz w:val="22"/>
                <w:szCs w:val="22"/>
                <w:lang w:eastAsia="sk-SK"/>
              </w:rPr>
              <w:t xml:space="preserve">Stav na </w:t>
            </w:r>
            <w:r>
              <w:rPr>
                <w:b/>
                <w:sz w:val="22"/>
                <w:szCs w:val="22"/>
              </w:rPr>
              <w:t xml:space="preserve">konci bezprostredne predchádzajúceho </w:t>
            </w:r>
            <w:r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keepNext w:val="true"/>
              <w:tabs>
                <w:tab w:val="clear" w:pos="709"/>
              </w:tabs>
              <w:bidi w:val="0"/>
              <w:spacing w:before="0" w:after="120"/>
              <w:ind w:left="0" w:right="0" w:hanging="0"/>
              <w:jc w:val="center"/>
              <w:rPr/>
            </w:pPr>
            <w:r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>
        <w:trPr/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120"/>
              <w:ind w:left="0" w:right="0" w:hanging="0"/>
              <w:jc w:val="left"/>
              <w:rPr/>
            </w:pPr>
            <w:r>
              <w:rPr>
                <w:sz w:val="22"/>
                <w:szCs w:val="22"/>
              </w:rPr>
              <w:t>- do uplynutia lehoty splatnosti</w:t>
            </w:r>
          </w:p>
        </w:tc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bidi w:val="0"/>
              <w:spacing w:before="0" w:after="120"/>
              <w:ind w:left="0" w:right="0" w:hanging="0"/>
              <w:jc w:val="left"/>
              <w:rPr/>
            </w:pPr>
            <w:r>
              <w:rPr>
                <w:sz w:val="22"/>
                <w:szCs w:val="22"/>
              </w:rPr>
              <w:t>- po uplynutí lehoty splatnosti</w:t>
            </w:r>
          </w:p>
        </w:tc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bidi w:val="0"/>
              <w:spacing w:before="0" w:after="120"/>
              <w:ind w:left="0" w:right="0" w:hanging="0"/>
              <w:jc w:val="left"/>
              <w:rPr/>
            </w:pPr>
            <w:r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</w:tbl>
    <w:p>
      <w:pPr>
        <w:pStyle w:val="Normalpodnadpis"/>
        <w:numPr>
          <w:ilvl w:val="0"/>
          <w:numId w:val="5"/>
        </w:numPr>
        <w:bidi w:val="0"/>
        <w:ind w:left="0" w:right="0" w:hanging="0"/>
        <w:rPr/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Prehľad o významných položkách časového rozlíšenia nákladov budúcich období a príjmov budúcich období.</w:t>
      </w:r>
    </w:p>
    <w:p>
      <w:pPr>
        <w:pStyle w:val="Normalpodnadpis"/>
        <w:numPr>
          <w:ilvl w:val="0"/>
          <w:numId w:val="5"/>
        </w:numPr>
        <w:bidi w:val="0"/>
        <w:ind w:left="0" w:right="0" w:hanging="0"/>
        <w:rPr/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Opis a výška zmien vlastného imania v priebehu bežného účtovného obdobia podľa položiek súvahy.</w:t>
      </w:r>
    </w:p>
    <w:tbl>
      <w:tblPr>
        <w:tblW w:w="10014" w:type="dxa"/>
        <w:jc w:val="left"/>
        <w:tblInd w:w="-7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1"/>
        <w:gridCol w:w="2026"/>
        <w:gridCol w:w="1431"/>
        <w:gridCol w:w="1274"/>
        <w:gridCol w:w="1396"/>
        <w:gridCol w:w="1885"/>
      </w:tblGrid>
      <w:tr>
        <w:trPr/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left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sz w:val="22"/>
                <w:szCs w:val="22"/>
                <w:lang w:eastAsia="sk-SK"/>
              </w:rPr>
              <w:t xml:space="preserve">Stav na </w:t>
            </w:r>
            <w:r>
              <w:rPr>
                <w:b/>
                <w:sz w:val="22"/>
                <w:szCs w:val="22"/>
              </w:rPr>
              <w:t xml:space="preserve">začiatku bežného </w:t>
            </w:r>
            <w:r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sz w:val="22"/>
                <w:szCs w:val="22"/>
              </w:rPr>
              <w:t>Prírastky</w:t>
            </w:r>
          </w:p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sz w:val="22"/>
                <w:szCs w:val="22"/>
              </w:rPr>
              <w:t>(+)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sz w:val="22"/>
                <w:szCs w:val="22"/>
              </w:rPr>
              <w:t>Úbytky</w:t>
            </w:r>
          </w:p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sz w:val="22"/>
                <w:szCs w:val="22"/>
              </w:rPr>
              <w:t>(-)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sz w:val="22"/>
                <w:szCs w:val="22"/>
              </w:rPr>
              <w:t>Presuny</w:t>
            </w:r>
          </w:p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sz w:val="22"/>
                <w:szCs w:val="22"/>
              </w:rPr>
              <w:t>(+, -)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>
        <w:trPr>
          <w:trHeight w:val="391" w:hRule="atLeast"/>
        </w:trPr>
        <w:tc>
          <w:tcPr>
            <w:tcW w:w="100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b/>
                <w:sz w:val="22"/>
                <w:szCs w:val="22"/>
              </w:rPr>
              <w:t>Vlastné imanie</w:t>
            </w:r>
          </w:p>
        </w:tc>
      </w:tr>
      <w:tr>
        <w:trPr>
          <w:trHeight w:val="391" w:hRule="atLeast"/>
        </w:trPr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sz w:val="22"/>
                <w:szCs w:val="22"/>
              </w:rPr>
              <w:t>Základné imanie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280" w:hRule="atLeast"/>
        </w:trPr>
        <w:tc>
          <w:tcPr>
            <w:tcW w:w="100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sz w:val="22"/>
                <w:szCs w:val="22"/>
              </w:rPr>
              <w:t>z toho:</w:t>
            </w:r>
          </w:p>
        </w:tc>
      </w:tr>
      <w:tr>
        <w:trPr/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sz w:val="22"/>
                <w:szCs w:val="22"/>
              </w:rPr>
              <w:t>- nadačné imanie v nadácii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391" w:hRule="atLeast"/>
        </w:trPr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sz w:val="22"/>
                <w:szCs w:val="22"/>
              </w:rPr>
              <w:t>- vklady zakladateľov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391" w:hRule="atLeast"/>
        </w:trPr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sz w:val="22"/>
                <w:szCs w:val="22"/>
              </w:rPr>
              <w:t>- prioritný majetok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sz w:val="22"/>
                <w:szCs w:val="22"/>
              </w:rPr>
              <w:t>Fondy tvorené podľa osobitných predpisov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391" w:hRule="atLeast"/>
        </w:trPr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sz w:val="22"/>
                <w:szCs w:val="22"/>
              </w:rPr>
              <w:t>Fond reprodukcie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sz w:val="22"/>
                <w:szCs w:val="22"/>
              </w:rPr>
              <w:t>Oceňovacie rozdiely z precenenia kapitálových účastín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391" w:hRule="atLeast"/>
        </w:trPr>
        <w:tc>
          <w:tcPr>
            <w:tcW w:w="100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sz w:val="22"/>
                <w:szCs w:val="22"/>
              </w:rPr>
              <w:t>Fondy tvorené zo zisku</w:t>
            </w:r>
          </w:p>
        </w:tc>
      </w:tr>
      <w:tr>
        <w:trPr>
          <w:trHeight w:val="391" w:hRule="atLeast"/>
        </w:trPr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sz w:val="22"/>
                <w:szCs w:val="22"/>
              </w:rPr>
              <w:t>Rezervný fond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391" w:hRule="atLeast"/>
        </w:trPr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sz w:val="22"/>
                <w:szCs w:val="22"/>
              </w:rPr>
              <w:t>Fondy tvorené zo zisku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391" w:hRule="atLeast"/>
        </w:trPr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sz w:val="22"/>
                <w:szCs w:val="22"/>
              </w:rPr>
              <w:t>Ostatné fondy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391" w:hRule="atLeast"/>
        </w:trPr>
        <w:tc>
          <w:tcPr>
            <w:tcW w:w="100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sz w:val="22"/>
                <w:szCs w:val="22"/>
              </w:rPr>
              <w:t>Výsledok hospodárenia</w:t>
            </w:r>
          </w:p>
        </w:tc>
      </w:tr>
      <w:tr>
        <w:trPr/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sz w:val="22"/>
                <w:szCs w:val="22"/>
              </w:rPr>
              <w:t>Nevysporiadaný výsledok hospodárenia minulých rokov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sz w:val="22"/>
                <w:szCs w:val="22"/>
              </w:rPr>
              <w:t>Výsledok hospodárenia účtovného obdobia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391" w:hRule="atLeast"/>
        </w:trPr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</w:tbl>
    <w:p>
      <w:pPr>
        <w:pStyle w:val="Normalpodnadpis"/>
        <w:keepNext w:val="true"/>
        <w:numPr>
          <w:ilvl w:val="0"/>
          <w:numId w:val="5"/>
        </w:numPr>
        <w:bidi w:val="0"/>
        <w:ind w:left="0" w:right="0" w:hanging="0"/>
        <w:rPr/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Opis a vyčíslenie jednotlivých druhov fondov tvorených podľa osobitných predpisov.</w:t>
      </w:r>
    </w:p>
    <w:tbl>
      <w:tblPr>
        <w:tblW w:w="10157" w:type="dxa"/>
        <w:jc w:val="left"/>
        <w:tblInd w:w="-7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6"/>
        <w:gridCol w:w="2365"/>
        <w:gridCol w:w="1464"/>
        <w:gridCol w:w="1859"/>
        <w:gridCol w:w="1923"/>
      </w:tblGrid>
      <w:tr>
        <w:trPr/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b/>
                <w:sz w:val="22"/>
                <w:szCs w:val="22"/>
              </w:rPr>
              <w:t>Opis fondov tvorených podľa osobitných predpisov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sz w:val="22"/>
                <w:szCs w:val="22"/>
              </w:rPr>
              <w:t>Stav na konci bezprostredne predchádzajúceho účtovného obdobia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sz w:val="22"/>
                <w:szCs w:val="22"/>
              </w:rPr>
              <w:t>Prírastky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sz w:val="22"/>
                <w:szCs w:val="22"/>
              </w:rPr>
              <w:t>Úbytky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sz w:val="22"/>
                <w:szCs w:val="22"/>
              </w:rPr>
              <w:t>Stav na konci bežného účtovného obdobia</w:t>
            </w:r>
          </w:p>
        </w:tc>
      </w:tr>
      <w:tr>
        <w:trPr>
          <w:trHeight w:val="373" w:hRule="atLeast"/>
        </w:trPr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407" w:hRule="atLeast"/>
        </w:trPr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413" w:hRule="atLeast"/>
        </w:trPr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podnadpis"/>
        <w:keepNext w:val="true"/>
        <w:numPr>
          <w:ilvl w:val="0"/>
          <w:numId w:val="5"/>
        </w:numPr>
        <w:bidi w:val="0"/>
        <w:ind w:left="0" w:right="0" w:hanging="0"/>
        <w:rPr/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Informácia o rozdelení účtovného zisku alebo o vysporiadaní účtovnej straty za bezprostredne predchádzajúce účtovné obdobie.</w:t>
      </w:r>
    </w:p>
    <w:tbl>
      <w:tblPr>
        <w:tblW w:w="9890" w:type="dxa"/>
        <w:jc w:val="left"/>
        <w:tblInd w:w="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44"/>
        <w:gridCol w:w="5245"/>
      </w:tblGrid>
      <w:tr>
        <w:trPr>
          <w:trHeight w:val="765" w:hRule="atLeast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opHeader"/>
              <w:keepNext w:val="true"/>
              <w:tabs>
                <w:tab w:val="clear" w:pos="709"/>
              </w:tabs>
              <w:bidi w:val="0"/>
              <w:ind w:left="0" w:right="0" w:hanging="0"/>
              <w:rPr/>
            </w:pPr>
            <w:r>
              <w:rPr>
                <w:rFonts w:cs="Arial"/>
              </w:rPr>
              <w:t>Názov položky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opHeader"/>
              <w:keepNext w:val="true"/>
              <w:tabs>
                <w:tab w:val="clear" w:pos="709"/>
              </w:tabs>
              <w:bidi w:val="0"/>
              <w:ind w:left="0" w:right="0" w:hanging="0"/>
              <w:rPr/>
            </w:pPr>
            <w:r>
              <w:rPr>
                <w:rFonts w:cs="Arial"/>
              </w:rPr>
              <w:t>Bezprostredne predchádzajúce účtovné obdobie</w:t>
            </w:r>
          </w:p>
        </w:tc>
      </w:tr>
      <w:tr>
        <w:trPr>
          <w:trHeight w:val="330" w:hRule="atLeast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bCs/>
                <w:color w:val="000000"/>
                <w:sz w:val="22"/>
                <w:szCs w:val="22"/>
              </w:rPr>
              <w:t>Účtovný zisk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9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bCs/>
                <w:color w:val="000000"/>
                <w:sz w:val="22"/>
                <w:szCs w:val="22"/>
              </w:rPr>
              <w:t>Rozdelenie účtovného zisku</w:t>
            </w:r>
          </w:p>
        </w:tc>
      </w:tr>
      <w:tr>
        <w:trPr>
          <w:trHeight w:val="330" w:hRule="atLeast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color w:val="000000"/>
                <w:sz w:val="22"/>
                <w:szCs w:val="22"/>
              </w:rPr>
              <w:t>Prídel do základného imania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bidi w:val="0"/>
              <w:spacing w:before="0" w:after="0"/>
              <w:ind w:left="0" w:right="0" w:hanging="0"/>
              <w:rPr/>
            </w:pPr>
            <w:r>
              <w:rPr>
                <w:color w:val="000000"/>
                <w:sz w:val="22"/>
                <w:szCs w:val="22"/>
              </w:rPr>
              <w:t>Prídel do f</w:t>
            </w:r>
            <w:r>
              <w:rPr>
                <w:sz w:val="22"/>
                <w:szCs w:val="22"/>
              </w:rPr>
              <w:t>ondov tvorených podľa osobitných predpisov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bidi w:val="0"/>
              <w:spacing w:before="0" w:after="0"/>
              <w:ind w:left="0" w:right="0" w:hanging="0"/>
              <w:rPr/>
            </w:pPr>
            <w:r>
              <w:rPr>
                <w:color w:val="000000"/>
                <w:sz w:val="22"/>
                <w:szCs w:val="22"/>
              </w:rPr>
              <w:t>Prídel do fondu reprodukcie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bidi w:val="0"/>
              <w:spacing w:before="0" w:after="0"/>
              <w:ind w:left="0" w:right="0" w:hanging="0"/>
              <w:rPr/>
            </w:pPr>
            <w:r>
              <w:rPr>
                <w:color w:val="000000"/>
                <w:sz w:val="22"/>
                <w:szCs w:val="22"/>
              </w:rPr>
              <w:t>Prídel do rezervného fondu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bidi w:val="0"/>
              <w:spacing w:before="0" w:after="0"/>
              <w:ind w:left="0" w:right="0" w:hanging="0"/>
              <w:rPr/>
            </w:pPr>
            <w:r>
              <w:rPr>
                <w:color w:val="000000"/>
                <w:sz w:val="22"/>
                <w:szCs w:val="22"/>
              </w:rPr>
              <w:t>Prídel do fondov tvorených zo zisku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bidi w:val="0"/>
              <w:spacing w:before="0" w:after="0"/>
              <w:ind w:left="0" w:right="0" w:hanging="0"/>
              <w:rPr/>
            </w:pPr>
            <w:r>
              <w:rPr>
                <w:color w:val="000000"/>
                <w:sz w:val="22"/>
                <w:szCs w:val="22"/>
              </w:rPr>
              <w:t>Prídel do ostatných fondov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bidi w:val="0"/>
              <w:spacing w:before="0" w:after="0"/>
              <w:ind w:left="0" w:right="0" w:hanging="0"/>
              <w:rPr/>
            </w:pPr>
            <w:r>
              <w:rPr>
                <w:color w:val="000000"/>
                <w:sz w:val="22"/>
                <w:szCs w:val="22"/>
              </w:rPr>
              <w:t>Úhrada straty minulých období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bidi w:val="0"/>
              <w:spacing w:before="0" w:after="0"/>
              <w:ind w:left="0" w:right="0" w:hanging="0"/>
              <w:rPr/>
            </w:pPr>
            <w:r>
              <w:rPr>
                <w:color w:val="000000"/>
                <w:sz w:val="22"/>
                <w:szCs w:val="22"/>
              </w:rPr>
              <w:t xml:space="preserve">Prevod do sociálneho fondu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bidi w:val="0"/>
              <w:spacing w:before="0" w:after="0"/>
              <w:ind w:left="0" w:right="0" w:hanging="0"/>
              <w:rPr/>
            </w:pPr>
            <w:r>
              <w:rPr>
                <w:color w:val="000000"/>
                <w:sz w:val="22"/>
                <w:szCs w:val="22"/>
              </w:rPr>
              <w:t>Prevod  do n</w:t>
            </w:r>
            <w:r>
              <w:rPr>
                <w:sz w:val="22"/>
                <w:szCs w:val="22"/>
              </w:rPr>
              <w:t>evysporiadaného výsledku hospodárenia minulých rokov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bidi w:val="0"/>
              <w:spacing w:before="0" w:after="0"/>
              <w:ind w:left="0" w:right="0" w:hanging="0"/>
              <w:rPr/>
            </w:pPr>
            <w:r>
              <w:rPr>
                <w:color w:val="000000"/>
                <w:sz w:val="22"/>
                <w:szCs w:val="22"/>
              </w:rPr>
              <w:t xml:space="preserve">Iné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bidi w:val="0"/>
              <w:spacing w:before="0" w:after="0"/>
              <w:ind w:left="0" w:right="0" w:hanging="0"/>
              <w:rPr/>
            </w:pPr>
            <w:r>
              <w:rPr>
                <w:b/>
                <w:bCs/>
                <w:color w:val="000000"/>
                <w:sz w:val="22"/>
                <w:szCs w:val="22"/>
              </w:rPr>
              <w:t>Účtovná strata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9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bCs/>
                <w:color w:val="000000"/>
                <w:sz w:val="22"/>
                <w:szCs w:val="22"/>
              </w:rPr>
              <w:t>Vysporiadanie účtovnej straty</w:t>
            </w:r>
          </w:p>
        </w:tc>
      </w:tr>
      <w:tr>
        <w:trPr>
          <w:trHeight w:val="330" w:hRule="atLeast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color w:val="000000"/>
                <w:sz w:val="22"/>
                <w:szCs w:val="22"/>
              </w:rPr>
              <w:t>Zo základného imania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bidi w:val="0"/>
              <w:spacing w:before="0" w:after="0"/>
              <w:ind w:left="0" w:right="0" w:hanging="0"/>
              <w:rPr/>
            </w:pPr>
            <w:r>
              <w:rPr>
                <w:color w:val="000000"/>
                <w:sz w:val="22"/>
                <w:szCs w:val="22"/>
              </w:rPr>
              <w:t>Z rezervného fondu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bidi w:val="0"/>
              <w:spacing w:before="0" w:after="0"/>
              <w:ind w:left="0" w:right="0" w:hanging="0"/>
              <w:rPr/>
            </w:pPr>
            <w:r>
              <w:rPr>
                <w:color w:val="000000"/>
                <w:sz w:val="22"/>
                <w:szCs w:val="22"/>
              </w:rPr>
              <w:t>Z fondov tvorených zo zisku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bidi w:val="0"/>
              <w:spacing w:before="0" w:after="0"/>
              <w:ind w:left="0" w:right="0" w:hanging="0"/>
              <w:rPr/>
            </w:pPr>
            <w:r>
              <w:rPr>
                <w:color w:val="000000"/>
                <w:sz w:val="22"/>
                <w:szCs w:val="22"/>
              </w:rPr>
              <w:t>Z ostatných fondov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bidi w:val="0"/>
              <w:spacing w:before="0" w:after="0"/>
              <w:ind w:left="0" w:right="0" w:hanging="0"/>
              <w:rPr/>
            </w:pPr>
            <w:r>
              <w:rPr>
                <w:color w:val="000000"/>
                <w:sz w:val="22"/>
                <w:szCs w:val="22"/>
              </w:rPr>
              <w:t>Z nerozdeleného zisku minulých rokov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bidi w:val="0"/>
              <w:spacing w:before="0" w:after="0"/>
              <w:ind w:left="0" w:right="0" w:hanging="0"/>
              <w:rPr/>
            </w:pPr>
            <w:r>
              <w:rPr>
                <w:color w:val="000000"/>
                <w:sz w:val="22"/>
                <w:szCs w:val="22"/>
              </w:rPr>
              <w:t>Prevod do n</w:t>
            </w:r>
            <w:r>
              <w:rPr>
                <w:sz w:val="22"/>
                <w:szCs w:val="22"/>
              </w:rPr>
              <w:t>evysporiadaného výsledku hospodárenia minulých rokov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bidi w:val="0"/>
              <w:spacing w:before="0" w:after="0"/>
              <w:ind w:left="0" w:right="0" w:hanging="0"/>
              <w:rPr/>
            </w:pPr>
            <w:r>
              <w:rPr>
                <w:color w:val="000000"/>
                <w:sz w:val="22"/>
                <w:szCs w:val="22"/>
              </w:rPr>
              <w:t xml:space="preserve">Iné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</w:tr>
    </w:tbl>
    <w:p>
      <w:pPr>
        <w:pStyle w:val="Normalpodnadpis"/>
        <w:numPr>
          <w:ilvl w:val="0"/>
          <w:numId w:val="5"/>
        </w:numPr>
        <w:bidi w:val="0"/>
        <w:ind w:left="0" w:right="0" w:hanging="0"/>
        <w:rPr/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Údaje o jednotlivých druhoch rezerv v členení na stav rezerv na konci bezprostredne predchádzajúceho účtovného obdobia a stav rezerv na konci bežného účtovného obdobia, ich tvorbu, použitie alebo zrušenie v priebehu bežného účtovného obdobia.</w:t>
      </w:r>
    </w:p>
    <w:tbl>
      <w:tblPr>
        <w:tblW w:w="10086" w:type="dxa"/>
        <w:jc w:val="left"/>
        <w:tblInd w:w="-2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4"/>
        <w:gridCol w:w="1801"/>
        <w:gridCol w:w="1354"/>
        <w:gridCol w:w="1465"/>
        <w:gridCol w:w="1492"/>
        <w:gridCol w:w="1729"/>
      </w:tblGrid>
      <w:tr>
        <w:trPr/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keepNext w:val="true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sz w:val="22"/>
                <w:szCs w:val="22"/>
              </w:rPr>
              <w:t>Druh rezervy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sz w:val="22"/>
                <w:szCs w:val="22"/>
                <w:lang w:eastAsia="sk-SK"/>
              </w:rPr>
              <w:t xml:space="preserve">Stav na </w:t>
            </w:r>
            <w:r>
              <w:rPr>
                <w:b/>
                <w:sz w:val="22"/>
                <w:szCs w:val="22"/>
              </w:rPr>
              <w:t xml:space="preserve">konci bezprostredne predchádzajúceho </w:t>
            </w:r>
            <w:r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sz w:val="22"/>
                <w:szCs w:val="22"/>
              </w:rPr>
              <w:t>Tvorba rezerv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sz w:val="22"/>
                <w:szCs w:val="22"/>
              </w:rPr>
              <w:t>Použitie rezerv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sz w:val="22"/>
                <w:szCs w:val="22"/>
              </w:rPr>
              <w:t>Zrušenie rezerv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>
        <w:trPr/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bidi w:val="0"/>
              <w:spacing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b/>
                <w:sz w:val="22"/>
                <w:szCs w:val="22"/>
              </w:rPr>
              <w:t>Zákonné rezervy spolu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bidi w:val="0"/>
              <w:spacing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bidi w:val="0"/>
              <w:spacing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b/>
                <w:sz w:val="22"/>
                <w:szCs w:val="22"/>
              </w:rPr>
              <w:t>Ostatné rezervy spolu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374" w:hRule="atLeast"/>
        </w:trPr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b/>
                <w:sz w:val="22"/>
                <w:szCs w:val="22"/>
              </w:rPr>
              <w:t>Rezervy spolu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podnadpis"/>
        <w:keepNext w:val="true"/>
        <w:numPr>
          <w:ilvl w:val="0"/>
          <w:numId w:val="5"/>
        </w:numPr>
        <w:bidi w:val="0"/>
        <w:ind w:left="142" w:right="0" w:hanging="142"/>
        <w:rPr/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Údaje o významných sumách záväzkov v nadväznosti na položky súvahy, v členení na záväzky za hlavnú nezdaňovanú činnosť a zdaňovanú činnosť.</w:t>
      </w:r>
    </w:p>
    <w:tbl>
      <w:tblPr>
        <w:tblW w:w="10014" w:type="dxa"/>
        <w:jc w:val="left"/>
        <w:tblInd w:w="4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21"/>
        <w:gridCol w:w="3080"/>
        <w:gridCol w:w="2513"/>
      </w:tblGrid>
      <w:tr>
        <w:trPr/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keepNext w:val="true"/>
              <w:tabs>
                <w:tab w:val="clear" w:pos="709"/>
              </w:tabs>
              <w:bidi w:val="0"/>
              <w:spacing w:before="0" w:after="120"/>
              <w:ind w:left="0" w:right="0" w:hanging="0"/>
              <w:rPr/>
            </w:pPr>
            <w:r>
              <w:rPr>
                <w:b/>
                <w:sz w:val="22"/>
                <w:szCs w:val="22"/>
              </w:rPr>
              <w:t xml:space="preserve">Druh a opis významných položiek záväzkov 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keepNext w:val="true"/>
              <w:tabs>
                <w:tab w:val="clear" w:pos="709"/>
              </w:tabs>
              <w:bidi w:val="0"/>
              <w:spacing w:before="0" w:after="120"/>
              <w:ind w:left="0" w:right="0" w:hanging="0"/>
              <w:jc w:val="center"/>
              <w:rPr/>
            </w:pPr>
            <w:r>
              <w:rPr>
                <w:b/>
                <w:sz w:val="22"/>
                <w:szCs w:val="22"/>
              </w:rPr>
              <w:t>Hlavná nezdaňovaná činnosť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keepNext w:val="true"/>
              <w:tabs>
                <w:tab w:val="clear" w:pos="709"/>
              </w:tabs>
              <w:bidi w:val="0"/>
              <w:spacing w:before="0" w:after="120"/>
              <w:ind w:left="0" w:right="0" w:hanging="0"/>
              <w:jc w:val="center"/>
              <w:rPr/>
            </w:pPr>
            <w:r>
              <w:rPr>
                <w:b/>
                <w:sz w:val="22"/>
                <w:szCs w:val="22"/>
              </w:rPr>
              <w:t>Zdaňovaná činnosť</w:t>
            </w:r>
          </w:p>
        </w:tc>
      </w:tr>
      <w:tr>
        <w:trPr/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bidi w:val="0"/>
              <w:spacing w:before="0" w:after="0"/>
              <w:ind w:left="0" w:righ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bidi w:val="0"/>
              <w:spacing w:before="0" w:after="0"/>
              <w:ind w:left="0" w:righ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podnadpis"/>
        <w:keepNext w:val="true"/>
        <w:numPr>
          <w:ilvl w:val="0"/>
          <w:numId w:val="5"/>
        </w:numPr>
        <w:bidi w:val="0"/>
        <w:spacing w:before="240" w:after="120"/>
        <w:ind w:left="142" w:right="0" w:hanging="0"/>
        <w:rPr/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Prehľad záväzkov do uplynutia lehoty splatnosti a po uplynutí lehoty splatnosti.</w:t>
      </w:r>
    </w:p>
    <w:tbl>
      <w:tblPr>
        <w:tblW w:w="9915" w:type="dxa"/>
        <w:jc w:val="left"/>
        <w:tblInd w:w="14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21"/>
        <w:gridCol w:w="2750"/>
        <w:gridCol w:w="3044"/>
      </w:tblGrid>
      <w:tr>
        <w:trPr>
          <w:trHeight w:val="608" w:hRule="atLeast"/>
        </w:trPr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keepNext w:val="true"/>
              <w:tabs>
                <w:tab w:val="clear" w:pos="709"/>
              </w:tabs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b/>
                <w:sz w:val="22"/>
                <w:szCs w:val="22"/>
              </w:rPr>
              <w:t>Záväzky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keepNext w:val="true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sz w:val="22"/>
                <w:szCs w:val="22"/>
                <w:lang w:eastAsia="sk-SK"/>
              </w:rPr>
              <w:t>Stav na konci bezprostredne predchádzajúceho účtovného obdobia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keepNext w:val="true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>
        <w:trPr>
          <w:trHeight w:val="374" w:hRule="atLeast"/>
        </w:trPr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sz w:val="22"/>
                <w:szCs w:val="22"/>
              </w:rPr>
              <w:t xml:space="preserve">- do uplynutia lehoty splatnosti 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left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left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</w:r>
          </w:p>
        </w:tc>
      </w:tr>
      <w:tr>
        <w:trPr>
          <w:trHeight w:val="374" w:hRule="atLeast"/>
        </w:trPr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sz w:val="22"/>
                <w:szCs w:val="22"/>
              </w:rPr>
              <w:t>- po uplynutí lehoty splatnosti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374" w:hRule="atLeast"/>
        </w:trPr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bidi w:val="0"/>
              <w:spacing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bidi w:val="0"/>
              <w:spacing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podnadpis"/>
        <w:numPr>
          <w:ilvl w:val="0"/>
          <w:numId w:val="5"/>
        </w:numPr>
        <w:bidi w:val="0"/>
        <w:spacing w:before="240" w:after="120"/>
        <w:ind w:left="142" w:right="0" w:hanging="0"/>
        <w:rPr/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Prehľad o začiatočnom stave, tvorbe, čerpaní a konečnom zostatku sociálneho fondu v priebehu bežného účtovného obdobia. </w:t>
      </w:r>
    </w:p>
    <w:tbl>
      <w:tblPr>
        <w:tblW w:w="9426" w:type="dxa"/>
        <w:jc w:val="left"/>
        <w:tblInd w:w="18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40"/>
        <w:gridCol w:w="3685"/>
      </w:tblGrid>
      <w:tr>
        <w:trPr>
          <w:trHeight w:val="447" w:hRule="atLeast"/>
        </w:trPr>
        <w:tc>
          <w:tcPr>
            <w:tcW w:w="5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b/>
                <w:sz w:val="22"/>
                <w:szCs w:val="22"/>
              </w:rPr>
              <w:t>Sociálny fond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sz w:val="22"/>
                <w:szCs w:val="22"/>
                <w:lang w:eastAsia="sk-SK"/>
              </w:rPr>
              <w:t>Suma</w:t>
            </w:r>
          </w:p>
        </w:tc>
      </w:tr>
      <w:tr>
        <w:trPr>
          <w:trHeight w:val="510" w:hRule="atLeast"/>
        </w:trPr>
        <w:tc>
          <w:tcPr>
            <w:tcW w:w="5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b/>
                <w:sz w:val="22"/>
                <w:szCs w:val="22"/>
              </w:rPr>
              <w:t>Stav k prvému dňu bežného účtovného obdobia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left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>
          <w:trHeight w:val="374" w:hRule="atLeast"/>
        </w:trPr>
        <w:tc>
          <w:tcPr>
            <w:tcW w:w="5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sz w:val="22"/>
                <w:szCs w:val="22"/>
              </w:rPr>
              <w:t>Tvorba na ťarchu nákladov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374" w:hRule="atLeast"/>
        </w:trPr>
        <w:tc>
          <w:tcPr>
            <w:tcW w:w="5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sz w:val="22"/>
                <w:szCs w:val="22"/>
              </w:rPr>
              <w:t>Tvorba zo zisku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bidi w:val="0"/>
              <w:spacing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374" w:hRule="atLeast"/>
        </w:trPr>
        <w:tc>
          <w:tcPr>
            <w:tcW w:w="5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sz w:val="22"/>
                <w:szCs w:val="22"/>
              </w:rPr>
              <w:t>Čerpanie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bidi w:val="0"/>
              <w:spacing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557" w:hRule="atLeast"/>
        </w:trPr>
        <w:tc>
          <w:tcPr>
            <w:tcW w:w="5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b/>
                <w:sz w:val="22"/>
                <w:szCs w:val="22"/>
              </w:rPr>
              <w:t>Stav k poslednému dňu bežného účtovného obdobia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left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</w:tbl>
    <w:p>
      <w:pPr>
        <w:pStyle w:val="Normalpodnadpis"/>
        <w:numPr>
          <w:ilvl w:val="0"/>
          <w:numId w:val="5"/>
        </w:numPr>
        <w:bidi w:val="0"/>
        <w:spacing w:before="240" w:after="120"/>
        <w:ind w:left="142" w:right="0" w:hanging="0"/>
        <w:rPr/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Prehľad o bankových úveroch, pôžičkách a návratných finančných výpomociach s uvedením meny. </w:t>
      </w:r>
    </w:p>
    <w:tbl>
      <w:tblPr>
        <w:tblW w:w="9426" w:type="dxa"/>
        <w:jc w:val="left"/>
        <w:tblInd w:w="18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37"/>
        <w:gridCol w:w="851"/>
        <w:gridCol w:w="1134"/>
        <w:gridCol w:w="1276"/>
        <w:gridCol w:w="1842"/>
        <w:gridCol w:w="1985"/>
      </w:tblGrid>
      <w:tr>
        <w:trPr/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sz w:val="22"/>
                <w:szCs w:val="22"/>
              </w:rPr>
              <w:t>Druh cudzieho zdroja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sz w:val="22"/>
                <w:szCs w:val="22"/>
                <w:lang w:eastAsia="sk-SK"/>
              </w:rPr>
              <w:t>Mena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sz w:val="22"/>
                <w:szCs w:val="22"/>
              </w:rPr>
              <w:t>Výška úroku v 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sz w:val="22"/>
                <w:szCs w:val="22"/>
              </w:rPr>
              <w:t>Splatnosť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sz w:val="22"/>
                <w:szCs w:val="22"/>
              </w:rPr>
              <w:t>Forma zabezpečenia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sz w:val="22"/>
                <w:szCs w:val="22"/>
                <w:lang w:eastAsia="sk-SK"/>
              </w:rPr>
              <w:t>Suma istiny na konci bežného účtovného obdobia</w:t>
            </w:r>
          </w:p>
        </w:tc>
      </w:tr>
      <w:tr>
        <w:trPr>
          <w:trHeight w:val="374" w:hRule="atLeast"/>
        </w:trPr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sz w:val="22"/>
                <w:szCs w:val="22"/>
              </w:rPr>
              <w:t>Krátkodobý bankový úver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374" w:hRule="atLeast"/>
        </w:trPr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sz w:val="22"/>
                <w:szCs w:val="22"/>
              </w:rPr>
              <w:t>Pôžička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bidi w:val="0"/>
              <w:spacing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bidi w:val="0"/>
              <w:spacing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bidi w:val="0"/>
              <w:spacing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bidi w:val="0"/>
              <w:spacing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bidi w:val="0"/>
              <w:spacing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374" w:hRule="atLeast"/>
        </w:trPr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sz w:val="22"/>
                <w:szCs w:val="22"/>
              </w:rPr>
              <w:t>Návratná finančná výpomoc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bidi w:val="0"/>
              <w:spacing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bidi w:val="0"/>
              <w:spacing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bidi w:val="0"/>
              <w:spacing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bidi w:val="0"/>
              <w:spacing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bidi w:val="0"/>
              <w:spacing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374" w:hRule="atLeast"/>
        </w:trPr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sz w:val="22"/>
                <w:szCs w:val="22"/>
              </w:rPr>
              <w:t>Dlhodobý bankový úver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bidi w:val="0"/>
              <w:spacing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bidi w:val="0"/>
              <w:spacing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bidi w:val="0"/>
              <w:spacing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bidi w:val="0"/>
              <w:spacing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bidi w:val="0"/>
              <w:spacing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374" w:hRule="atLeast"/>
        </w:trPr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bidi w:val="0"/>
              <w:spacing w:before="0" w:after="0"/>
              <w:ind w:left="0" w:right="0" w:hanging="0"/>
              <w:jc w:val="left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bidi w:val="0"/>
              <w:spacing w:before="0" w:after="0"/>
              <w:ind w:left="0" w:right="0" w:hanging="0"/>
              <w:jc w:val="left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bidi w:val="0"/>
              <w:spacing w:before="0" w:after="0"/>
              <w:ind w:left="0" w:right="0" w:hanging="0"/>
              <w:jc w:val="left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bidi w:val="0"/>
              <w:spacing w:before="0" w:after="0"/>
              <w:ind w:left="0" w:right="0" w:hanging="0"/>
              <w:jc w:val="left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bidi w:val="0"/>
              <w:spacing w:before="0" w:after="0"/>
              <w:ind w:left="0" w:right="0" w:hanging="0"/>
              <w:jc w:val="left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</w:tbl>
    <w:p>
      <w:pPr>
        <w:pStyle w:val="Normalpodnadpis"/>
        <w:numPr>
          <w:ilvl w:val="0"/>
          <w:numId w:val="5"/>
        </w:numPr>
        <w:bidi w:val="0"/>
        <w:spacing w:before="240" w:after="120"/>
        <w:ind w:left="142" w:right="0" w:hanging="0"/>
        <w:rPr/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Prehľad o významných položkách časového rozlíšenia výdavkov budúcich období.</w:t>
      </w:r>
    </w:p>
    <w:p>
      <w:pPr>
        <w:pStyle w:val="Normalpodnadpis"/>
        <w:keepNext w:val="true"/>
        <w:numPr>
          <w:ilvl w:val="0"/>
          <w:numId w:val="5"/>
        </w:numPr>
        <w:bidi w:val="0"/>
        <w:spacing w:before="0" w:after="120"/>
        <w:ind w:left="142" w:right="0" w:hanging="0"/>
        <w:rPr/>
      </w:pP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Prehľad výnosov budúcich období v členení podľa jednotlivých druhov a v členení na dlhodobé výnosy budúcich období a krátkodobé výnosy budúcich období.</w:t>
      </w:r>
    </w:p>
    <w:tbl>
      <w:tblPr>
        <w:tblW w:w="9526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31"/>
        <w:gridCol w:w="2977"/>
        <w:gridCol w:w="3118"/>
      </w:tblGrid>
      <w:tr>
        <w:trPr/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120"/>
              <w:ind w:left="0" w:right="0" w:hanging="0"/>
              <w:jc w:val="left"/>
              <w:rPr/>
            </w:pPr>
            <w:r>
              <w:rPr>
                <w:b/>
                <w:sz w:val="22"/>
                <w:szCs w:val="22"/>
              </w:rPr>
              <w:t>Položky výnosov budúcich období - dlhodobé z dôvodu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120"/>
              <w:ind w:left="0" w:right="0" w:hanging="0"/>
              <w:jc w:val="center"/>
              <w:rPr/>
            </w:pPr>
            <w:r>
              <w:rPr>
                <w:b/>
                <w:sz w:val="22"/>
                <w:szCs w:val="22"/>
                <w:lang w:eastAsia="sk-SK"/>
              </w:rPr>
              <w:t>Stav na konci bezprostredne predchádzajúceho účtovného obdobia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120"/>
              <w:ind w:left="0" w:right="0" w:hanging="0"/>
              <w:jc w:val="center"/>
              <w:rPr/>
            </w:pPr>
            <w:r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>
        <w:trPr/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120"/>
              <w:ind w:left="0" w:right="0" w:hanging="0"/>
              <w:jc w:val="left"/>
              <w:rPr/>
            </w:pPr>
            <w:r>
              <w:rPr>
                <w:sz w:val="22"/>
                <w:szCs w:val="22"/>
              </w:rPr>
              <w:t>bezodplatne nadobudnutého dlhodobého majetku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bidi w:val="0"/>
              <w:spacing w:before="0" w:after="120"/>
              <w:ind w:left="0" w:right="0" w:hanging="0"/>
              <w:jc w:val="left"/>
              <w:rPr/>
            </w:pPr>
            <w:r>
              <w:rPr>
                <w:sz w:val="22"/>
                <w:szCs w:val="22"/>
              </w:rPr>
              <w:t>dlhodobého majetku obstaraného z verejných zdrojov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bidi w:val="0"/>
              <w:spacing w:before="0" w:after="120"/>
              <w:ind w:left="0" w:right="0" w:hanging="0"/>
              <w:jc w:val="left"/>
              <w:rPr/>
            </w:pPr>
            <w:r>
              <w:rPr>
                <w:sz w:val="22"/>
                <w:szCs w:val="22"/>
              </w:rPr>
              <w:t xml:space="preserve">dlhodobého majetku obstaraného z finančného daru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bidi w:val="0"/>
              <w:spacing w:before="0" w:after="120"/>
              <w:ind w:left="0" w:right="0" w:hanging="0"/>
              <w:jc w:val="left"/>
              <w:rPr/>
            </w:pPr>
            <w:r>
              <w:rPr>
                <w:sz w:val="22"/>
                <w:szCs w:val="22"/>
              </w:rPr>
              <w:t>dlhodobého majetku obstaraného z podielu zaplatenej dane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bidi w:val="0"/>
              <w:spacing w:before="0" w:after="120"/>
              <w:ind w:left="0" w:right="0" w:hanging="0"/>
              <w:jc w:val="left"/>
              <w:rPr/>
            </w:pPr>
            <w:r>
              <w:rPr>
                <w:sz w:val="22"/>
                <w:szCs w:val="22"/>
              </w:rPr>
              <w:t>dlhodobého majetku obstaraného zo sponzorského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bidi w:val="0"/>
              <w:spacing w:before="0" w:after="120"/>
              <w:ind w:left="0" w:right="0" w:hanging="0"/>
              <w:jc w:val="left"/>
              <w:rPr/>
            </w:pPr>
            <w:r>
              <w:rPr>
                <w:sz w:val="22"/>
                <w:szCs w:val="22"/>
              </w:rPr>
              <w:t>nepoužitého sponzorského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bidi w:val="0"/>
              <w:spacing w:before="0" w:after="120"/>
              <w:ind w:left="0" w:right="0" w:hanging="0"/>
              <w:jc w:val="left"/>
              <w:rPr/>
            </w:pPr>
            <w:r>
              <w:rPr>
                <w:sz w:val="22"/>
                <w:szCs w:val="22"/>
              </w:rPr>
              <w:t>iné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bidi w:val="0"/>
              <w:spacing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bidi w:val="0"/>
              <w:spacing w:before="0" w:after="120"/>
              <w:ind w:left="0" w:right="0" w:hanging="0"/>
              <w:jc w:val="left"/>
              <w:rPr/>
            </w:pPr>
            <w:r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podnadpis"/>
        <w:bidi w:val="0"/>
        <w:spacing w:before="240" w:after="120"/>
        <w:ind w:left="142" w:right="0" w:hanging="0"/>
        <w:rPr>
          <w:sz w:val="22"/>
          <w:szCs w:val="22"/>
        </w:rPr>
      </w:pPr>
      <w:r>
        <w:rPr>
          <w:sz w:val="22"/>
          <w:szCs w:val="22"/>
        </w:rPr>
      </w:r>
    </w:p>
    <w:tbl>
      <w:tblPr>
        <w:tblW w:w="9526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31"/>
        <w:gridCol w:w="2977"/>
        <w:gridCol w:w="3118"/>
      </w:tblGrid>
      <w:tr>
        <w:trPr/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120"/>
              <w:ind w:left="0" w:right="0" w:hanging="0"/>
              <w:jc w:val="left"/>
              <w:rPr/>
            </w:pPr>
            <w:r>
              <w:rPr>
                <w:b/>
                <w:sz w:val="22"/>
                <w:szCs w:val="22"/>
              </w:rPr>
              <w:t>Položky výnosov budúcich období - krátkodobé z dôvodu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120"/>
              <w:ind w:left="0" w:right="0" w:hanging="0"/>
              <w:jc w:val="center"/>
              <w:rPr/>
            </w:pPr>
            <w:r>
              <w:rPr>
                <w:b/>
                <w:sz w:val="22"/>
                <w:szCs w:val="22"/>
                <w:lang w:eastAsia="sk-SK"/>
              </w:rPr>
              <w:t xml:space="preserve">Stav na </w:t>
            </w:r>
            <w:r>
              <w:rPr>
                <w:b/>
                <w:sz w:val="22"/>
                <w:szCs w:val="22"/>
              </w:rPr>
              <w:t xml:space="preserve">konci bezprostredne predchádzajúceho </w:t>
            </w:r>
            <w:r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120"/>
              <w:ind w:left="0" w:right="0" w:hanging="0"/>
              <w:jc w:val="center"/>
              <w:rPr/>
            </w:pPr>
            <w:r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>
        <w:trPr/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120"/>
              <w:ind w:left="0" w:right="0" w:hanging="0"/>
              <w:jc w:val="left"/>
              <w:rPr/>
            </w:pPr>
            <w:r>
              <w:rPr>
                <w:sz w:val="22"/>
                <w:szCs w:val="22"/>
              </w:rPr>
              <w:t>dotácie zo štátneho rozpočtu a  z prostriedkov Európskej únie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bidi w:val="0"/>
              <w:spacing w:before="0" w:after="120"/>
              <w:ind w:left="0" w:right="0" w:hanging="0"/>
              <w:jc w:val="left"/>
              <w:rPr/>
            </w:pPr>
            <w:r>
              <w:rPr>
                <w:sz w:val="22"/>
                <w:szCs w:val="22"/>
              </w:rPr>
              <w:t>dotácie z rozpočtu obce a z rozpočtu vyššieho územného celku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120"/>
              <w:ind w:left="0" w:right="0" w:hanging="0"/>
              <w:rPr/>
            </w:pPr>
            <w:r>
              <w:rPr>
                <w:sz w:val="22"/>
                <w:szCs w:val="22"/>
              </w:rPr>
              <w:t>zostatku podielu zaplatenej dane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bidi w:val="0"/>
              <w:spacing w:before="0" w:after="120"/>
              <w:ind w:left="0" w:right="0" w:hanging="0"/>
              <w:jc w:val="left"/>
              <w:rPr/>
            </w:pPr>
            <w:r>
              <w:rPr>
                <w:sz w:val="22"/>
                <w:szCs w:val="22"/>
              </w:rPr>
              <w:t>nepoužitého sponzorského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bidi w:val="0"/>
              <w:spacing w:before="0" w:after="120"/>
              <w:ind w:left="0" w:right="0" w:hanging="0"/>
              <w:jc w:val="left"/>
              <w:rPr/>
            </w:pPr>
            <w:r>
              <w:rPr>
                <w:sz w:val="22"/>
                <w:szCs w:val="22"/>
              </w:rPr>
              <w:t>iné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bidi w:val="0"/>
              <w:spacing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bidi w:val="0"/>
              <w:spacing w:before="0" w:after="120"/>
              <w:ind w:left="0" w:right="0" w:hanging="0"/>
              <w:jc w:val="left"/>
              <w:rPr/>
            </w:pPr>
            <w:r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podnadpis"/>
        <w:keepNext w:val="true"/>
        <w:numPr>
          <w:ilvl w:val="0"/>
          <w:numId w:val="5"/>
        </w:numPr>
        <w:bidi w:val="0"/>
        <w:spacing w:before="240" w:after="120"/>
        <w:ind w:left="142" w:right="0" w:hanging="142"/>
        <w:rPr/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Údaje o druhoch majetku a záväzkoch z lízingových zmlúv.</w:t>
      </w:r>
    </w:p>
    <w:tbl>
      <w:tblPr>
        <w:tblW w:w="10014" w:type="dxa"/>
        <w:jc w:val="left"/>
        <w:tblInd w:w="4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17"/>
        <w:gridCol w:w="3082"/>
        <w:gridCol w:w="2515"/>
      </w:tblGrid>
      <w:tr>
        <w:trPr/>
        <w:tc>
          <w:tcPr>
            <w:tcW w:w="4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keepNext w:val="true"/>
              <w:tabs>
                <w:tab w:val="clear" w:pos="709"/>
              </w:tabs>
              <w:bidi w:val="0"/>
              <w:spacing w:before="0" w:after="120"/>
              <w:ind w:left="0" w:right="0" w:hanging="0"/>
              <w:jc w:val="left"/>
              <w:rPr/>
            </w:pPr>
            <w:r>
              <w:rPr>
                <w:b/>
                <w:sz w:val="22"/>
                <w:szCs w:val="22"/>
              </w:rPr>
              <w:t xml:space="preserve">Druh majetku </w:t>
            </w:r>
          </w:p>
        </w:tc>
        <w:tc>
          <w:tcPr>
            <w:tcW w:w="5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keepNext w:val="true"/>
              <w:tabs>
                <w:tab w:val="clear" w:pos="709"/>
              </w:tabs>
              <w:bidi w:val="0"/>
              <w:spacing w:before="0" w:after="120"/>
              <w:ind w:left="0" w:right="0" w:hanging="0"/>
              <w:jc w:val="center"/>
              <w:rPr/>
            </w:pPr>
            <w:r>
              <w:rPr>
                <w:b/>
                <w:sz w:val="22"/>
                <w:szCs w:val="22"/>
              </w:rPr>
              <w:t>Hodnota záväzku</w:t>
            </w:r>
          </w:p>
        </w:tc>
      </w:tr>
      <w:tr>
        <w:trPr/>
        <w:tc>
          <w:tcPr>
            <w:tcW w:w="44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keepNext w:val="true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keepNext w:val="true"/>
              <w:tabs>
                <w:tab w:val="clear" w:pos="709"/>
              </w:tabs>
              <w:bidi w:val="0"/>
              <w:spacing w:before="0" w:after="120"/>
              <w:ind w:left="0" w:right="0" w:hanging="0"/>
              <w:jc w:val="center"/>
              <w:rPr/>
            </w:pPr>
            <w:r>
              <w:rPr>
                <w:b/>
                <w:sz w:val="22"/>
                <w:szCs w:val="22"/>
                <w:lang w:eastAsia="sk-SK"/>
              </w:rPr>
              <w:t xml:space="preserve">Stav na </w:t>
            </w:r>
            <w:r>
              <w:rPr>
                <w:b/>
                <w:sz w:val="22"/>
                <w:szCs w:val="22"/>
              </w:rPr>
              <w:t xml:space="preserve">konci bezprostredne predchádzajúceho </w:t>
            </w:r>
            <w:r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keepNext w:val="true"/>
              <w:tabs>
                <w:tab w:val="clear" w:pos="709"/>
              </w:tabs>
              <w:bidi w:val="0"/>
              <w:spacing w:before="0" w:after="120"/>
              <w:ind w:left="0" w:right="0" w:hanging="0"/>
              <w:jc w:val="center"/>
              <w:rPr/>
            </w:pPr>
            <w:r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>
        <w:trPr/>
        <w:tc>
          <w:tcPr>
            <w:tcW w:w="4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4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bidi w:val="0"/>
              <w:spacing w:before="0" w:after="0"/>
              <w:ind w:left="0" w:righ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4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bidi w:val="0"/>
              <w:spacing w:before="0" w:after="0"/>
              <w:ind w:left="0" w:righ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podnadpis"/>
        <w:keepNext w:val="true"/>
        <w:numPr>
          <w:ilvl w:val="0"/>
          <w:numId w:val="0"/>
        </w:numPr>
        <w:bidi w:val="0"/>
        <w:spacing w:before="240" w:after="120"/>
        <w:ind w:left="0" w:right="0" w:hanging="0"/>
        <w:jc w:val="center"/>
        <w:outlineLvl w:val="0"/>
        <w:rPr/>
      </w:pPr>
      <w:r>
        <w:rPr>
          <w:b/>
          <w:bCs/>
          <w:kern w:val="2"/>
          <w:sz w:val="22"/>
          <w:szCs w:val="22"/>
        </w:rPr>
        <w:t>Čl. IV</w:t>
      </w:r>
    </w:p>
    <w:p>
      <w:pPr>
        <w:pStyle w:val="Normalpodnadpis"/>
        <w:keepNext w:val="true"/>
        <w:numPr>
          <w:ilvl w:val="0"/>
          <w:numId w:val="0"/>
        </w:numPr>
        <w:bidi w:val="0"/>
        <w:spacing w:before="0" w:after="120"/>
        <w:ind w:left="0" w:right="0" w:hanging="0"/>
        <w:jc w:val="center"/>
        <w:outlineLvl w:val="1"/>
        <w:rPr/>
      </w:pPr>
      <w:r>
        <w:rPr>
          <w:b/>
          <w:bCs/>
          <w:sz w:val="22"/>
          <w:szCs w:val="22"/>
        </w:rPr>
        <w:t>Informácie, ktoré dopĺňajú a vysvetľujú údaje vo výkaze ziskov a strát</w:t>
      </w:r>
    </w:p>
    <w:p>
      <w:pPr>
        <w:pStyle w:val="Normalpodnadpis"/>
        <w:numPr>
          <w:ilvl w:val="0"/>
          <w:numId w:val="6"/>
        </w:numPr>
        <w:bidi w:val="0"/>
        <w:spacing w:before="0" w:after="120"/>
        <w:ind w:left="284" w:right="0" w:hanging="284"/>
        <w:rPr/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Prehľad tržieb za vlastné výkony a tovar s uvedením ich opisu a vyčíslením hodnoty tržieb podľa jednotlivých hlavných druhov výrobkov, služieb hlavnej nezdaňovanej činnosti a zdaňovanej činnosti účtovnej jednotky za bežné účtovné obdobie.</w:t>
      </w:r>
    </w:p>
    <w:tbl>
      <w:tblPr>
        <w:tblW w:w="10014" w:type="dxa"/>
        <w:jc w:val="left"/>
        <w:tblInd w:w="4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54"/>
        <w:gridCol w:w="3082"/>
        <w:gridCol w:w="2378"/>
      </w:tblGrid>
      <w:tr>
        <w:trPr>
          <w:trHeight w:val="748" w:hRule="atLeast"/>
        </w:trPr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120"/>
              <w:ind w:left="0" w:right="0" w:hanging="0"/>
              <w:jc w:val="left"/>
              <w:rPr/>
            </w:pPr>
            <w:r>
              <w:rPr>
                <w:b/>
                <w:sz w:val="22"/>
                <w:szCs w:val="22"/>
              </w:rPr>
              <w:t xml:space="preserve">Druh a opis tržieb 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120"/>
              <w:ind w:left="0" w:right="0" w:hanging="0"/>
              <w:jc w:val="center"/>
              <w:rPr/>
            </w:pPr>
            <w:r>
              <w:rPr>
                <w:b/>
                <w:sz w:val="22"/>
                <w:szCs w:val="22"/>
              </w:rPr>
              <w:t>Hlavná nezdaňovaná činnosť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120"/>
              <w:ind w:left="0" w:right="0" w:hanging="0"/>
              <w:jc w:val="center"/>
              <w:rPr/>
            </w:pPr>
            <w:r>
              <w:rPr>
                <w:b/>
                <w:sz w:val="22"/>
                <w:szCs w:val="22"/>
              </w:rPr>
              <w:t>Zdaňovaná činnosť</w:t>
            </w:r>
          </w:p>
        </w:tc>
      </w:tr>
      <w:tr>
        <w:trPr/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bidi w:val="0"/>
              <w:spacing w:before="0" w:after="0"/>
              <w:ind w:left="0" w:righ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bidi w:val="0"/>
              <w:spacing w:before="0" w:after="0"/>
              <w:ind w:left="0" w:righ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podnadpis"/>
        <w:numPr>
          <w:ilvl w:val="0"/>
          <w:numId w:val="6"/>
        </w:numPr>
        <w:bidi w:val="0"/>
        <w:spacing w:before="240" w:after="120"/>
        <w:ind w:left="284" w:right="0" w:hanging="284"/>
        <w:rPr/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Opis a vyčíslenie hodnoty významných súm v nadväznosti na položky výkazu ziskov a strát v členení na nepeňažné dary, osobitné výnosy, zákonné poplatky a iné ostatné výnosy za bezprostredne predchádzajúce účtovné obdobie a za bežné účtovné obdobie. </w:t>
      </w:r>
    </w:p>
    <w:tbl>
      <w:tblPr>
        <w:tblW w:w="10014" w:type="dxa"/>
        <w:jc w:val="left"/>
        <w:tblInd w:w="4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32"/>
        <w:gridCol w:w="2455"/>
        <w:gridCol w:w="2727"/>
      </w:tblGrid>
      <w:tr>
        <w:trPr/>
        <w:tc>
          <w:tcPr>
            <w:tcW w:w="4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120"/>
              <w:ind w:left="0" w:right="0" w:hanging="0"/>
              <w:jc w:val="left"/>
              <w:rPr/>
            </w:pPr>
            <w:r>
              <w:rPr>
                <w:b/>
                <w:sz w:val="22"/>
                <w:szCs w:val="22"/>
              </w:rPr>
              <w:t>Druh a opis významných súm výnosov</w:t>
            </w:r>
          </w:p>
        </w:tc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120"/>
              <w:ind w:left="0" w:right="0" w:hanging="0"/>
              <w:jc w:val="center"/>
              <w:rPr/>
            </w:pPr>
            <w:r>
              <w:rPr>
                <w:b/>
                <w:sz w:val="22"/>
                <w:szCs w:val="22"/>
                <w:lang w:eastAsia="sk-SK"/>
              </w:rPr>
              <w:t xml:space="preserve">Stav na </w:t>
            </w:r>
            <w:r>
              <w:rPr>
                <w:b/>
                <w:sz w:val="22"/>
                <w:szCs w:val="22"/>
              </w:rPr>
              <w:t xml:space="preserve">konci bezprostredne predchádzajúceho </w:t>
            </w:r>
            <w:r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120"/>
              <w:ind w:left="0" w:right="0" w:hanging="0"/>
              <w:jc w:val="center"/>
              <w:rPr/>
            </w:pPr>
            <w:r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>
        <w:trPr/>
        <w:tc>
          <w:tcPr>
            <w:tcW w:w="4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4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bidi w:val="0"/>
              <w:spacing w:before="0" w:after="0"/>
              <w:ind w:left="0" w:righ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4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podnadpis"/>
        <w:keepNext w:val="true"/>
        <w:numPr>
          <w:ilvl w:val="0"/>
          <w:numId w:val="6"/>
        </w:numPr>
        <w:bidi w:val="0"/>
        <w:spacing w:before="240" w:after="120"/>
        <w:ind w:left="284" w:right="0" w:hanging="284"/>
        <w:rPr/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Prehľad významných súm dotácií zo štátneho rozpočtu, štátnych fondov, z prostriedkov Európskej únie, dotácií z rozpočtu obce a z rozpočtu vyššieho územného celku, ktoré účtovná jednotka prijala v bezprostredne predchádzajúcom účtovnom období a v bežnom účtovnom období.</w:t>
      </w:r>
    </w:p>
    <w:tbl>
      <w:tblPr>
        <w:tblW w:w="10014" w:type="dxa"/>
        <w:jc w:val="left"/>
        <w:tblInd w:w="4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32"/>
        <w:gridCol w:w="2809"/>
        <w:gridCol w:w="2373"/>
      </w:tblGrid>
      <w:tr>
        <w:trPr/>
        <w:tc>
          <w:tcPr>
            <w:tcW w:w="4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120"/>
              <w:ind w:left="0" w:right="0" w:hanging="0"/>
              <w:jc w:val="left"/>
              <w:rPr/>
            </w:pPr>
            <w:r>
              <w:rPr>
                <w:b/>
                <w:sz w:val="22"/>
                <w:szCs w:val="22"/>
              </w:rPr>
              <w:t>Druh a opis významných súm dotácií a grantov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120"/>
              <w:ind w:left="0" w:right="0" w:hanging="0"/>
              <w:jc w:val="center"/>
              <w:rPr/>
            </w:pPr>
            <w:r>
              <w:rPr>
                <w:b/>
                <w:sz w:val="22"/>
                <w:szCs w:val="22"/>
                <w:lang w:eastAsia="sk-SK"/>
              </w:rPr>
              <w:t xml:space="preserve">Stav na </w:t>
            </w:r>
            <w:r>
              <w:rPr>
                <w:b/>
                <w:sz w:val="22"/>
                <w:szCs w:val="22"/>
              </w:rPr>
              <w:t xml:space="preserve">konci bezprostredne predchádzajúceho </w:t>
            </w:r>
            <w:r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120"/>
              <w:ind w:left="0" w:right="0" w:hanging="0"/>
              <w:jc w:val="center"/>
              <w:rPr/>
            </w:pPr>
            <w:r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>
        <w:trPr/>
        <w:tc>
          <w:tcPr>
            <w:tcW w:w="4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4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bidi w:val="0"/>
              <w:spacing w:before="0" w:after="0"/>
              <w:ind w:left="0" w:righ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4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bidi w:val="0"/>
              <w:spacing w:before="0" w:after="0"/>
              <w:ind w:left="0" w:righ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podnadpis"/>
        <w:keepNext w:val="true"/>
        <w:numPr>
          <w:ilvl w:val="0"/>
          <w:numId w:val="6"/>
        </w:numPr>
        <w:bidi w:val="0"/>
        <w:spacing w:before="240" w:after="120"/>
        <w:ind w:left="284" w:right="0" w:hanging="284"/>
        <w:rPr/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Opis a vyčíslenie hodnoty významných položiek príjmov z reklám, ktoré sú určené na charitatívne účely, a charitatívnej lotérie prijatých v  bezprostredne predchádzajúcom účtovnom období a v bežnom účtovnom období.</w:t>
      </w:r>
    </w:p>
    <w:tbl>
      <w:tblPr>
        <w:tblW w:w="10014" w:type="dxa"/>
        <w:jc w:val="left"/>
        <w:tblInd w:w="4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32"/>
        <w:gridCol w:w="2810"/>
        <w:gridCol w:w="2372"/>
      </w:tblGrid>
      <w:tr>
        <w:trPr/>
        <w:tc>
          <w:tcPr>
            <w:tcW w:w="4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120"/>
              <w:ind w:left="0" w:right="0" w:hanging="0"/>
              <w:jc w:val="left"/>
              <w:rPr/>
            </w:pPr>
            <w:r>
              <w:rPr>
                <w:b/>
                <w:sz w:val="22"/>
                <w:szCs w:val="22"/>
              </w:rPr>
              <w:t>Druh a opis významných položiek charitatívnej reklamy a charitatívnej lotérie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120"/>
              <w:ind w:left="0" w:right="0" w:hanging="0"/>
              <w:jc w:val="center"/>
              <w:rPr/>
            </w:pPr>
            <w:r>
              <w:rPr>
                <w:b/>
                <w:sz w:val="22"/>
                <w:szCs w:val="22"/>
                <w:lang w:eastAsia="sk-SK"/>
              </w:rPr>
              <w:t xml:space="preserve">Stav na </w:t>
            </w:r>
            <w:r>
              <w:rPr>
                <w:b/>
                <w:sz w:val="22"/>
                <w:szCs w:val="22"/>
              </w:rPr>
              <w:t xml:space="preserve">konci bezprostredne predchádzajúceho </w:t>
            </w:r>
            <w:r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120"/>
              <w:ind w:left="0" w:right="0" w:hanging="0"/>
              <w:jc w:val="center"/>
              <w:rPr/>
            </w:pPr>
            <w:r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>
        <w:trPr/>
        <w:tc>
          <w:tcPr>
            <w:tcW w:w="4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4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bidi w:val="0"/>
              <w:spacing w:before="0" w:after="0"/>
              <w:ind w:left="0" w:righ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4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bidi w:val="0"/>
              <w:spacing w:before="0" w:after="0"/>
              <w:ind w:left="0" w:righ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podnadpis"/>
        <w:numPr>
          <w:ilvl w:val="0"/>
          <w:numId w:val="6"/>
        </w:numPr>
        <w:bidi w:val="0"/>
        <w:spacing w:before="240" w:after="120"/>
        <w:ind w:left="0" w:right="0" w:hanging="0"/>
        <w:rPr/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Opis a vyčíslenie hodnoty významných súm v nadväznosti na položky výkazu ziskov a strát v členení na nepeňažné dary, náklady na ostatné služby, osobitné náklady a iné ostatné náklady poskytnuté v bežnom účtovnom období. </w:t>
      </w:r>
    </w:p>
    <w:tbl>
      <w:tblPr>
        <w:tblW w:w="10014" w:type="dxa"/>
        <w:jc w:val="left"/>
        <w:tblInd w:w="4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47"/>
        <w:gridCol w:w="2394"/>
        <w:gridCol w:w="2373"/>
      </w:tblGrid>
      <w:tr>
        <w:trPr/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keepNext w:val="true"/>
              <w:tabs>
                <w:tab w:val="clear" w:pos="709"/>
              </w:tabs>
              <w:bidi w:val="0"/>
              <w:spacing w:before="0" w:after="120"/>
              <w:ind w:left="0" w:right="0" w:hanging="0"/>
              <w:jc w:val="left"/>
              <w:rPr/>
            </w:pPr>
            <w:r>
              <w:rPr>
                <w:b/>
                <w:sz w:val="22"/>
                <w:szCs w:val="22"/>
              </w:rPr>
              <w:t>Druh a opis významných položiek nákladov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keepNext w:val="true"/>
              <w:tabs>
                <w:tab w:val="clear" w:pos="709"/>
              </w:tabs>
              <w:bidi w:val="0"/>
              <w:spacing w:before="0" w:after="120"/>
              <w:ind w:left="0" w:right="0" w:hanging="0"/>
              <w:jc w:val="center"/>
              <w:rPr/>
            </w:pPr>
            <w:r>
              <w:rPr>
                <w:b/>
                <w:sz w:val="22"/>
                <w:szCs w:val="22"/>
                <w:lang w:eastAsia="sk-SK"/>
              </w:rPr>
              <w:t xml:space="preserve">Stav na </w:t>
            </w:r>
            <w:r>
              <w:rPr>
                <w:b/>
                <w:sz w:val="22"/>
                <w:szCs w:val="22"/>
              </w:rPr>
              <w:t xml:space="preserve">konci bezprostredne predchádzajúceho </w:t>
            </w:r>
            <w:r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keepNext w:val="true"/>
              <w:tabs>
                <w:tab w:val="clear" w:pos="709"/>
              </w:tabs>
              <w:bidi w:val="0"/>
              <w:spacing w:before="0" w:after="120"/>
              <w:ind w:left="0" w:right="0" w:hanging="0"/>
              <w:jc w:val="center"/>
              <w:rPr/>
            </w:pPr>
            <w:r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>
        <w:trPr/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bidi w:val="0"/>
              <w:spacing w:before="0" w:after="0"/>
              <w:ind w:left="0" w:righ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podnadpis"/>
              <w:bidi w:val="0"/>
              <w:spacing w:before="0" w:after="0"/>
              <w:ind w:left="0" w:righ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podnadpis"/>
        <w:numPr>
          <w:ilvl w:val="0"/>
          <w:numId w:val="6"/>
        </w:numPr>
        <w:bidi w:val="0"/>
        <w:spacing w:before="240" w:after="120"/>
        <w:ind w:left="0" w:right="0" w:hanging="0"/>
        <w:rPr/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Prehľad o účele a výške použitia zostatku prijatého podielu zaplatenej dane v minulých účtovných obdobiach a prijatého podielu zaplatenej dane v bežnom účtovnom období.</w:t>
      </w:r>
    </w:p>
    <w:tbl>
      <w:tblPr>
        <w:tblW w:w="10276" w:type="dxa"/>
        <w:jc w:val="left"/>
        <w:tblInd w:w="4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68"/>
        <w:gridCol w:w="2240"/>
        <w:gridCol w:w="2268"/>
      </w:tblGrid>
      <w:tr>
        <w:trPr/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b/>
                <w:sz w:val="22"/>
                <w:szCs w:val="22"/>
              </w:rPr>
              <w:t>Účel použitia prijatého podielu zaplatenej dane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sz w:val="22"/>
                <w:szCs w:val="22"/>
              </w:rPr>
              <w:t>Použitá suma zostatku z predchádzajúceho účtovného obdobia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sz w:val="22"/>
                <w:szCs w:val="22"/>
              </w:rPr>
              <w:t>Použitá suma z bežného účtovného obdobia</w:t>
            </w:r>
          </w:p>
        </w:tc>
      </w:tr>
      <w:tr>
        <w:trPr>
          <w:trHeight w:val="397" w:hRule="atLeast"/>
        </w:trPr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bidi w:val="0"/>
              <w:spacing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bidi w:val="0"/>
              <w:spacing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8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b/>
                <w:sz w:val="22"/>
                <w:szCs w:val="22"/>
              </w:rPr>
              <w:t>Zostatok podielu zaplatenej dane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podnadpis"/>
              <w:tabs>
                <w:tab w:val="clear" w:pos="709"/>
              </w:tabs>
              <w:bidi w:val="0"/>
              <w:spacing w:before="0" w:after="0"/>
              <w:ind w:left="0" w:right="0" w:hanging="0"/>
              <w:jc w:val="left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</w:tbl>
    <w:p>
      <w:pPr>
        <w:pStyle w:val="Normalpodnadpis"/>
        <w:keepNext w:val="true"/>
        <w:numPr>
          <w:ilvl w:val="0"/>
          <w:numId w:val="0"/>
        </w:numPr>
        <w:bidi w:val="0"/>
        <w:spacing w:before="240" w:after="120"/>
        <w:ind w:left="0" w:right="0" w:hanging="0"/>
        <w:jc w:val="center"/>
        <w:outlineLvl w:val="0"/>
        <w:rPr/>
      </w:pPr>
      <w:r>
        <w:rPr>
          <w:b/>
          <w:bCs/>
          <w:kern w:val="2"/>
          <w:sz w:val="22"/>
          <w:szCs w:val="22"/>
        </w:rPr>
        <w:t>Čl. V</w:t>
      </w:r>
    </w:p>
    <w:p>
      <w:pPr>
        <w:pStyle w:val="Normalpodnadpis"/>
        <w:keepNext w:val="true"/>
        <w:numPr>
          <w:ilvl w:val="0"/>
          <w:numId w:val="0"/>
        </w:numPr>
        <w:bidi w:val="0"/>
        <w:spacing w:before="0" w:after="120"/>
        <w:ind w:left="0" w:right="0" w:hanging="0"/>
        <w:jc w:val="center"/>
        <w:outlineLvl w:val="1"/>
        <w:rPr/>
      </w:pPr>
      <w:r>
        <w:rPr>
          <w:b/>
          <w:bCs/>
          <w:sz w:val="22"/>
          <w:szCs w:val="22"/>
        </w:rPr>
        <w:t>Opis údajov na podsúvahových účtoch</w:t>
      </w:r>
    </w:p>
    <w:p>
      <w:pPr>
        <w:pStyle w:val="Normalpodnadpis"/>
        <w:bidi w:val="0"/>
        <w:spacing w:before="0" w:after="120"/>
        <w:ind w:left="0" w:right="0" w:hanging="0"/>
        <w:rPr/>
      </w:pPr>
      <w:r>
        <w:rPr>
          <w:sz w:val="22"/>
          <w:szCs w:val="22"/>
        </w:rPr>
        <w:t>Významné položky zásob prijatých na komisionálny predaj, prenajatého majetku, majetku prijatého do úschovy, odpísané pohľadávky a prípadné ďalšie položky.</w:t>
      </w:r>
    </w:p>
    <w:p>
      <w:pPr>
        <w:pStyle w:val="Normalpodnadpis"/>
        <w:keepNext w:val="true"/>
        <w:numPr>
          <w:ilvl w:val="0"/>
          <w:numId w:val="0"/>
        </w:numPr>
        <w:bidi w:val="0"/>
        <w:spacing w:before="240" w:after="120"/>
        <w:ind w:left="0" w:right="0" w:hanging="0"/>
        <w:jc w:val="center"/>
        <w:outlineLvl w:val="1"/>
        <w:rPr/>
      </w:pPr>
      <w:r>
        <w:rPr>
          <w:b/>
          <w:bCs/>
          <w:sz w:val="22"/>
          <w:szCs w:val="22"/>
        </w:rPr>
        <w:t>Čl. VI</w:t>
      </w:r>
    </w:p>
    <w:p>
      <w:pPr>
        <w:pStyle w:val="Normalpodnadpis"/>
        <w:keepNext w:val="true"/>
        <w:numPr>
          <w:ilvl w:val="0"/>
          <w:numId w:val="0"/>
        </w:numPr>
        <w:bidi w:val="0"/>
        <w:spacing w:before="0" w:after="120"/>
        <w:ind w:left="0" w:right="0" w:hanging="0"/>
        <w:jc w:val="center"/>
        <w:outlineLvl w:val="1"/>
        <w:rPr/>
      </w:pPr>
      <w:r>
        <w:rPr>
          <w:b/>
          <w:bCs/>
          <w:sz w:val="22"/>
          <w:szCs w:val="22"/>
        </w:rPr>
        <w:t>Ďalšie informácie</w:t>
      </w:r>
    </w:p>
    <w:p>
      <w:pPr>
        <w:pStyle w:val="Textopatrenia"/>
        <w:numPr>
          <w:ilvl w:val="0"/>
          <w:numId w:val="4"/>
        </w:numPr>
        <w:bidi w:val="0"/>
        <w:ind w:left="0" w:right="0" w:hanging="0"/>
        <w:rPr/>
      </w:pPr>
      <w:r>
        <w:rPr/>
        <w:t>(1) Opis a hodnota iných aktív, ktorými sa rozumie majetok, ktorý vznikol v dôsledku minulých udalostí a ktorého existencia alebo vlastníctvo závisí od toho, či nastane alebo nenastane jedna alebo viac neistých udalostí v budúcnosti, ktorých vznik nezávisí od účtovnej jednotky; týmito inými aktívami sú napríklad práva zo servisných zmlúv, poistných zmlúv, koncesionárskych zmlúv, licenčných zmlúv, práva z investovania prostriedkov získaných oslobodením od dane z príjmov.</w:t>
      </w:r>
    </w:p>
    <w:p>
      <w:pPr>
        <w:pStyle w:val="Textopatrenia"/>
        <w:numPr>
          <w:ilvl w:val="0"/>
          <w:numId w:val="4"/>
        </w:numPr>
        <w:bidi w:val="0"/>
        <w:ind w:left="0" w:right="0" w:hanging="0"/>
        <w:rPr/>
      </w:pPr>
      <w:r>
        <w:rPr/>
        <w:t>(2) Opis a hodnota iných pasív vyplývajúcich zo súdnych rozhodnutí, z poskytnutých záruk, zo všeobecne záväzných právnych predpisov, z ručenia podľa jednotlivých druhov ručenia;  takýmito inými pasívami sú:</w:t>
      </w:r>
    </w:p>
    <w:p>
      <w:pPr>
        <w:pStyle w:val="Textopatrenia"/>
        <w:numPr>
          <w:ilvl w:val="0"/>
          <w:numId w:val="4"/>
        </w:numPr>
        <w:bidi w:val="0"/>
        <w:ind w:left="0" w:right="0" w:hanging="0"/>
        <w:rPr/>
      </w:pPr>
      <w:r>
        <w:rPr>
          <w:lang w:eastAsia="sk-SK"/>
        </w:rPr>
        <w:t>a) povinnosť, ktorá vznikla ako dôsledok minulej udalosti a ktorej existencia závisí od toho, či nastane alebo nenastane jedna alebo viac neistých udalostí v budúcnosti, ktorých vznik nezávisí od účtovnej jednotky, alebo</w:t>
      </w:r>
    </w:p>
    <w:p>
      <w:pPr>
        <w:pStyle w:val="Textopatrenia"/>
        <w:numPr>
          <w:ilvl w:val="0"/>
          <w:numId w:val="4"/>
        </w:numPr>
        <w:bidi w:val="0"/>
        <w:ind w:left="0" w:right="0" w:hanging="0"/>
        <w:rPr/>
      </w:pPr>
      <w:r>
        <w:rPr>
          <w:lang w:eastAsia="sk-SK"/>
        </w:rPr>
        <w:t>b) povinnosť, ktorá vznikla ako dôsledok minulej udalosti, ale ktorá sa nevykazuje v súvahe, pretože nie je pravdepodobné, že na splnenie tejto povinnosti bude potrebný úbytok ekonomických úžitkov, alebo výška tejto povinnosti sa nedá spoľahlivo oceniť.</w:t>
      </w:r>
    </w:p>
    <w:p>
      <w:pPr>
        <w:pStyle w:val="Textopatrenia"/>
        <w:numPr>
          <w:ilvl w:val="0"/>
          <w:numId w:val="4"/>
        </w:numPr>
        <w:bidi w:val="0"/>
        <w:ind w:left="0" w:right="0" w:hanging="0"/>
        <w:rPr/>
      </w:pPr>
      <w:r>
        <w:rPr/>
        <w:t>(3) Opis významných položiek ostatných finančných povinností, ktoré sa nesledujú v účtovníctve a neuvádzajú sa v súvahe; pri každej položke sa uvádza jej opis, výška a údaj, či sa týka spriaznených osôb, a to</w:t>
      </w:r>
    </w:p>
    <w:p>
      <w:pPr>
        <w:pStyle w:val="Textopatrenia"/>
        <w:numPr>
          <w:ilvl w:val="0"/>
          <w:numId w:val="4"/>
        </w:numPr>
        <w:bidi w:val="0"/>
        <w:ind w:left="0" w:right="0" w:hanging="0"/>
        <w:rPr/>
      </w:pPr>
      <w:r>
        <w:rPr/>
        <w:t>a) povinnosť z devízových termínovaných obchodov a iných finančných derivátov,</w:t>
      </w:r>
    </w:p>
    <w:p>
      <w:pPr>
        <w:pStyle w:val="Textopatrenia"/>
        <w:numPr>
          <w:ilvl w:val="0"/>
          <w:numId w:val="4"/>
        </w:numPr>
        <w:bidi w:val="0"/>
        <w:ind w:left="0" w:right="0" w:hanging="0"/>
        <w:rPr/>
      </w:pPr>
      <w:r>
        <w:rPr/>
        <w:t>b) povinnosť z opčných obchodov,</w:t>
      </w:r>
    </w:p>
    <w:p>
      <w:pPr>
        <w:pStyle w:val="Textopatrenia"/>
        <w:numPr>
          <w:ilvl w:val="0"/>
          <w:numId w:val="4"/>
        </w:numPr>
        <w:bidi w:val="0"/>
        <w:ind w:left="0" w:right="0" w:hanging="0"/>
        <w:rPr/>
      </w:pPr>
      <w:r>
        <w:rPr/>
        <w:t>c) zákonná povinnosť alebo zmluvná povinnosť odobrať určité produkty alebo služby, napríklad z dodávateľských zmlúv alebo odberateľských zmlúv,</w:t>
      </w:r>
    </w:p>
    <w:p>
      <w:pPr>
        <w:pStyle w:val="Textopatrenia"/>
        <w:numPr>
          <w:ilvl w:val="0"/>
          <w:numId w:val="4"/>
        </w:numPr>
        <w:bidi w:val="0"/>
        <w:ind w:left="0" w:right="0" w:hanging="0"/>
        <w:rPr/>
      </w:pPr>
      <w:r>
        <w:rPr/>
        <w:t>d) povinnosť z lízingových zmlúv, nájomných zmlúv, servisných zmlúv, poistných zmlúv, koncesionárskych zmlúv, licenčných zmlúv a podobných zmlúv,</w:t>
      </w:r>
    </w:p>
    <w:p>
      <w:pPr>
        <w:pStyle w:val="Textopatrenia"/>
        <w:numPr>
          <w:ilvl w:val="0"/>
          <w:numId w:val="4"/>
        </w:numPr>
        <w:bidi w:val="0"/>
        <w:ind w:left="0" w:right="0" w:hanging="0"/>
        <w:rPr/>
      </w:pPr>
      <w:r>
        <w:rPr/>
        <w:t>e) iné povinnosti.</w:t>
      </w:r>
    </w:p>
    <w:p>
      <w:pPr>
        <w:pStyle w:val="Normalpodnadpis"/>
        <w:bidi w:val="0"/>
        <w:spacing w:before="0" w:after="120"/>
        <w:ind w:left="0" w:right="0" w:hanging="0"/>
        <w:rPr/>
      </w:pPr>
      <w:r>
        <w:rPr>
          <w:sz w:val="22"/>
          <w:szCs w:val="22"/>
        </w:rPr>
        <w:t>(4) Prehľad nehnuteľných kultúrnych pamiatok, ktoré sú v správe alebo vo vlastníctve účtovnej jednotky, a to názov, adresa a číslo kultúrnej pamiatky v Ústrednom zozname pamiatkového fondu.</w:t>
      </w:r>
    </w:p>
    <w:p>
      <w:pPr>
        <w:pStyle w:val="Normalpodnadpis"/>
        <w:bidi w:val="0"/>
        <w:spacing w:before="0" w:after="120"/>
        <w:ind w:left="0" w:right="0" w:hanging="0"/>
        <w:rPr/>
      </w:pPr>
      <w:r>
        <w:rPr>
          <w:sz w:val="22"/>
          <w:szCs w:val="22"/>
        </w:rPr>
        <w:t>(5) Informácie o významných skutočnostiach, ktoré nastali medzi dňom, ku ktorému sa zostavuje účtovná závierka a dňom jej zostavenia.</w:t>
      </w:r>
    </w:p>
    <w:sectPr>
      <w:headerReference w:type="first" r:id="rId2"/>
      <w:footerReference w:type="default" r:id="rId3"/>
      <w:footerReference w:type="first" r:id="rId4"/>
      <w:type w:val="nextPage"/>
      <w:pgSz w:w="11906" w:h="16838"/>
      <w:pgMar w:left="993" w:right="851" w:gutter="0" w:header="709" w:top="851" w:footer="709" w:bottom="851"/>
      <w:pgNumType w:start="1"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mbria">
    <w:charset w:val="ee"/>
    <w:family w:val="roman"/>
    <w:pitch w:val="variable"/>
  </w:font>
  <w:font w:name="Arial">
    <w:charset w:val="ee"/>
    <w:family w:val="roman"/>
    <w:pitch w:val="variable"/>
  </w:font>
  <w:font w:name="Times New Roman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Arial Narrow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ta"/>
      <w:bidi w:val="0"/>
      <w:spacing w:lineRule="auto" w:line="360" w:before="120" w:after="120"/>
      <w:ind w:left="0" w:right="0" w:hanging="0"/>
      <w:jc w:val="right"/>
      <w:rPr/>
    </w:pPr>
    <w:r>
      <w:rPr/>
      <w:t xml:space="preserve">Strana </w:t>
    </w:r>
    <w:r>
      <w:rPr>
        <w:lang w:eastAsia="sk-SK"/>
      </w:rPr>
      <w:fldChar w:fldCharType="begin"/>
    </w:r>
    <w:r>
      <w:rPr>
        <w:lang w:eastAsia="sk-SK"/>
      </w:rPr>
      <w:instrText xml:space="preserve"> PAGE </w:instrText>
    </w:r>
    <w:r>
      <w:rPr>
        <w:lang w:eastAsia="sk-SK"/>
      </w:rPr>
      <w:fldChar w:fldCharType="separate"/>
    </w:r>
    <w:r>
      <w:rPr>
        <w:lang w:eastAsia="sk-SK"/>
      </w:rPr>
      <w:t>2</w:t>
    </w:r>
    <w:r>
      <w:rPr>
        <w:lang w:eastAsia="sk-SK"/>
      </w:rPr>
      <w:fldChar w:fldCharType="end"/>
    </w:r>
  </w:p>
  <w:p>
    <w:pPr>
      <w:pStyle w:val="Pta"/>
      <w:tabs>
        <w:tab w:val="clear" w:pos="4536"/>
        <w:tab w:val="clear" w:pos="9072"/>
        <w:tab w:val="center" w:pos="5102" w:leader="none"/>
        <w:tab w:val="right" w:pos="10204" w:leader="none"/>
      </w:tabs>
      <w:bidi w:val="0"/>
      <w:spacing w:lineRule="auto" w:line="360" w:before="120" w:after="120"/>
      <w:ind w:left="0" w:right="360" w:hanging="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ta"/>
      <w:bidi w:val="0"/>
      <w:spacing w:lineRule="auto" w:line="360" w:before="120" w:after="120"/>
      <w:ind w:left="0" w:right="0" w:hanging="0"/>
      <w:jc w:val="right"/>
      <w:rPr/>
    </w:pPr>
    <w:r>
      <w:rPr/>
      <w:t>Strana 7</w:t>
    </w:r>
  </w:p>
  <w:p>
    <w:pPr>
      <w:pStyle w:val="Pta"/>
      <w:bidi w:val="0"/>
      <w:spacing w:lineRule="auto" w:line="360" w:before="120" w:after="120"/>
      <w:ind w:left="0" w:right="0" w:hanging="0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Zhlavie"/>
      <w:bidi w:val="0"/>
      <w:spacing w:lineRule="auto" w:line="360" w:before="120" w:after="120"/>
      <w:ind w:left="0" w:right="0" w:hanging="0"/>
      <w:jc w:val="right"/>
      <w:rPr/>
    </w:pPr>
    <w:r>
      <w:rPr/>
    </w:r>
  </w:p>
  <w:p>
    <w:pPr>
      <w:pStyle w:val="Zhlavie"/>
      <w:bidi w:val="0"/>
      <w:spacing w:lineRule="auto" w:line="360" w:before="120" w:after="120"/>
      <w:ind w:left="0" w:right="0" w:hanging="0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upperRoman"/>
      <w:suff w:val="nothing"/>
      <w:lvlText w:val="Čl. %1."/>
      <w:lvlJc w:val="center"/>
      <w:pPr>
        <w:tabs>
          <w:tab w:val="num" w:pos="0"/>
        </w:tabs>
        <w:ind w:left="0" w:hanging="0"/>
      </w:pPr>
      <w:rPr>
        <w:sz w:val="24"/>
        <w:i w:val="false"/>
        <w:b/>
        <w:szCs w:val="24"/>
        <w:iCs w:val="false"/>
        <w:bCs/>
        <w:rFonts w:ascii="Arial" w:hAnsi="Arial" w:cs="Arial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i w:val="false"/>
        <w:b w:val="false"/>
        <w:iCs w:val="false"/>
        <w:bCs w:val="false"/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">
    <w:lvl w:ilvl="0">
      <w:start w:val="1"/>
      <w:numFmt w:val="decimal"/>
      <w:lvlText w:val="K bodu %1"/>
      <w:lvlJc w:val="left"/>
      <w:pPr>
        <w:tabs>
          <w:tab w:val="num" w:pos="0"/>
        </w:tabs>
        <w:ind w:left="0" w:hanging="0"/>
      </w:pPr>
      <w:rPr>
        <w:i w:val="false"/>
        <w:b/>
        <w:iCs w:val="false"/>
        <w:bCs/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lvl w:ilvl="0">
      <w:start w:val="1"/>
      <w:numFmt w:val="decimal"/>
      <w:lvlText w:val="(%1)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4">
    <w:lvl w:ilvl="0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smallCaps w:val="false"/>
        <w:caps w:val="false"/>
        <w:dstrike w:val="false"/>
        <w:strike w:val="false"/>
        <w:sz w:val="24"/>
        <w:spacing w:val="0"/>
        <w:i w:val="false"/>
        <w:b w:val="false"/>
        <w:kern w:val="0"/>
        <w:szCs w:val="24"/>
        <w:iCs w:val="false"/>
        <w:bCs w:val="false"/>
        <w:w w:val="100"/>
        <w:vanish w:val="false"/>
        <w:rFonts w:ascii="Arial Narrow" w:hAnsi="Arial Narrow"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5">
    <w:lvl w:ilvl="0">
      <w:start w:val="1"/>
      <w:numFmt w:val="decimal"/>
      <w:lvlText w:val="(%1)"/>
      <w:lvlJc w:val="left"/>
      <w:pPr>
        <w:tabs>
          <w:tab w:val="num" w:pos="0"/>
        </w:tabs>
        <w:ind w:left="64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6"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  <w:rPr>
        <w:b w:val="false"/>
        <w:rFonts w:ascii="Arial Narrow" w:hAnsi="Arial Narrow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7">
    <w:lvl w:ilvl="0">
      <w:start w:val="1"/>
      <w:numFmt w:val="upperRoman"/>
      <w:suff w:val="nothing"/>
      <w:lvlText w:val="Čl. %1."/>
      <w:lvlJc w:val="center"/>
      <w:pPr>
        <w:tabs>
          <w:tab w:val="num" w:pos="0"/>
        </w:tabs>
        <w:ind w:left="0" w:hanging="0"/>
      </w:pPr>
      <w:rPr>
        <w:sz w:val="24"/>
        <w:i w:val="false"/>
        <w:b/>
        <w:szCs w:val="24"/>
        <w:iCs w:val="false"/>
        <w:bCs/>
        <w:rFonts w:ascii="Arial" w:hAnsi="Arial" w:cs="Arial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i w:val="false"/>
        <w:b w:val="false"/>
        <w:iCs w:val="false"/>
        <w:bCs w:val="false"/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sk-SK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sk-SK" w:eastAsia="zh-CN" w:bidi="hi-IN"/>
    </w:rPr>
  </w:style>
  <w:style w:type="paragraph" w:styleId="Nadpis2">
    <w:name w:val="Heading 2"/>
    <w:basedOn w:val="Normalpodnadpis"/>
    <w:next w:val="Normalpodnadpis"/>
    <w:qFormat/>
    <w:pPr>
      <w:keepNext w:val="true"/>
      <w:spacing w:before="240" w:after="60"/>
      <w:outlineLvl w:val="1"/>
    </w:pPr>
    <w:rPr>
      <w:b/>
      <w:bCs/>
      <w:i/>
      <w:iCs/>
      <w:sz w:val="28"/>
      <w:szCs w:val="28"/>
    </w:rPr>
  </w:style>
  <w:style w:type="character" w:styleId="DefaultParagraphFont">
    <w:name w:val="Default Paragraph Font"/>
    <w:qFormat/>
    <w:rPr/>
  </w:style>
  <w:style w:type="character" w:styleId="Nadpis1CharNadpisopatrenia1Char">
    <w:name w:val="Nadpis 1 Char,Nadpis opatrenia  1 Char"/>
    <w:basedOn w:val="DefaultParagraphFont"/>
    <w:qFormat/>
    <w:rPr>
      <w:rFonts w:ascii="Cambria" w:hAnsi="Cambria" w:eastAsia="Times New Roman" w:cs="Times New Roman"/>
      <w:b/>
      <w:bCs/>
      <w:kern w:val="2"/>
      <w:sz w:val="32"/>
      <w:szCs w:val="32"/>
    </w:rPr>
  </w:style>
  <w:style w:type="character" w:styleId="Nadpis2Char">
    <w:name w:val="Nadpis 2 Char"/>
    <w:basedOn w:val="DefaultParagraphFont"/>
    <w:qFormat/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styleId="TltlnzovChar115ptAntiqueOliveNiejeTun">
    <w:name w:val="Štýl Štýl § názov Char + 115 pt + Antique Olive Nie je Tučné"/>
    <w:basedOn w:val="DefaultParagraphFont"/>
    <w:qFormat/>
    <w:rPr>
      <w:rFonts w:ascii="Arial" w:hAnsi="Arial"/>
      <w:b/>
      <w:bCs/>
      <w:szCs w:val="20"/>
      <w:lang w:eastAsia="sk-SK"/>
    </w:rPr>
  </w:style>
  <w:style w:type="character" w:styleId="PtaChar">
    <w:name w:val="Päta Char"/>
    <w:basedOn w:val="DefaultParagraphFont"/>
    <w:qFormat/>
    <w:rPr>
      <w:rFonts w:ascii="Arial" w:hAnsi="Arial"/>
      <w:sz w:val="24"/>
    </w:rPr>
  </w:style>
  <w:style w:type="character" w:styleId="Pagenumber">
    <w:name w:val="page number"/>
    <w:basedOn w:val="DefaultParagraphFont"/>
    <w:qFormat/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qFormat/>
    <w:rPr>
      <w:rFonts w:ascii="Times New Roman" w:hAnsi="Times New Roman" w:cs="Times New Roman"/>
      <w:b/>
      <w:bCs/>
      <w:sz w:val="24"/>
      <w:szCs w:val="24"/>
    </w:rPr>
  </w:style>
  <w:style w:type="character" w:styleId="TextbublinyChar">
    <w:name w:val="Text bubliny Char"/>
    <w:basedOn w:val="DefaultParagraphFont"/>
    <w:qFormat/>
    <w:rPr>
      <w:rFonts w:ascii="Tahoma" w:hAnsi="Tahoma" w:cs="Tahoma"/>
      <w:sz w:val="16"/>
      <w:szCs w:val="16"/>
    </w:rPr>
  </w:style>
  <w:style w:type="character" w:styleId="HlavikaChar">
    <w:name w:val="Hlavička Char"/>
    <w:basedOn w:val="DefaultParagraphFont"/>
    <w:qFormat/>
    <w:rPr>
      <w:sz w:val="24"/>
    </w:rPr>
  </w:style>
  <w:style w:type="character" w:styleId="Annotationreference">
    <w:name w:val="annotation reference"/>
    <w:basedOn w:val="DefaultParagraphFont"/>
    <w:qFormat/>
    <w:rPr>
      <w:rFonts w:ascii="Times New Roman" w:hAnsi="Times New Roman" w:cs="Times New Roman"/>
      <w:sz w:val="16"/>
      <w:szCs w:val="16"/>
    </w:rPr>
  </w:style>
  <w:style w:type="character" w:styleId="TextkomentraChar">
    <w:name w:val="Text komentára Char"/>
    <w:basedOn w:val="DefaultParagraphFont"/>
    <w:qFormat/>
    <w:rPr>
      <w:sz w:val="24"/>
      <w:szCs w:val="24"/>
    </w:rPr>
  </w:style>
  <w:style w:type="character" w:styleId="PredmetkomentraChar">
    <w:name w:val="Predmet komentára Char"/>
    <w:basedOn w:val="TextkomentraChar"/>
    <w:qFormat/>
    <w:rPr>
      <w:b/>
      <w:bCs/>
      <w:sz w:val="24"/>
      <w:szCs w:val="24"/>
    </w:rPr>
  </w:style>
  <w:style w:type="paragraph" w:styleId="Nadpis">
    <w:name w:val="Nadpis"/>
    <w:basedOn w:val="Normal"/>
    <w:next w:val="Telotex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lotextu">
    <w:name w:val="Body Text"/>
    <w:basedOn w:val="Normal"/>
    <w:pPr>
      <w:spacing w:lineRule="auto" w:line="276" w:before="0" w:after="140"/>
    </w:pPr>
    <w:rPr/>
  </w:style>
  <w:style w:type="paragraph" w:styleId="Zoznam">
    <w:name w:val="List"/>
    <w:basedOn w:val="Telotextu"/>
    <w:pPr/>
    <w:rPr>
      <w:rFonts w:cs="Lucida Sans"/>
    </w:rPr>
  </w:style>
  <w:style w:type="paragraph" w:styleId="Po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Normalpodnadpis">
    <w:name w:val="Normal,podnadpis"/>
    <w:qFormat/>
    <w:pPr>
      <w:widowControl/>
      <w:bidi w:val="0"/>
      <w:spacing w:lineRule="auto" w:line="360" w:before="120" w:after="120"/>
      <w:jc w:val="both"/>
      <w:textAlignment w:val="auto"/>
    </w:pPr>
    <w:rPr>
      <w:rFonts w:ascii="Arial Narrow" w:hAnsi="Arial Narrow" w:eastAsia="Cambria Math" w:cs="Arial"/>
      <w:color w:val="auto"/>
      <w:kern w:val="2"/>
      <w:sz w:val="20"/>
      <w:szCs w:val="24"/>
      <w:lang w:val="sk-SK" w:eastAsia="cs-CZ" w:bidi="ar-SA"/>
    </w:rPr>
  </w:style>
  <w:style w:type="paragraph" w:styleId="Heading1Nadpisopatrenia1">
    <w:name w:val="heading 1,Nadpis opatrenia  1"/>
    <w:basedOn w:val="Normalpodnadpis"/>
    <w:qFormat/>
    <w:pPr>
      <w:keepNext w:val="true"/>
      <w:numPr>
        <w:ilvl w:val="0"/>
        <w:numId w:val="1"/>
      </w:numPr>
      <w:spacing w:lineRule="auto" w:line="240"/>
      <w:jc w:val="center"/>
      <w:outlineLvl w:val="0"/>
    </w:pPr>
    <w:rPr>
      <w:b/>
      <w:bCs/>
      <w:lang w:eastAsia="sk-SK"/>
    </w:rPr>
  </w:style>
  <w:style w:type="paragraph" w:styleId="NormalTable">
    <w:name w:val="Normal Table"/>
    <w:qFormat/>
    <w:pPr>
      <w:widowControl/>
      <w:bidi w:val="0"/>
      <w:jc w:val="left"/>
      <w:textAlignment w:val="auto"/>
    </w:pPr>
    <w:rPr>
      <w:rFonts w:ascii="Times New Roman" w:hAnsi="Times New Roman" w:eastAsia="Cambria Math" w:cs="Times New Roman"/>
      <w:color w:val="auto"/>
      <w:kern w:val="2"/>
      <w:sz w:val="20"/>
      <w:szCs w:val="20"/>
      <w:lang w:val="sk-SK" w:eastAsia="sk-SK" w:bidi="ar-SA"/>
    </w:rPr>
  </w:style>
  <w:style w:type="paragraph" w:styleId="Tl11ptTuniernaPodaokrajaVavo019cmRiadkova">
    <w:name w:val="Štýl 11 pt Tučné Čierna Podľa okraja Vľavo:  019 cm Riadkova..."/>
    <w:next w:val="Normalpodnadpis"/>
    <w:qFormat/>
    <w:pPr>
      <w:widowControl/>
      <w:bidi w:val="0"/>
      <w:spacing w:lineRule="auto" w:line="360"/>
      <w:jc w:val="both"/>
      <w:textAlignment w:val="auto"/>
    </w:pPr>
    <w:rPr>
      <w:rFonts w:ascii="Arial" w:hAnsi="Arial" w:eastAsia="Cambria Math" w:cs="Arial"/>
      <w:color w:val="000000"/>
      <w:kern w:val="2"/>
      <w:sz w:val="24"/>
      <w:szCs w:val="24"/>
      <w:lang w:val="sk-SK" w:eastAsia="cs-CZ" w:bidi="ar-SA"/>
    </w:rPr>
  </w:style>
  <w:style w:type="paragraph" w:styleId="TlPodaokrajaVavo019cmRiadkovanie15riadka">
    <w:name w:val="Štýl Podľa okraja Vľavo:  019 cm Riadkovanie:  15 riadka"/>
    <w:basedOn w:val="Normalpodnadpis"/>
    <w:autoRedefine/>
    <w:qFormat/>
    <w:pPr>
      <w:ind w:left="108" w:hanging="0"/>
    </w:pPr>
    <w:rPr/>
  </w:style>
  <w:style w:type="paragraph" w:styleId="Bododvodnenie">
    <w:name w:val="Bod odôvodnenie"/>
    <w:qFormat/>
    <w:pPr>
      <w:widowControl/>
      <w:numPr>
        <w:ilvl w:val="0"/>
        <w:numId w:val="2"/>
      </w:numPr>
      <w:tabs>
        <w:tab w:val="clear" w:pos="709"/>
        <w:tab w:val="left" w:pos="0" w:leader="none"/>
      </w:tabs>
      <w:bidi w:val="0"/>
      <w:spacing w:before="120" w:after="120"/>
      <w:jc w:val="left"/>
      <w:textAlignment w:val="auto"/>
    </w:pPr>
    <w:rPr>
      <w:rFonts w:ascii="Arial" w:hAnsi="Arial" w:eastAsia="Cambria Math" w:cs="Arial"/>
      <w:b/>
      <w:bCs/>
      <w:color w:val="auto"/>
      <w:kern w:val="2"/>
      <w:sz w:val="24"/>
      <w:szCs w:val="24"/>
      <w:lang w:val="sk-SK" w:eastAsia="cs-CZ" w:bidi="ar-SA"/>
    </w:rPr>
  </w:style>
  <w:style w:type="paragraph" w:styleId="TlArialPodaokraja">
    <w:name w:val="Štýl Arial Podľa okraja"/>
    <w:autoRedefine/>
    <w:qFormat/>
    <w:pPr>
      <w:widowControl/>
      <w:bidi w:val="0"/>
      <w:jc w:val="both"/>
      <w:textAlignment w:val="auto"/>
    </w:pPr>
    <w:rPr>
      <w:rFonts w:ascii="Arial" w:hAnsi="Arial" w:eastAsia="Cambria Math" w:cs="Arial"/>
      <w:color w:val="auto"/>
      <w:kern w:val="2"/>
      <w:sz w:val="16"/>
      <w:szCs w:val="16"/>
      <w:lang w:val="sk-SK" w:eastAsia="cs-CZ" w:bidi="ar-SA"/>
    </w:rPr>
  </w:style>
  <w:style w:type="paragraph" w:styleId="Textpoznmky">
    <w:name w:val="Text poznámky"/>
    <w:basedOn w:val="Normalpodnadpis"/>
    <w:autoRedefine/>
    <w:qFormat/>
    <w:pPr>
      <w:numPr>
        <w:ilvl w:val="0"/>
        <w:numId w:val="3"/>
      </w:numPr>
      <w:tabs>
        <w:tab w:val="clear" w:pos="709"/>
        <w:tab w:val="left" w:pos="0" w:leader="none"/>
      </w:tabs>
      <w:spacing w:lineRule="auto" w:line="240"/>
    </w:pPr>
    <w:rPr/>
  </w:style>
  <w:style w:type="paragraph" w:styleId="TableGrid">
    <w:name w:val="Table Grid"/>
    <w:basedOn w:val="NormalTable"/>
    <w:qFormat/>
    <w:pPr>
      <w:pBdr/>
      <w:spacing w:lineRule="auto" w:line="240" w:before="0" w:after="0"/>
      <w:jc w:val="left"/>
    </w:pPr>
    <w:rPr>
      <w:rFonts w:ascii="Arial" w:hAnsi="Arial"/>
      <w:szCs w:val="20"/>
      <w:lang w:eastAsia="sk-SK"/>
    </w:rPr>
  </w:style>
  <w:style w:type="paragraph" w:styleId="Hlavikaapta">
    <w:name w:val="Hlavička a päta"/>
    <w:basedOn w:val="Normal"/>
    <w:qFormat/>
    <w:pPr/>
    <w:rPr/>
  </w:style>
  <w:style w:type="paragraph" w:styleId="Pta">
    <w:name w:val="Footer"/>
    <w:basedOn w:val="Normalpodnadpis"/>
    <w:pPr>
      <w:tabs>
        <w:tab w:val="clear" w:pos="709"/>
        <w:tab w:val="center" w:pos="4536" w:leader="none"/>
        <w:tab w:val="right" w:pos="9072" w:leader="none"/>
      </w:tabs>
    </w:pPr>
    <w:rPr/>
  </w:style>
  <w:style w:type="paragraph" w:styleId="Normlny1">
    <w:name w:val="Normálny1"/>
    <w:next w:val="Normalpodnadpis"/>
    <w:qFormat/>
    <w:pPr>
      <w:widowControl/>
      <w:bidi w:val="0"/>
      <w:spacing w:lineRule="auto" w:line="360" w:before="120" w:after="120"/>
      <w:ind w:firstLine="709"/>
      <w:jc w:val="both"/>
      <w:textAlignment w:val="auto"/>
    </w:pPr>
    <w:rPr>
      <w:rFonts w:ascii="Arial" w:hAnsi="Arial" w:eastAsia="Cambria Math" w:cs="Arial"/>
      <w:color w:val="auto"/>
      <w:kern w:val="2"/>
      <w:sz w:val="24"/>
      <w:szCs w:val="24"/>
      <w:lang w:val="sk-SK" w:eastAsia="cs-CZ" w:bidi="ar-SA"/>
    </w:rPr>
  </w:style>
  <w:style w:type="paragraph" w:styleId="Textopatrenia">
    <w:name w:val="Text opatrenia"/>
    <w:qFormat/>
    <w:pPr>
      <w:widowControl/>
      <w:numPr>
        <w:ilvl w:val="0"/>
        <w:numId w:val="4"/>
      </w:numPr>
      <w:tabs>
        <w:tab w:val="clear" w:pos="709"/>
        <w:tab w:val="left" w:pos="1440" w:leader="none"/>
      </w:tabs>
      <w:bidi w:val="0"/>
      <w:spacing w:before="120" w:after="120"/>
      <w:ind w:left="1440" w:hanging="360"/>
      <w:jc w:val="both"/>
      <w:textAlignment w:val="auto"/>
    </w:pPr>
    <w:rPr>
      <w:rFonts w:ascii="Arial Narrow" w:hAnsi="Arial Narrow" w:eastAsia="Cambria Math" w:cs="Arial"/>
      <w:color w:val="auto"/>
      <w:kern w:val="2"/>
      <w:sz w:val="22"/>
      <w:szCs w:val="22"/>
      <w:lang w:val="sk-SK" w:eastAsia="cs-CZ" w:bidi="ar-SA"/>
    </w:rPr>
  </w:style>
  <w:style w:type="paragraph" w:styleId="TopHeader">
    <w:name w:val="Top Header"/>
    <w:basedOn w:val="Normalpodnadpis"/>
    <w:qFormat/>
    <w:pPr>
      <w:spacing w:lineRule="auto" w:line="240" w:before="0" w:after="0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BalloonText">
    <w:name w:val="Balloon Text"/>
    <w:basedOn w:val="Normalpodnadpis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Zhlavie">
    <w:name w:val="Header"/>
    <w:basedOn w:val="Normalpodnadpis"/>
    <w:pPr>
      <w:tabs>
        <w:tab w:val="clear" w:pos="709"/>
        <w:tab w:val="center" w:pos="4536" w:leader="none"/>
        <w:tab w:val="right" w:pos="9072" w:leader="none"/>
      </w:tabs>
    </w:pPr>
    <w:rPr/>
  </w:style>
  <w:style w:type="paragraph" w:styleId="Annotationtext">
    <w:name w:val="annotation text"/>
    <w:basedOn w:val="Normalpodnadpis"/>
    <w:qFormat/>
    <w:pPr/>
    <w:rPr>
      <w:szCs w:val="20"/>
    </w:rPr>
  </w:style>
  <w:style w:type="paragraph" w:styleId="Annotationsubject">
    <w:name w:val="annotation subject"/>
    <w:basedOn w:val="Annotationtext"/>
    <w:next w:val="Annotationtext"/>
    <w:qFormat/>
    <w:pPr/>
    <w:rPr>
      <w:b/>
      <w:bCs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LibreOffice/7.4.3.2$Windows_X86_64 LibreOffice_project/1048a8393ae2eeec98dff31b5c133c5f1d08b890</Application>
  <AppVersion>15.0000</AppVersion>
  <Pages>10</Pages>
  <Words>1921</Words>
  <Characters>11972</Characters>
  <CharactersWithSpaces>13653</CharactersWithSpaces>
  <Paragraphs>251</Paragraphs>
  <Company>MF-SR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2022-01-25T09:15:00Z</dcterms:created>
  <dc:creator>jvrskova</dc:creator>
  <dc:description/>
  <dc:language>sk-SK</dc:language>
  <cp:lastModifiedBy/>
  <cp:lastPrinted>2021-09-13T09:31:00Z</cp:lastPrinted>
  <dcterms:modified xsi:type="dcterms:W3CDTF">2024-05-20T18:58:46Z</dcterms:modified>
  <cp:revision>3</cp:revision>
  <dc:subject/>
  <dc:title>Príloha č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Salkovicova Ingrid</vt:lpwstr>
  </property>
</Properties>
</file>