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015C90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Poznámky k 31.12.202</w:t>
      </w:r>
      <w:r>
        <w:rPr>
          <w:rFonts w:hint="default" w:ascii="Times New Roman" w:hAnsi="Times New Roman" w:cs="Times New Roman"/>
          <w:b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14:paraId="25E64937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12405EF3">
      <w:pPr>
        <w:pStyle w:val="11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14:paraId="43774556">
      <w:pPr>
        <w:pStyle w:val="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14:paraId="6DD673C4">
      <w:pPr>
        <w:pStyle w:val="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Obchodné meno a sídlo spoločnosti:</w:t>
      </w:r>
      <w:bookmarkEnd w:id="0"/>
    </w:p>
    <w:p w14:paraId="6468DD9D">
      <w:pPr>
        <w:pStyle w:val="6"/>
        <w:rPr>
          <w:szCs w:val="18"/>
        </w:rPr>
      </w:pPr>
    </w:p>
    <w:p w14:paraId="7EDCBC1F">
      <w:pPr>
        <w:pStyle w:val="6"/>
        <w:rPr>
          <w:szCs w:val="18"/>
        </w:rPr>
      </w:pPr>
      <w:r>
        <w:rPr>
          <w:szCs w:val="18"/>
        </w:rPr>
        <w:t>GLOMAT, s.r. o.</w:t>
      </w:r>
    </w:p>
    <w:p w14:paraId="2286B7CE">
      <w:pPr>
        <w:pStyle w:val="6"/>
        <w:rPr>
          <w:szCs w:val="18"/>
        </w:rPr>
      </w:pPr>
      <w:r>
        <w:rPr>
          <w:szCs w:val="18"/>
        </w:rPr>
        <w:t>Vavrečka 108</w:t>
      </w:r>
    </w:p>
    <w:p w14:paraId="01644B51">
      <w:pPr>
        <w:pStyle w:val="6"/>
        <w:rPr>
          <w:szCs w:val="18"/>
        </w:rPr>
      </w:pPr>
      <w:r>
        <w:rPr>
          <w:szCs w:val="18"/>
        </w:rPr>
        <w:t>029 01  Námestovo</w:t>
      </w:r>
    </w:p>
    <w:p w14:paraId="59E389F4">
      <w:pPr>
        <w:pStyle w:val="6"/>
        <w:rPr>
          <w:szCs w:val="18"/>
        </w:rPr>
      </w:pPr>
    </w:p>
    <w:p w14:paraId="092C68B4">
      <w:pPr>
        <w:pStyle w:val="6"/>
        <w:rPr>
          <w:szCs w:val="18"/>
        </w:rPr>
      </w:pPr>
      <w:r>
        <w:rPr>
          <w:szCs w:val="18"/>
        </w:rPr>
        <w:t xml:space="preserve">Spoločnosť GLOMAT, s.r.o. (ďalej len Spoločnosť) bola založená 02.12.2022 a bola zapísaná  do obchodného registra 02.12.2022 (Obchodný register Okresného súdu Žilina, oddiel Sro, vložka 80918/L). </w:t>
      </w:r>
    </w:p>
    <w:p w14:paraId="7531619E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558698E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14:paraId="0468C41E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089CA4C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3E479092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Kúpa tovaru na účely jeho predaja konečnému spotrebiteľovi (maloobchod) alebo iným prevádzkovateľom živností (veľkoobchod)</w:t>
            </w:r>
          </w:p>
        </w:tc>
        <w:tc>
          <w:tcPr>
            <w:tcW w:w="1650" w:type="pct"/>
            <w:shd w:val="clear" w:color="auto" w:fill="FFFFFF"/>
          </w:tcPr>
          <w:p w14:paraId="6C316997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2A16E68E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55ECB1B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7F97D73A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Poskytovanie služieb v lesníctve a poľovníctve</w:t>
            </w:r>
          </w:p>
        </w:tc>
        <w:tc>
          <w:tcPr>
            <w:tcW w:w="1650" w:type="pct"/>
            <w:shd w:val="clear" w:color="auto" w:fill="FFFFFF"/>
          </w:tcPr>
          <w:p w14:paraId="58E1F7C2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6253C6BA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244B611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6B5BA202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</w:tcPr>
          <w:p w14:paraId="61F767D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7B0D0EBE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5AF7A21D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1F70DAC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Opracovanie drevnej hmoty a výroba komponentov z dreva</w:t>
            </w:r>
          </w:p>
        </w:tc>
        <w:tc>
          <w:tcPr>
            <w:tcW w:w="1650" w:type="pct"/>
            <w:shd w:val="clear" w:color="auto" w:fill="FFFFFF"/>
          </w:tcPr>
          <w:p w14:paraId="52C84538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0D889175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3095E8B3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0B602F0B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Výroba a hutnícke spracovanie kovov</w:t>
            </w:r>
          </w:p>
        </w:tc>
        <w:tc>
          <w:tcPr>
            <w:tcW w:w="1650" w:type="pct"/>
            <w:shd w:val="clear" w:color="auto" w:fill="FFFFFF"/>
          </w:tcPr>
          <w:p w14:paraId="4A9BDA7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2D64B892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0B48AF8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12EF3B9F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</w:tcPr>
          <w:p w14:paraId="4570D64E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2768236E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6A364CA9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2EF05D2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</w:tcPr>
          <w:p w14:paraId="5AE3091D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69D90346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38CA4DA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5E1FB170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Vŕtanie studní s dĺžkou do 30 m</w:t>
            </w:r>
          </w:p>
        </w:tc>
        <w:tc>
          <w:tcPr>
            <w:tcW w:w="1650" w:type="pct"/>
            <w:shd w:val="clear" w:color="auto" w:fill="FFFFFF"/>
          </w:tcPr>
          <w:p w14:paraId="3ED5DA54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5A907F5F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0A83A98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74A6FFB9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</w:tcPr>
          <w:p w14:paraId="2F660812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71D5C475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28A0B4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75D6C59F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</w:tcPr>
          <w:p w14:paraId="3299D8A9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00E19B20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6B601BC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02E6B442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</w:tcPr>
          <w:p w14:paraId="6F8A34D4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4728CFA2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6A5BF824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2F2D9E1B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</w:tcPr>
          <w:p w14:paraId="68555547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088FD70C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3C3446C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13A548E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</w:tcPr>
          <w:p w14:paraId="115DE922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1B220EA2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13B1E6BA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2493446F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</w:tcPr>
          <w:p w14:paraId="5EEB9CC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294F69F4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733BBEEC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5423BFF6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</w:tcPr>
          <w:p w14:paraId="1C0C744A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5441BCFB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27CB192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31A2FEA4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</w:tcPr>
          <w:p w14:paraId="507B944D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76AE5005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6B3BF9E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771B0429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</w:tcPr>
          <w:p w14:paraId="6182265F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586C297B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3064CCC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15C70CB7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</w:tcPr>
          <w:p w14:paraId="545703BC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27EA67E6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71B55F25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55BCEE2D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</w:tcPr>
          <w:p w14:paraId="4AA7423C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3E6093C3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2D40D477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0AA780D9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</w:tcPr>
          <w:p w14:paraId="3AF6D6AD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4DAFF23D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7A4F0CEE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22D73E0B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</w:tcPr>
          <w:p w14:paraId="0337D0BE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029FB4CC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3EE69641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6BCB9BD3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</w:tcPr>
          <w:p w14:paraId="08FD9AD5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67047BA7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719BDD0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1945C43E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Prevádzkovanie jaslí</w:t>
            </w:r>
          </w:p>
        </w:tc>
        <w:tc>
          <w:tcPr>
            <w:tcW w:w="1650" w:type="pct"/>
            <w:shd w:val="clear" w:color="auto" w:fill="FFFFFF"/>
          </w:tcPr>
          <w:p w14:paraId="196D2F49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72106C4A">
      <w:pPr>
        <w:spacing w:after="0" w:line="240" w:lineRule="auto"/>
        <w:rPr>
          <w:rFonts w:ascii="Times New Roman" w:hAnsi="Times New Roman" w:eastAsia="Times New Roman" w:cs="Times New Roman"/>
          <w:vanish/>
          <w:sz w:val="24"/>
          <w:szCs w:val="24"/>
          <w:lang w:eastAsia="sk-SK"/>
        </w:rPr>
      </w:pPr>
    </w:p>
    <w:tbl>
      <w:tblPr>
        <w:tblStyle w:val="4"/>
        <w:tblW w:w="5000" w:type="pct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57"/>
        <w:gridCol w:w="3499"/>
      </w:tblGrid>
      <w:tr w14:paraId="3D46CFEF"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3BE7BD12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</w:tcPr>
          <w:p w14:paraId="204930EE">
            <w:pPr>
              <w:spacing w:after="0" w:line="240" w:lineRule="auto"/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Arial CE" w:hAnsi="Arial CE" w:eastAsia="Times New Roman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14:paraId="357FC4D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49258EA">
      <w:pPr>
        <w:spacing w:after="0" w:line="240" w:lineRule="auto"/>
        <w:jc w:val="both"/>
        <w:rPr>
          <w:szCs w:val="18"/>
        </w:rPr>
      </w:pPr>
      <w:r>
        <w:rPr>
          <w:szCs w:val="18"/>
        </w:rPr>
        <w:t>Právny dôvod na zostavenie účtovnej závierky</w:t>
      </w:r>
    </w:p>
    <w:p w14:paraId="1DEA05AC">
      <w:pPr>
        <w:pStyle w:val="6"/>
        <w:ind w:hanging="426"/>
        <w:rPr>
          <w:szCs w:val="18"/>
        </w:rPr>
      </w:pPr>
      <w:r>
        <w:rPr>
          <w:szCs w:val="18"/>
        </w:rPr>
        <w:tab/>
      </w:r>
      <w:r>
        <w:rPr>
          <w:szCs w:val="18"/>
        </w:rPr>
        <w:t>Účtovná závierka spoločnosti k 31. decembru 202</w:t>
      </w:r>
      <w:r>
        <w:rPr>
          <w:rFonts w:hint="default"/>
          <w:szCs w:val="18"/>
          <w:lang w:val="sk-SK"/>
        </w:rPr>
        <w:t>5</w:t>
      </w:r>
      <w:r>
        <w:rPr>
          <w:szCs w:val="18"/>
        </w:rPr>
        <w:t xml:space="preserve"> je zostavená ako účtovná závierka malej účtovnej jednotky, zostavená a schválená podľa zákona NR SR č. 431/2002 Z. z. o účtovníctve, za účtovné obdobie od 01. januára 202</w:t>
      </w:r>
      <w:r>
        <w:rPr>
          <w:rFonts w:hint="default"/>
          <w:szCs w:val="18"/>
          <w:lang w:val="sk-SK"/>
        </w:rPr>
        <w:t>5</w:t>
      </w:r>
      <w:r>
        <w:rPr>
          <w:szCs w:val="18"/>
        </w:rPr>
        <w:t xml:space="preserve"> do 31. decembra 202</w:t>
      </w:r>
      <w:r>
        <w:rPr>
          <w:rFonts w:hint="default"/>
          <w:szCs w:val="18"/>
          <w:lang w:val="sk-SK"/>
        </w:rPr>
        <w:t>5</w:t>
      </w:r>
      <w:r>
        <w:rPr>
          <w:szCs w:val="18"/>
        </w:rPr>
        <w:t xml:space="preserve">. </w:t>
      </w:r>
    </w:p>
    <w:p w14:paraId="76B89E4A">
      <w:pPr>
        <w:pStyle w:val="6"/>
        <w:ind w:hanging="426"/>
        <w:rPr>
          <w:szCs w:val="18"/>
        </w:rPr>
      </w:pPr>
      <w:r>
        <w:rPr>
          <w:szCs w:val="18"/>
        </w:rPr>
        <w:t xml:space="preserve">         Účtovná závierka za rok 202</w:t>
      </w:r>
      <w:r>
        <w:rPr>
          <w:rFonts w:hint="default"/>
          <w:szCs w:val="18"/>
          <w:lang w:val="sk-SK"/>
        </w:rPr>
        <w:t>5</w:t>
      </w:r>
      <w:r>
        <w:rPr>
          <w:szCs w:val="18"/>
        </w:rPr>
        <w:t xml:space="preserve"> bola zostavená dňa </w:t>
      </w:r>
      <w:r>
        <w:rPr>
          <w:rFonts w:hint="default"/>
          <w:szCs w:val="18"/>
          <w:lang w:val="sk-SK"/>
        </w:rPr>
        <w:t>09</w:t>
      </w:r>
      <w:r>
        <w:rPr>
          <w:szCs w:val="18"/>
        </w:rPr>
        <w:t>.06.202</w:t>
      </w:r>
      <w:r>
        <w:rPr>
          <w:rFonts w:hint="default"/>
          <w:szCs w:val="18"/>
          <w:lang w:val="sk-SK"/>
        </w:rPr>
        <w:t>6</w:t>
      </w:r>
      <w:r>
        <w:rPr>
          <w:szCs w:val="18"/>
        </w:rPr>
        <w:t xml:space="preserve"> a schválená valným zhromaždením dňa </w:t>
      </w:r>
      <w:r>
        <w:rPr>
          <w:rFonts w:hint="default"/>
          <w:szCs w:val="18"/>
          <w:lang w:val="sk-SK"/>
        </w:rPr>
        <w:t>12</w:t>
      </w:r>
      <w:r>
        <w:rPr>
          <w:szCs w:val="18"/>
        </w:rPr>
        <w:t>.06.202</w:t>
      </w:r>
      <w:r>
        <w:rPr>
          <w:rFonts w:hint="default"/>
          <w:szCs w:val="18"/>
          <w:lang w:val="sk-SK"/>
        </w:rPr>
        <w:t>6</w:t>
      </w:r>
      <w:r>
        <w:rPr>
          <w:szCs w:val="18"/>
        </w:rPr>
        <w:t>.</w:t>
      </w:r>
    </w:p>
    <w:p w14:paraId="5E24A09D">
      <w:pPr>
        <w:pStyle w:val="6"/>
        <w:ind w:hanging="426"/>
        <w:rPr>
          <w:color w:val="FF0000"/>
          <w:szCs w:val="18"/>
        </w:rPr>
      </w:pPr>
    </w:p>
    <w:p w14:paraId="08295E89">
      <w:pPr>
        <w:pStyle w:val="2"/>
        <w:numPr>
          <w:ilvl w:val="0"/>
          <w:numId w:val="3"/>
        </w:numPr>
        <w:jc w:val="both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 w14:paraId="45F83AEA">
      <w:pPr>
        <w:pStyle w:val="6"/>
        <w:ind w:hanging="426"/>
        <w:rPr>
          <w:szCs w:val="18"/>
        </w:rPr>
      </w:pPr>
      <w:r>
        <w:rPr>
          <w:szCs w:val="18"/>
        </w:rPr>
        <w:tab/>
      </w:r>
      <w:r>
        <w:rPr>
          <w:szCs w:val="18"/>
        </w:rPr>
        <w:t>Schválená dňa 2</w:t>
      </w:r>
      <w:r>
        <w:rPr>
          <w:rFonts w:hint="default"/>
          <w:szCs w:val="18"/>
          <w:lang w:val="sk-SK"/>
        </w:rPr>
        <w:t>7</w:t>
      </w:r>
      <w:r>
        <w:rPr>
          <w:szCs w:val="18"/>
        </w:rPr>
        <w:t>.06.202</w:t>
      </w:r>
      <w:r>
        <w:rPr>
          <w:rFonts w:hint="default"/>
          <w:szCs w:val="18"/>
          <w:lang w:val="sk-SK"/>
        </w:rPr>
        <w:t>5</w:t>
      </w:r>
      <w:r>
        <w:rPr>
          <w:szCs w:val="18"/>
        </w:rPr>
        <w:t>.</w:t>
      </w:r>
    </w:p>
    <w:p w14:paraId="594B1319">
      <w:pPr>
        <w:pStyle w:val="6"/>
        <w:rPr>
          <w:szCs w:val="18"/>
        </w:rPr>
      </w:pPr>
    </w:p>
    <w:p w14:paraId="2596FC5B">
      <w:pPr>
        <w:pStyle w:val="11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Informácie o počte zamestnancov</w:t>
      </w:r>
    </w:p>
    <w:p w14:paraId="528973D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Spoločnosť k 31.12.202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nezamestnáva zamestnancov na trvalý pracovný pomer.</w:t>
      </w:r>
    </w:p>
    <w:p w14:paraId="7E1C5ABE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14:paraId="1B92352A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4.  Informácie o členoch štaturárnych orgánov, dozorných orgánov a iných orgánov účtovnej jednotky</w:t>
      </w:r>
    </w:p>
    <w:p w14:paraId="10CEF2B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3607162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*Spoločníci:</w:t>
      </w:r>
    </w:p>
    <w:p w14:paraId="2E65175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3EB8E90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- jednoosobová – spoločník, výška vkladu spoločníka je  5 000,00 EUR.</w:t>
      </w:r>
    </w:p>
    <w:p w14:paraId="612EA62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D6D04E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Michaela Klimčíková</w:t>
      </w:r>
    </w:p>
    <w:p w14:paraId="5E56AC47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Vavrečka 108 </w:t>
      </w:r>
    </w:p>
    <w:p w14:paraId="221DBE8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029 01 Námestovo</w:t>
      </w:r>
    </w:p>
    <w:p w14:paraId="1F306A37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0FFE6C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37B3D05A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5.   Informácie o použitých účtovných zásadách a účtovných metódach</w:t>
      </w:r>
    </w:p>
    <w:p w14:paraId="3FBD55D3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účtuje v sústave podvojného účtovníctva. Účtuje spôsobom B. Inventarizačne k 31.12. vyrovnáva stav zásob nedokončenej výroby a skladových zásob.</w:t>
      </w:r>
    </w:p>
    <w:p w14:paraId="16330A24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E586F92">
      <w:pPr>
        <w:pStyle w:val="11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14:paraId="1FF3F5CC">
      <w:pPr>
        <w:pStyle w:val="6"/>
        <w:ind w:left="0"/>
        <w:rPr>
          <w:szCs w:val="18"/>
        </w:rPr>
      </w:pPr>
      <w:r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nehmotný majetok uvedený do používania. </w:t>
      </w:r>
    </w:p>
    <w:p w14:paraId="1C036545">
      <w:pPr>
        <w:pStyle w:val="6"/>
        <w:ind w:left="0"/>
        <w:rPr>
          <w:szCs w:val="18"/>
        </w:rPr>
      </w:pPr>
    </w:p>
    <w:p w14:paraId="54483B32">
      <w:pPr>
        <w:pStyle w:val="6"/>
        <w:ind w:left="0"/>
        <w:rPr>
          <w:szCs w:val="18"/>
        </w:rPr>
      </w:pPr>
      <w:r>
        <w:rPr>
          <w:szCs w:val="18"/>
        </w:rPr>
        <w:t xml:space="preserve">Odpisy dlhodobého hmotného majetku sú stanovené vychádzajúc z predpokladanej doby jeho používania a predpokladaného priebehu jeho opotrebenia. Odpisuje sa rovnomerne. Účtovné a daňové odpisy sa rovnajú. 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neodpisujú. Dlhodobý majetok nakupovaný sa oceňuje obstarávacou cenou, ktorá zahŕňa cenu obstarania a náklady súvisiace s obstaraním (clo, prepravu, montáž, poistné a pod.). </w:t>
      </w:r>
    </w:p>
    <w:p w14:paraId="57CE113D">
      <w:pPr>
        <w:pStyle w:val="6"/>
        <w:ind w:left="0"/>
        <w:rPr>
          <w:szCs w:val="18"/>
        </w:rPr>
      </w:pPr>
    </w:p>
    <w:p w14:paraId="209A53C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počas roka 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neobstarala dlhodobý hmotný investičný majetok. </w:t>
      </w:r>
    </w:p>
    <w:p w14:paraId="59C1B643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139838DE">
      <w:pPr>
        <w:pStyle w:val="11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14:paraId="09F8AB04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14:paraId="65ED9C9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>
        <w:rPr>
          <w:rFonts w:ascii="Times New Roman" w:hAnsi="Times New Roman" w:cs="Times New Roman"/>
          <w:sz w:val="18"/>
          <w:szCs w:val="18"/>
        </w:rPr>
        <w:t>Spoločnosť k 31.12.202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1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975</w:t>
      </w:r>
      <w:r>
        <w:rPr>
          <w:rFonts w:ascii="Times New Roman" w:hAnsi="Times New Roman" w:cs="Times New Roman"/>
          <w:sz w:val="18"/>
          <w:szCs w:val="18"/>
        </w:rPr>
        <w:t>,00 EUR. Pohľadávky k 31.12.202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sú krátkodobé.</w:t>
      </w:r>
    </w:p>
    <w:p w14:paraId="708278E3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tvorila OP k pohľadávkam z obchodného styku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 xml:space="preserve"> vo výške 4 781,70 EUR</w:t>
      </w:r>
      <w:r>
        <w:rPr>
          <w:rFonts w:ascii="Times New Roman" w:hAnsi="Times New Roman" w:cs="Times New Roman"/>
          <w:sz w:val="18"/>
          <w:szCs w:val="18"/>
        </w:rPr>
        <w:t>.</w:t>
      </w:r>
    </w:p>
    <w:p w14:paraId="6CB2C1F7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5F479382">
      <w:pPr>
        <w:pStyle w:val="11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14:paraId="4BD71B1B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má v SLSP, a.s. zriadený jeden účet číslo SK30 0900 0000 0051 9747 8683. Hodnota peňažných prostriedkov k </w:t>
      </w:r>
      <w:r>
        <w:rPr>
          <w:rFonts w:ascii="Times New Roman" w:hAnsi="Times New Roman" w:cs="Times New Roman"/>
          <w:b/>
          <w:sz w:val="18"/>
          <w:szCs w:val="18"/>
        </w:rPr>
        <w:t>31.12.202</w:t>
      </w:r>
      <w:r>
        <w:rPr>
          <w:rFonts w:hint="default" w:ascii="Times New Roman" w:hAnsi="Times New Roman" w:cs="Times New Roman"/>
          <w:b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b/>
          <w:sz w:val="18"/>
          <w:szCs w:val="18"/>
        </w:rPr>
        <w:t xml:space="preserve">  na  účte je </w:t>
      </w:r>
      <w:r>
        <w:rPr>
          <w:rFonts w:hint="default" w:ascii="Times New Roman" w:hAnsi="Times New Roman" w:cs="Times New Roman"/>
          <w:b/>
          <w:sz w:val="18"/>
          <w:szCs w:val="18"/>
          <w:lang w:val="sk-SK"/>
        </w:rPr>
        <w:t>1 766,18</w:t>
      </w:r>
      <w:r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14:paraId="53FA982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Spoločnosť má Hlavnú pokladňu.</w:t>
      </w:r>
    </w:p>
    <w:p w14:paraId="3089ABF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Hodnota peňažných prostriedkov k </w:t>
      </w:r>
      <w:r>
        <w:rPr>
          <w:rFonts w:ascii="Times New Roman" w:hAnsi="Times New Roman" w:cs="Times New Roman"/>
          <w:b/>
          <w:sz w:val="18"/>
          <w:szCs w:val="18"/>
        </w:rPr>
        <w:t>31.12.202</w:t>
      </w:r>
      <w:r>
        <w:rPr>
          <w:rFonts w:hint="default" w:ascii="Times New Roman" w:hAnsi="Times New Roman" w:cs="Times New Roman"/>
          <w:b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v Hlavnej pokladni je 323,65 EUR.</w:t>
      </w:r>
    </w:p>
    <w:p w14:paraId="64308522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7850331">
      <w:pPr>
        <w:pStyle w:val="11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14:paraId="70AD78B5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14:paraId="03EBFF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7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392</w:t>
      </w:r>
      <w:r>
        <w:rPr>
          <w:rFonts w:ascii="Times New Roman" w:hAnsi="Times New Roman" w:cs="Times New Roman"/>
          <w:sz w:val="18"/>
          <w:szCs w:val="18"/>
        </w:rPr>
        <w:t xml:space="preserve">,00 EUR. </w:t>
      </w:r>
    </w:p>
    <w:p w14:paraId="434375F7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6001118">
      <w:pPr>
        <w:pStyle w:val="11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Dlhodobé a krátkodobé záväzky voči spoločníkom </w:t>
      </w:r>
    </w:p>
    <w:p w14:paraId="46660D7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Záväzok voči spoločníkovi za upísané vlastné imanie je k 31.12.202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vo výške 0,00 EUR. Vlastné imanie bolo splatené.</w:t>
      </w:r>
    </w:p>
    <w:p w14:paraId="04C2C4C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Záväzok voči spoločníkovi krátkodobý je k 31.12.202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vo výške 3 800,00 EUR.</w:t>
      </w:r>
    </w:p>
    <w:p w14:paraId="2DDD3634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22C5670E">
      <w:pPr>
        <w:pStyle w:val="11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Rezervy a nevyfakturované dodávky</w:t>
      </w:r>
    </w:p>
    <w:p w14:paraId="57CE39AE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netvorila daňové rezervy  na nevyčerpané dovolenky (mzdy+odvody). Netvorila iné nedaňové rezervy. </w:t>
      </w:r>
    </w:p>
    <w:p w14:paraId="3C1ACAA9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403C028A">
      <w:pPr>
        <w:pStyle w:val="11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14:paraId="2322ED6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202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netvorila sociálny fond.  </w:t>
      </w:r>
    </w:p>
    <w:p w14:paraId="058C07FC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A1CE1F0">
      <w:pPr>
        <w:pStyle w:val="11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14:paraId="79D5D9BE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Najpodstatnejšou  a  najväčšou zložkou výnosov spoločnosti sú výnosy za vlastné služby  vo výške 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>0</w:t>
      </w:r>
      <w:r>
        <w:rPr>
          <w:rFonts w:ascii="Times New Roman" w:hAnsi="Times New Roman" w:cs="Times New Roman"/>
          <w:sz w:val="18"/>
          <w:szCs w:val="18"/>
        </w:rPr>
        <w:t xml:space="preserve">,00 EUR. </w:t>
      </w:r>
    </w:p>
    <w:p w14:paraId="3C06728D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4C254FA1">
      <w:pPr>
        <w:pStyle w:val="11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14:paraId="17B2C649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Na nákladoch spoločnosti sa najväčšou mierovou podieľajú  náklady na prijaté služby</w:t>
      </w:r>
      <w:r>
        <w:rPr>
          <w:rFonts w:hint="default" w:ascii="Times New Roman" w:hAnsi="Times New Roman" w:cs="Times New Roman"/>
          <w:sz w:val="18"/>
          <w:szCs w:val="18"/>
          <w:lang w:val="sk-SK"/>
        </w:rPr>
        <w:t xml:space="preserve"> 0</w:t>
      </w:r>
      <w:r>
        <w:rPr>
          <w:rFonts w:ascii="Times New Roman" w:hAnsi="Times New Roman" w:cs="Times New Roman"/>
          <w:sz w:val="18"/>
          <w:szCs w:val="18"/>
        </w:rPr>
        <w:t>,00 EUR a základné potreby pre podnikanie.</w:t>
      </w:r>
    </w:p>
    <w:p w14:paraId="03491F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3EAC5128">
      <w:pPr>
        <w:pStyle w:val="17"/>
        <w:numPr>
          <w:ilvl w:val="0"/>
          <w:numId w:val="5"/>
        </w:numPr>
        <w:rPr>
          <w:szCs w:val="18"/>
        </w:rPr>
      </w:pPr>
      <w:r>
        <w:rPr>
          <w:szCs w:val="18"/>
        </w:rPr>
        <w:t xml:space="preserve"> Výdavky budúcich období a výnosy budúcich období</w:t>
      </w:r>
    </w:p>
    <w:p w14:paraId="00635DE1">
      <w:pPr>
        <w:pStyle w:val="6"/>
        <w:ind w:left="0"/>
        <w:rPr>
          <w:szCs w:val="18"/>
        </w:rPr>
      </w:pPr>
      <w:r>
        <w:rPr>
          <w:szCs w:val="18"/>
        </w:rPr>
        <w:t>Výdavky budúcich období a výnosy budúcich období sa vykazujú vo výške, ktorá je potrebná na dodržanie zásady vecnej a časovej súvislosti s účtovným obdobím. Ako výdavky budúcich období nie je účtované o nepodstatných výdavkoch za 12 mesiac účtovného obdobia, ktoré prechádzajú nepodstatnou výškou do roku 202</w:t>
      </w:r>
      <w:r>
        <w:rPr>
          <w:rFonts w:hint="default"/>
          <w:szCs w:val="18"/>
          <w:lang w:val="sk-SK"/>
        </w:rPr>
        <w:t>6</w:t>
      </w:r>
      <w:r>
        <w:rPr>
          <w:szCs w:val="18"/>
        </w:rPr>
        <w:t>.</w:t>
      </w:r>
    </w:p>
    <w:p w14:paraId="2B289A9D">
      <w:pPr>
        <w:pStyle w:val="6"/>
        <w:ind w:left="0"/>
        <w:rPr>
          <w:szCs w:val="18"/>
        </w:rPr>
      </w:pPr>
    </w:p>
    <w:p w14:paraId="7A3C8E9C">
      <w:pPr>
        <w:pStyle w:val="6"/>
        <w:ind w:left="0"/>
        <w:rPr>
          <w:szCs w:val="18"/>
        </w:rPr>
      </w:pPr>
    </w:p>
    <w:p w14:paraId="7B143380">
      <w:pPr>
        <w:pStyle w:val="6"/>
        <w:ind w:left="0"/>
        <w:rPr>
          <w:szCs w:val="18"/>
        </w:rPr>
      </w:pPr>
    </w:p>
    <w:p w14:paraId="0D560D40">
      <w:pPr>
        <w:pStyle w:val="6"/>
        <w:ind w:left="0"/>
        <w:rPr>
          <w:szCs w:val="18"/>
        </w:rPr>
      </w:pPr>
    </w:p>
    <w:p w14:paraId="4D517697">
      <w:pPr>
        <w:pStyle w:val="17"/>
        <w:numPr>
          <w:ilvl w:val="0"/>
          <w:numId w:val="5"/>
        </w:numPr>
        <w:rPr>
          <w:b w:val="0"/>
          <w:szCs w:val="18"/>
        </w:rPr>
      </w:pPr>
      <w:r>
        <w:rPr>
          <w:szCs w:val="18"/>
        </w:rPr>
        <w:t xml:space="preserve">HV za bežné účtovné obdobie </w:t>
      </w:r>
    </w:p>
    <w:p w14:paraId="56FA4D6C">
      <w:pPr>
        <w:pStyle w:val="17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>
        <w:rPr>
          <w:b w:val="0"/>
          <w:szCs w:val="18"/>
        </w:rPr>
        <w:t xml:space="preserve">Účtovný zisk pred úpravou HV je </w:t>
      </w:r>
      <w:r>
        <w:rPr>
          <w:rFonts w:hint="default"/>
          <w:b w:val="0"/>
          <w:szCs w:val="18"/>
          <w:lang w:val="sk-SK"/>
        </w:rPr>
        <w:t>4</w:t>
      </w:r>
      <w:r>
        <w:rPr>
          <w:b w:val="0"/>
          <w:szCs w:val="18"/>
        </w:rPr>
        <w:t> </w:t>
      </w:r>
      <w:r>
        <w:rPr>
          <w:rFonts w:hint="default"/>
          <w:b w:val="0"/>
          <w:szCs w:val="18"/>
          <w:lang w:val="sk-SK"/>
        </w:rPr>
        <w:t>88</w:t>
      </w:r>
      <w:r>
        <w:rPr>
          <w:b w:val="0"/>
          <w:szCs w:val="18"/>
        </w:rPr>
        <w:t>6,5</w:t>
      </w:r>
      <w:r>
        <w:rPr>
          <w:rFonts w:hint="default"/>
          <w:b w:val="0"/>
          <w:szCs w:val="18"/>
          <w:lang w:val="sk-SK"/>
        </w:rPr>
        <w:t>1</w:t>
      </w:r>
      <w:r>
        <w:rPr>
          <w:b w:val="0"/>
          <w:szCs w:val="18"/>
        </w:rPr>
        <w:t xml:space="preserve"> EUR, </w:t>
      </w:r>
      <w:r>
        <w:rPr>
          <w:rFonts w:hint="default"/>
          <w:b w:val="0"/>
          <w:szCs w:val="18"/>
          <w:lang w:val="sk-SK"/>
        </w:rPr>
        <w:t>položky</w:t>
      </w:r>
      <w:r>
        <w:rPr>
          <w:b w:val="0"/>
          <w:szCs w:val="18"/>
        </w:rPr>
        <w:t xml:space="preserve"> zvyšujúce výsledok hospodárenia, upravujúce základ dane vo výške </w:t>
      </w:r>
      <w:r>
        <w:rPr>
          <w:rFonts w:hint="default"/>
          <w:b w:val="0"/>
          <w:szCs w:val="18"/>
          <w:lang w:val="sk-SK"/>
        </w:rPr>
        <w:t>1086,40</w:t>
      </w:r>
      <w:r>
        <w:rPr>
          <w:b w:val="0"/>
          <w:szCs w:val="18"/>
        </w:rPr>
        <w:t xml:space="preserve"> EUR. Z toho neuhradené faktúry do splatnosti UZD </w:t>
      </w:r>
      <w:r>
        <w:rPr>
          <w:rFonts w:hint="default"/>
          <w:b w:val="0"/>
          <w:szCs w:val="18"/>
          <w:lang w:val="sk-SK"/>
        </w:rPr>
        <w:t>1086</w:t>
      </w:r>
      <w:r>
        <w:rPr>
          <w:b w:val="0"/>
          <w:szCs w:val="18"/>
        </w:rPr>
        <w:t>,</w:t>
      </w:r>
      <w:r>
        <w:rPr>
          <w:rFonts w:hint="default"/>
          <w:b w:val="0"/>
          <w:szCs w:val="18"/>
          <w:lang w:val="sk-SK"/>
        </w:rPr>
        <w:t>4</w:t>
      </w:r>
      <w:r>
        <w:rPr>
          <w:b w:val="0"/>
          <w:szCs w:val="18"/>
        </w:rPr>
        <w:t>0 EUR, právne služby ovplyvňujúce základ dane po zaplatení 0,00 EUR.  Položky z minulých zdaňovacích období uznané až po úhrade, znižujúce výsledok hospodárenia vo výške 0,00 EUR</w:t>
      </w:r>
    </w:p>
    <w:p w14:paraId="3074B13E">
      <w:pPr>
        <w:pStyle w:val="17"/>
        <w:numPr>
          <w:ilvl w:val="0"/>
          <w:numId w:val="0"/>
        </w:numPr>
        <w:ind w:left="426" w:hanging="426"/>
        <w:rPr>
          <w:b w:val="0"/>
          <w:szCs w:val="18"/>
        </w:rPr>
      </w:pPr>
    </w:p>
    <w:p w14:paraId="2274775F">
      <w:pPr>
        <w:pStyle w:val="17"/>
        <w:numPr>
          <w:ilvl w:val="0"/>
          <w:numId w:val="5"/>
        </w:numPr>
        <w:rPr>
          <w:szCs w:val="18"/>
        </w:rPr>
      </w:pPr>
      <w:r>
        <w:rPr>
          <w:szCs w:val="18"/>
        </w:rPr>
        <w:t>Základ dane alebo daňová strata po úprave</w:t>
      </w:r>
    </w:p>
    <w:p w14:paraId="668C2EA3">
      <w:pPr>
        <w:pStyle w:val="17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>Základ dane po úprave je</w:t>
      </w:r>
      <w:r>
        <w:rPr>
          <w:rFonts w:hint="default"/>
          <w:b w:val="0"/>
          <w:szCs w:val="18"/>
          <w:lang w:val="sk-SK"/>
        </w:rPr>
        <w:t xml:space="preserve"> </w:t>
      </w:r>
      <w:r>
        <w:rPr>
          <w:b w:val="0"/>
          <w:szCs w:val="18"/>
        </w:rPr>
        <w:t xml:space="preserve"> </w:t>
      </w:r>
      <w:r>
        <w:rPr>
          <w:rFonts w:hint="default"/>
          <w:b w:val="0"/>
          <w:szCs w:val="18"/>
          <w:lang w:val="sk-SK"/>
        </w:rPr>
        <w:t>-</w:t>
      </w:r>
      <w:r>
        <w:rPr>
          <w:rFonts w:hint="default"/>
          <w:b/>
          <w:bCs/>
          <w:szCs w:val="18"/>
          <w:lang w:val="sk-SK"/>
        </w:rPr>
        <w:t>3 800,11</w:t>
      </w:r>
      <w:r>
        <w:rPr>
          <w:b w:val="0"/>
          <w:szCs w:val="18"/>
        </w:rPr>
        <w:t xml:space="preserve"> EUR. Základ dane ďalej neupravujeme.</w:t>
      </w:r>
    </w:p>
    <w:p w14:paraId="24150FA4">
      <w:pPr>
        <w:pStyle w:val="17"/>
        <w:numPr>
          <w:ilvl w:val="0"/>
          <w:numId w:val="0"/>
        </w:numPr>
        <w:ind w:left="426" w:hanging="426"/>
        <w:rPr>
          <w:b w:val="0"/>
          <w:szCs w:val="18"/>
        </w:rPr>
      </w:pPr>
    </w:p>
    <w:p w14:paraId="4437093E">
      <w:pPr>
        <w:pStyle w:val="17"/>
        <w:numPr>
          <w:ilvl w:val="0"/>
          <w:numId w:val="5"/>
        </w:numPr>
        <w:rPr>
          <w:szCs w:val="18"/>
        </w:rPr>
      </w:pPr>
      <w:r>
        <w:rPr>
          <w:szCs w:val="18"/>
        </w:rPr>
        <w:t>Daň z PPO za rok 202</w:t>
      </w:r>
      <w:r>
        <w:rPr>
          <w:rFonts w:hint="default"/>
          <w:szCs w:val="18"/>
          <w:lang w:val="sk-SK"/>
        </w:rPr>
        <w:t>5</w:t>
      </w:r>
      <w:r>
        <w:rPr>
          <w:szCs w:val="18"/>
        </w:rPr>
        <w:t xml:space="preserve"> . Minimálna daň pre rok 202</w:t>
      </w:r>
      <w:r>
        <w:rPr>
          <w:rFonts w:hint="default"/>
          <w:szCs w:val="18"/>
          <w:lang w:val="sk-SK"/>
        </w:rPr>
        <w:t>5</w:t>
      </w:r>
      <w:r>
        <w:rPr>
          <w:szCs w:val="18"/>
        </w:rPr>
        <w:t xml:space="preserve"> je 340,00 EUR.</w:t>
      </w:r>
    </w:p>
    <w:p w14:paraId="3C445986">
      <w:pPr>
        <w:pStyle w:val="17"/>
        <w:numPr>
          <w:ilvl w:val="0"/>
          <w:numId w:val="0"/>
        </w:numPr>
        <w:ind w:left="426" w:leftChars="0"/>
        <w:rPr>
          <w:szCs w:val="18"/>
        </w:rPr>
      </w:pPr>
    </w:p>
    <w:p w14:paraId="449DAB34">
      <w:pPr>
        <w:pStyle w:val="17"/>
        <w:numPr>
          <w:ilvl w:val="0"/>
          <w:numId w:val="5"/>
        </w:numPr>
        <w:rPr>
          <w:szCs w:val="18"/>
        </w:rPr>
      </w:pPr>
      <w:r>
        <w:rPr>
          <w:rFonts w:hint="default"/>
          <w:szCs w:val="18"/>
          <w:lang w:val="sk-SK"/>
        </w:rPr>
        <w:t>V tabuľke K sú uvedené minimálne dane na uplatnenie v nasledujúcich ZO.</w:t>
      </w:r>
      <w:bookmarkStart w:id="1" w:name="_GoBack"/>
      <w:bookmarkEnd w:id="1"/>
    </w:p>
    <w:p w14:paraId="0C72DEC6">
      <w:pPr>
        <w:pStyle w:val="17"/>
        <w:numPr>
          <w:ilvl w:val="0"/>
          <w:numId w:val="0"/>
        </w:numPr>
        <w:ind w:left="426" w:hanging="426"/>
        <w:rPr>
          <w:b w:val="0"/>
          <w:szCs w:val="18"/>
        </w:rPr>
      </w:pPr>
    </w:p>
    <w:p w14:paraId="1F014BD2">
      <w:pPr>
        <w:pStyle w:val="6"/>
        <w:ind w:left="0"/>
        <w:rPr>
          <w:szCs w:val="18"/>
        </w:rPr>
      </w:pPr>
    </w:p>
    <w:p w14:paraId="1117FEF9">
      <w:pPr>
        <w:pStyle w:val="6"/>
        <w:ind w:left="720"/>
        <w:rPr>
          <w:szCs w:val="18"/>
        </w:rPr>
      </w:pPr>
    </w:p>
    <w:sectPr>
      <w:footerReference r:id="rId5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CE">
    <w:altName w:val="Arial"/>
    <w:panose1 w:val="020B0604020202020204"/>
    <w:charset w:val="EE"/>
    <w:family w:val="swiss"/>
    <w:pitch w:val="default"/>
    <w:sig w:usb0="00000000" w:usb1="00000000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131389381"/>
      <w:docPartObj>
        <w:docPartGallery w:val="autotext"/>
      </w:docPartObj>
    </w:sdtPr>
    <w:sdtContent>
      <w:p w14:paraId="62FB0CA7">
        <w:pPr>
          <w:pStyle w:val="7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 w14:paraId="5A47255D">
    <w:pPr>
      <w:pStyle w:val="7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4A4ADD"/>
    <w:multiLevelType w:val="multilevel"/>
    <w:tmpl w:val="034A4ADD"/>
    <w:lvl w:ilvl="0" w:tentative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2629A"/>
    <w:multiLevelType w:val="multilevel"/>
    <w:tmpl w:val="0CA2629A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E61C3"/>
    <w:multiLevelType w:val="singleLevel"/>
    <w:tmpl w:val="36BE61C3"/>
    <w:lvl w:ilvl="0" w:tentative="0">
      <w:start w:val="1"/>
      <w:numFmt w:val="decimal"/>
      <w:pStyle w:val="2"/>
      <w:lvlText w:val="%1."/>
      <w:lvlJc w:val="left"/>
      <w:pPr>
        <w:tabs>
          <w:tab w:val="left" w:pos="360"/>
        </w:tabs>
        <w:ind w:left="360" w:hanging="360"/>
      </w:pPr>
      <w:rPr>
        <w:rFonts w:hint="default"/>
      </w:rPr>
    </w:lvl>
  </w:abstractNum>
  <w:abstractNum w:abstractNumId="3">
    <w:nsid w:val="44FC48EC"/>
    <w:multiLevelType w:val="multilevel"/>
    <w:tmpl w:val="44FC48EC"/>
    <w:lvl w:ilvl="0" w:tentative="0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7A7BD0"/>
    <w:multiLevelType w:val="multilevel"/>
    <w:tmpl w:val="727A7BD0"/>
    <w:lvl w:ilvl="0" w:tentative="0">
      <w:start w:val="2"/>
      <w:numFmt w:val="decimal"/>
      <w:pStyle w:val="17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F70E68"/>
    <w:rsid w:val="00004450"/>
    <w:rsid w:val="00015D51"/>
    <w:rsid w:val="00036BDF"/>
    <w:rsid w:val="000A1F8D"/>
    <w:rsid w:val="000B4472"/>
    <w:rsid w:val="000D2FC6"/>
    <w:rsid w:val="000E022C"/>
    <w:rsid w:val="00116AF8"/>
    <w:rsid w:val="00127208"/>
    <w:rsid w:val="001329FD"/>
    <w:rsid w:val="0016022B"/>
    <w:rsid w:val="00161A9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3C4"/>
    <w:rsid w:val="00221A32"/>
    <w:rsid w:val="00232628"/>
    <w:rsid w:val="002B1EF4"/>
    <w:rsid w:val="002C13D5"/>
    <w:rsid w:val="002E263B"/>
    <w:rsid w:val="002F1315"/>
    <w:rsid w:val="002F286E"/>
    <w:rsid w:val="002F4B41"/>
    <w:rsid w:val="002F6450"/>
    <w:rsid w:val="00316DB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20BA3"/>
    <w:rsid w:val="00423DB9"/>
    <w:rsid w:val="00437003"/>
    <w:rsid w:val="00447963"/>
    <w:rsid w:val="00453FD4"/>
    <w:rsid w:val="00471A70"/>
    <w:rsid w:val="00492110"/>
    <w:rsid w:val="0049469D"/>
    <w:rsid w:val="004C05B0"/>
    <w:rsid w:val="004C612A"/>
    <w:rsid w:val="004D223F"/>
    <w:rsid w:val="004D4BC9"/>
    <w:rsid w:val="004D5C5B"/>
    <w:rsid w:val="004D7A63"/>
    <w:rsid w:val="004F0DB4"/>
    <w:rsid w:val="004F5022"/>
    <w:rsid w:val="004F6389"/>
    <w:rsid w:val="00527C08"/>
    <w:rsid w:val="00533801"/>
    <w:rsid w:val="00534303"/>
    <w:rsid w:val="005976F7"/>
    <w:rsid w:val="005B0AC3"/>
    <w:rsid w:val="005B3C89"/>
    <w:rsid w:val="005D580C"/>
    <w:rsid w:val="005F0F52"/>
    <w:rsid w:val="0061532E"/>
    <w:rsid w:val="0066336E"/>
    <w:rsid w:val="00682F23"/>
    <w:rsid w:val="006B40AC"/>
    <w:rsid w:val="006B7C91"/>
    <w:rsid w:val="006D1FEA"/>
    <w:rsid w:val="006F0000"/>
    <w:rsid w:val="007048E1"/>
    <w:rsid w:val="00780AFC"/>
    <w:rsid w:val="00782E5C"/>
    <w:rsid w:val="00797E1A"/>
    <w:rsid w:val="007A128F"/>
    <w:rsid w:val="007A63DC"/>
    <w:rsid w:val="007B34DA"/>
    <w:rsid w:val="007C38CD"/>
    <w:rsid w:val="007C53A3"/>
    <w:rsid w:val="007D3221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E40AF"/>
    <w:rsid w:val="009F3AE7"/>
    <w:rsid w:val="00A203A6"/>
    <w:rsid w:val="00A331F8"/>
    <w:rsid w:val="00A435B1"/>
    <w:rsid w:val="00A60837"/>
    <w:rsid w:val="00A628D3"/>
    <w:rsid w:val="00A737AC"/>
    <w:rsid w:val="00A836D0"/>
    <w:rsid w:val="00A87F29"/>
    <w:rsid w:val="00AA31E8"/>
    <w:rsid w:val="00AB6F64"/>
    <w:rsid w:val="00AE67EB"/>
    <w:rsid w:val="00B021F2"/>
    <w:rsid w:val="00B136A9"/>
    <w:rsid w:val="00B21F34"/>
    <w:rsid w:val="00B55377"/>
    <w:rsid w:val="00BB239D"/>
    <w:rsid w:val="00BF3FFD"/>
    <w:rsid w:val="00C0630F"/>
    <w:rsid w:val="00C07689"/>
    <w:rsid w:val="00C16163"/>
    <w:rsid w:val="00C261FF"/>
    <w:rsid w:val="00C3730B"/>
    <w:rsid w:val="00C63F30"/>
    <w:rsid w:val="00C737E3"/>
    <w:rsid w:val="00C911F4"/>
    <w:rsid w:val="00CB6F61"/>
    <w:rsid w:val="00CB791C"/>
    <w:rsid w:val="00CE3D29"/>
    <w:rsid w:val="00D067E9"/>
    <w:rsid w:val="00D47122"/>
    <w:rsid w:val="00D606B4"/>
    <w:rsid w:val="00D62ADE"/>
    <w:rsid w:val="00D634DC"/>
    <w:rsid w:val="00D65C8A"/>
    <w:rsid w:val="00D66677"/>
    <w:rsid w:val="00DB64EE"/>
    <w:rsid w:val="00DB7378"/>
    <w:rsid w:val="00DC3C0A"/>
    <w:rsid w:val="00DD33D4"/>
    <w:rsid w:val="00DE0BCC"/>
    <w:rsid w:val="00DE6845"/>
    <w:rsid w:val="00DF2C54"/>
    <w:rsid w:val="00E05758"/>
    <w:rsid w:val="00E409D4"/>
    <w:rsid w:val="00E50A06"/>
    <w:rsid w:val="00E54B63"/>
    <w:rsid w:val="00E96CDE"/>
    <w:rsid w:val="00EB7EF1"/>
    <w:rsid w:val="00EC1CE8"/>
    <w:rsid w:val="00EC47DE"/>
    <w:rsid w:val="00EF2EF5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B1227"/>
    <w:rsid w:val="00FD5AD3"/>
    <w:rsid w:val="0E7953F8"/>
    <w:rsid w:val="51171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2"/>
    <w:basedOn w:val="1"/>
    <w:next w:val="1"/>
    <w:link w:val="15"/>
    <w:qFormat/>
    <w:uiPriority w:val="0"/>
    <w:pPr>
      <w:keepNext/>
      <w:numPr>
        <w:ilvl w:val="0"/>
        <w:numId w:val="1"/>
      </w:numPr>
      <w:spacing w:after="0" w:line="240" w:lineRule="auto"/>
      <w:outlineLvl w:val="1"/>
    </w:pPr>
    <w:rPr>
      <w:rFonts w:ascii="Times New Roman" w:hAnsi="Times New Roman" w:eastAsia="Times New Roman" w:cs="Times New Roman"/>
      <w:b/>
      <w:sz w:val="18"/>
      <w:szCs w:val="20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4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Body Text"/>
    <w:basedOn w:val="1"/>
    <w:link w:val="16"/>
    <w:uiPriority w:val="0"/>
    <w:pPr>
      <w:spacing w:after="0" w:line="240" w:lineRule="auto"/>
      <w:ind w:left="426"/>
      <w:jc w:val="both"/>
    </w:pPr>
    <w:rPr>
      <w:rFonts w:ascii="Times New Roman" w:hAnsi="Times New Roman" w:eastAsia="Times New Roman" w:cs="Times New Roman"/>
      <w:sz w:val="18"/>
      <w:szCs w:val="20"/>
    </w:rPr>
  </w:style>
  <w:style w:type="paragraph" w:styleId="7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8">
    <w:name w:val="header"/>
    <w:basedOn w:val="1"/>
    <w:link w:val="12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9">
    <w:name w:val="Hyperlink"/>
    <w:basedOn w:val="3"/>
    <w:semiHidden/>
    <w:unhideWhenUsed/>
    <w:qFormat/>
    <w:uiPriority w:val="99"/>
    <w:rPr>
      <w:color w:val="0000FF"/>
      <w:u w:val="single"/>
    </w:rPr>
  </w:style>
  <w:style w:type="character" w:styleId="10">
    <w:name w:val="Strong"/>
    <w:basedOn w:val="3"/>
    <w:qFormat/>
    <w:uiPriority w:val="22"/>
    <w:rPr>
      <w:b/>
      <w:bCs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Hlavička Char"/>
    <w:basedOn w:val="3"/>
    <w:link w:val="8"/>
    <w:qFormat/>
    <w:uiPriority w:val="99"/>
  </w:style>
  <w:style w:type="character" w:customStyle="1" w:styleId="13">
    <w:name w:val="Päta Char"/>
    <w:basedOn w:val="3"/>
    <w:link w:val="7"/>
    <w:qFormat/>
    <w:uiPriority w:val="99"/>
  </w:style>
  <w:style w:type="character" w:customStyle="1" w:styleId="14">
    <w:name w:val="Text bubliny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5">
    <w:name w:val="Nadpis 2 Char"/>
    <w:basedOn w:val="3"/>
    <w:link w:val="2"/>
    <w:qFormat/>
    <w:uiPriority w:val="0"/>
    <w:rPr>
      <w:rFonts w:ascii="Times New Roman" w:hAnsi="Times New Roman" w:eastAsia="Times New Roman" w:cs="Times New Roman"/>
      <w:b/>
      <w:sz w:val="18"/>
      <w:szCs w:val="20"/>
    </w:rPr>
  </w:style>
  <w:style w:type="character" w:customStyle="1" w:styleId="16">
    <w:name w:val="Základný text Char"/>
    <w:basedOn w:val="3"/>
    <w:link w:val="6"/>
    <w:qFormat/>
    <w:uiPriority w:val="0"/>
    <w:rPr>
      <w:rFonts w:ascii="Times New Roman" w:hAnsi="Times New Roman" w:eastAsia="Times New Roman" w:cs="Times New Roman"/>
      <w:sz w:val="18"/>
      <w:szCs w:val="20"/>
    </w:rPr>
  </w:style>
  <w:style w:type="paragraph" w:customStyle="1" w:styleId="17">
    <w:name w:val="Pismenka"/>
    <w:basedOn w:val="6"/>
    <w:qFormat/>
    <w:uiPriority w:val="0"/>
    <w:pPr>
      <w:numPr>
        <w:ilvl w:val="0"/>
        <w:numId w:val="2"/>
      </w:numPr>
      <w:tabs>
        <w:tab w:val="left" w:pos="426"/>
      </w:tabs>
      <w:ind w:left="426" w:hanging="426"/>
    </w:pPr>
    <w:rPr>
      <w:b/>
    </w:rPr>
  </w:style>
  <w:style w:type="character" w:customStyle="1" w:styleId="18">
    <w:name w:val="ra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41BC3-BF77-4304-B710-A988C17E0B9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3</Pages>
  <Words>926</Words>
  <Characters>5717</Characters>
  <Lines>48</Lines>
  <Paragraphs>13</Paragraphs>
  <TotalTime>66</TotalTime>
  <ScaleCrop>false</ScaleCrop>
  <LinksUpToDate>false</LinksUpToDate>
  <CharactersWithSpaces>6665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2024-06-28T12:23:00Z</dcterms:created>
  <dc:creator>Katka</dc:creator>
  <cp:lastModifiedBy>Zlutasek</cp:lastModifiedBy>
  <dcterms:modified xsi:type="dcterms:W3CDTF">2026-06-12T13:07:18Z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eyJoZGlkIjoiZTUzOWVhODc4ZjYwY2IyNWJiYmY3Y2U5ZGExMDhmZmQiLCJ1c2VySWQiOiI5MzYzNzY1NDkyNDQ2In0=</vt:lpwstr>
  </property>
  <property fmtid="{D5CDD505-2E9C-101B-9397-08002B2CF9AE}" pid="3" name="KSOProductBuildVer">
    <vt:lpwstr>1033-12.1.0.26880</vt:lpwstr>
  </property>
  <property fmtid="{D5CDD505-2E9C-101B-9397-08002B2CF9AE}" pid="4" name="ICV">
    <vt:lpwstr>54E488EBF3A3477CA7CA281DD2CAFAEA_12</vt:lpwstr>
  </property>
</Properties>
</file>