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4.xml.rels" ContentType="application/vnd.openxmlformats-package.relationships+xml"/>
  <Override PartName="/word/activeX/_rels/activeX4.xml.rels" ContentType="application/vnd.openxmlformats-package.relationships+xml"/>
  <Override PartName="/word/activeX/_rels/activeX8.xml.rels" ContentType="application/vnd.openxmlformats-package.relationships+xml"/>
  <Override PartName="/word/activeX/_rels/activeX13.xml.rels" ContentType="application/vnd.openxmlformats-package.relationships+xml"/>
  <Override PartName="/word/activeX/_rels/activeX3.xml.rels" ContentType="application/vnd.openxmlformats-package.relationships+xml"/>
  <Override PartName="/word/activeX/_rels/activeX7.xml.rels" ContentType="application/vnd.openxmlformats-package.relationships+xml"/>
  <Override PartName="/word/activeX/_rels/activeX1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12.xml.rels" ContentType="application/vnd.openxmlformats-package.relationships+xml"/>
  <Override PartName="/word/activeX/_rels/activeX10.xml.rels" ContentType="application/vnd.openxmlformats-package.relationships+xml"/>
  <Override PartName="/word/activeX/activeX7.bin" ContentType="application/vnd.ms-office.activeX"/>
  <Override PartName="/word/activeX/activeX13.bin" ContentType="application/vnd.ms-office.activeX"/>
  <Override PartName="/word/activeX/activeX6.xml" ContentType="application/vnd.ms-office.activeX+xml"/>
  <Override PartName="/word/activeX/activeX12.xml" ContentType="application/vnd.ms-office.activeX+xml"/>
  <Override PartName="/word/activeX/activeX6.bin" ContentType="application/vnd.ms-office.activeX"/>
  <Override PartName="/word/activeX/activeX12.bin" ContentType="application/vnd.ms-office.activeX"/>
  <Override PartName="/word/activeX/activeX5.xml" ContentType="application/vnd.ms-office.activeX+xml"/>
  <Override PartName="/word/activeX/activeX11.xml" ContentType="application/vnd.ms-office.activeX+xml"/>
  <Override PartName="/word/activeX/activeX5.bin" ContentType="application/vnd.ms-office.activeX"/>
  <Override PartName="/word/activeX/activeX11.bin" ContentType="application/vnd.ms-office.activeX"/>
  <Override PartName="/word/activeX/activeX4.xml" ContentType="application/vnd.ms-office.activeX+xml"/>
  <Override PartName="/word/activeX/activeX10.xml" ContentType="application/vnd.ms-office.activeX+xml"/>
  <Override PartName="/word/activeX/activeX4.bin" ContentType="application/vnd.ms-office.activeX"/>
  <Override PartName="/word/activeX/activeX10.bin" ContentType="application/vnd.ms-office.activeX"/>
  <Override PartName="/word/activeX/activeX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2.bin" ContentType="application/vnd.ms-office.activeX"/>
  <Override PartName="/word/activeX/activeX2.xml" ContentType="application/vnd.ms-office.activeX+xml"/>
  <Override PartName="/word/activeX/activeX14.xml" ContentType="application/vnd.ms-office.activeX+xml"/>
  <Override PartName="/word/activeX/activeX8.xml" ContentType="application/vnd.ms-office.activeX+xml"/>
  <Override PartName="/word/activeX/activeX14.bin" ContentType="application/vnd.ms-office.activeX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13.xml" ContentType="application/vnd.ms-office.activeX+xml"/>
  <Override PartName="/word/activeX/activeX7.xml" ContentType="application/vnd.ms-office.activeX+xml"/>
  <Override PartName="/word/activeX/activeX3.bin" ContentType="application/vnd.ms-office.activeX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keepNext w:val="false"/>
        <w:keepLines w:val="false"/>
        <w:spacing w:lineRule="auto" w:line="276" w:before="240" w:after="0"/>
        <w:ind w:hanging="0" w:left="0" w:right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</w:r>
      <w:r>
        <w:rPr>
          <w:rFonts w:eastAsia="Arial" w:cs="Arial" w:ascii="Times New Roman" w:hAnsi="Times New Roman"/>
          <w:lang w:eastAsia="sk-SK"/>
        </w:rPr>
        <w:t>LockBox</w:t>
      </w:r>
      <w:r>
        <w:rPr>
          <w:rFonts w:eastAsia="Arial" w:cs="Times New Roman" w:ascii="Times New Roman" w:hAnsi="Times New Roman"/>
          <w:lang w:eastAsia="sk-SK"/>
        </w:rPr>
        <w:t xml:space="preserve"> s.r.o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 xml:space="preserve">  </w:t>
      </w:r>
      <w:r>
        <w:rPr>
          <w:rFonts w:eastAsia="Arial" w:cs="Times New Roman" w:ascii="Times New Roman" w:hAnsi="Times New Roman"/>
          <w:lang w:eastAsia="sk-SK"/>
        </w:rPr>
        <w:t>Sídlo účtovnej jednotky:</w:t>
        <w:tab/>
        <w:tab/>
        <w:tab/>
        <w:t xml:space="preserve">             </w:t>
      </w:r>
      <w:r>
        <w:rPr>
          <w:rFonts w:eastAsia="Arial" w:cs="Times New Roman" w:ascii="Times New Roman" w:hAnsi="Times New Roman"/>
          <w:lang w:eastAsia="sk-SK"/>
        </w:rPr>
        <w:t>Lermontovova 911/3</w:t>
      </w:r>
      <w:r>
        <w:rPr>
          <w:rFonts w:eastAsia="Arial" w:cs="Times New Roman" w:ascii="Times New Roman" w:hAnsi="Times New Roman"/>
          <w:lang w:eastAsia="sk-SK"/>
        </w:rPr>
        <w:t xml:space="preserve">, Bratislava – </w:t>
      </w:r>
      <w:r>
        <w:rPr>
          <w:rFonts w:eastAsia="Arial" w:cs="Times New Roman" w:ascii="Times New Roman" w:hAnsi="Times New Roman"/>
          <w:lang w:eastAsia="sk-SK"/>
        </w:rPr>
        <w:t>Staré Mesto</w:t>
      </w:r>
      <w:r>
        <w:rPr>
          <w:rFonts w:eastAsia="Arial" w:cs="Times New Roman" w:ascii="Times New Roman" w:hAnsi="Times New Roman"/>
          <w:lang w:eastAsia="sk-SK"/>
        </w:rPr>
        <w:t>, 8</w:t>
      </w:r>
      <w:r>
        <w:rPr>
          <w:rFonts w:eastAsia="Arial" w:cs="Times New Roman" w:ascii="Times New Roman" w:hAnsi="Times New Roman"/>
          <w:lang w:eastAsia="sk-SK"/>
        </w:rPr>
        <w:t>1</w:t>
      </w:r>
      <w:r>
        <w:rPr>
          <w:rFonts w:eastAsia="Arial" w:cs="Times New Roman" w:ascii="Times New Roman" w:hAnsi="Times New Roman"/>
          <w:lang w:eastAsia="sk-SK"/>
        </w:rPr>
        <w:t>1 05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1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 nie je náplň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9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povinnos</w:t>
      </w:r>
      <w:r>
        <w:rPr>
          <w:rFonts w:eastAsia="Arial" w:cs="Arial" w:ascii="Times New Roman" w:hAnsi="Times New Roman"/>
          <w:b/>
          <w:lang w:eastAsia="sk-SK"/>
        </w:rPr>
        <w:t>ť zostaviť konsolidovanú účtovnú závierku:</w:t>
        <w:pict>
          <v:shapetype id="_x0000_t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o:allowincell="f" style="position:absolute;margin-left:321.45pt;margin-top:-2.1pt;width:32.5pt;height:16.7pt;mso-position-vertical:center" type="#_x0000_t201">
            <w10:wrap type="none"/>
          </v:shape>
          <w:control r:id="rId2" w:name="unnamed0" w:shapeid="control_shape_0"/>
        </w:pict>
        <w:pict>
          <v:shape id="control_shape_1" o:allowincell="f" style="position:absolute;margin-left:261.65pt;margin-top:-2.1pt;width:41.4pt;height:16.7pt;mso-position-vertical:center" type="#_x0000_t201">
            <w10:wrap type="none"/>
          </v:shape>
          <w:control r:id="rId3" w:name="unnamed0" w:shapeid="control_shape_1"/>
        </w:pic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o:allowincell="f" style="position:absolute;margin-left:31.45pt;margin-top:-1.7pt;width:41.4pt;height:16.7pt;mso-position-vertical:center" type="#_x0000_t201">
            <w10:wrap type="none"/>
          </v:shape>
          <w:control r:id="rId6" w:name="unnamed0" w:shapeid="control_shape_2"/>
        </w:pict>
      </w:r>
      <w:r>
        <w:pict>
          <v:shape id="control_shape_3" o:allowincell="f" style="position:absolute;margin-left:83.6pt;margin-top:-1.7pt;width:32.5pt;height:16.7pt;mso-position-vertical:center" type="#_x0000_t201">
            <w10:wrap type="none"/>
          </v:shape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1"/>
                <w:szCs w:val="21"/>
                <w:lang w:eastAsia="sk-SK"/>
              </w:rPr>
              <w:t>Obstarávacia cena zahŕňa cenu obstarania 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Ak ku dňu, ku ktorému sa zostavuje účtovná závierka, sú budúce ekonomické úžitky zásob nižšie ako ich ocenenie v účtovníctve, ocenia sa v čistej realizačnej hodnote. Ku dňu účtovnej závierky účtovná jednotka neeviduje zásoby na sklade.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Druhy materiálov účtovaných priamo do spotreby bez zaúčtovania na sklad sú uvedené vo vnútornom predpise účtovnej jednotky so zohľadnením toho, že spotreba materiálu vykázaná v účtovnej závierke zodpovedá skutočnej spotrebe materiálu.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o:allowincell="f" style="position:absolute;margin-left:34pt;margin-top:-1.7pt;width:145.85pt;height:16.7pt;mso-position-vertical:center" type="#_x0000_t201">
            <w10:wrap type="none"/>
          </v:shape>
          <w:control r:id="rId8" w:name="unnamed0" w:shapeid="control_shape_4"/>
        </w:pic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o:allowincell="f" style="position:absolute;margin-left:34pt;margin-top:-2.1pt;width:145.85pt;height:16.7pt;mso-position-vertical:center" type="#_x0000_t201">
            <w10:wrap type="none"/>
          </v:shape>
          <w:control r:id="rId9" w:name="unnamed0" w:shapeid="control_shape_5"/>
        </w:pict>
      </w:r>
    </w:p>
    <w:p>
      <w:pPr>
        <w:pStyle w:val="Normal"/>
        <w:spacing w:before="60" w:after="120"/>
        <w:ind w:hanging="11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o:allowincell="f" style="position:absolute;margin-left:34pt;margin-top:-2.1pt;width:400.8pt;height:16.7pt;mso-position-vertical:center" type="#_x0000_t201">
            <w10:wrap type="none"/>
          </v:shape>
          <w:control r:id="rId10" w:name="unnamed0" w:shapeid="control_shape_6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o:allowincell="f" style="position:absolute;margin-left:34pt;margin-top:-2.1pt;width:469pt;height:16.7pt;mso-position-vertical:center" type="#_x0000_t201">
            <w10:wrap type="none"/>
          </v:shape>
          <w:control r:id="rId11" w:name="unnamed0" w:shapeid="control_shape_7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o:allowincell="f" style="position:absolute;margin-left:34pt;margin-top:-2.1pt;width:400.8pt;height:16.7pt;mso-position-vertical:center" type="#_x0000_t201">
            <w10:wrap type="none"/>
          </v:shape>
          <w:control r:id="rId12" w:name="unnamed0" w:shapeid="control_shape_8"/>
        </w:pict>
      </w:r>
    </w:p>
    <w:p>
      <w:pPr>
        <w:pStyle w:val="Heading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<w:pict>
          <v:shape id="control_shape_9" o:allowincell="f" style="position:absolute;margin-left:14.15pt;margin-top:-2.5pt;width:15.4pt;height:16.7pt" type="#_x0000_t201">
            <w10:wrap type="none"/>
          </v:shape>
          <w:control r:id="rId13" w:name="unnamed0" w:shapeid="control_shape_9"/>
        </w:pict>
      </w:r>
    </w:p>
    <w:p>
      <w:pPr>
        <w:pStyle w:val="Normal"/>
        <w:widowControl/>
        <w:tabs>
          <w:tab w:val="clear" w:pos="709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firstLine="567" w:left="0" w:right="0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  <w:pict>
          <v:shape id="control_shape_10" o:allowincell="f" style="position:absolute;margin-left:14.15pt;margin-top:-2.5pt;width:15.4pt;height:16.7pt" type="#_x0000_t201">
            <w10:wrap type="none"/>
          </v:shape>
          <w:control r:id="rId14" w:name="unnamed0" w:shapeid="control_shape_10"/>
        </w:pic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metód používaných pri vyčíslovaní daňových odpisov. Účtovné a daňové odpisy sa rovnajú.</w:t>
        <w:pict>
          <v:shape id="control_shape_11" o:allowincell="f" style="position:absolute;margin-left:14.15pt;margin-top:-2.5pt;width:15.4pt;height:16.7pt" type="#_x0000_t201">
            <w10:wrap type="none"/>
          </v:shape>
          <w:control r:id="rId15" w:name="unnamed0" w:shapeid="control_shape_11"/>
        </w:pic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 xml:space="preserve"> 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right="0"/>
              <w:jc w:val="left"/>
              <w:rPr/>
            </w:pPr>
            <w:r>
              <w:rPr/>
            </w:r>
          </w:p>
          <w:p>
            <w:pPr>
              <w:pStyle w:val="Normal"/>
              <w:spacing w:lineRule="auto" w:line="259" w:before="0" w:after="0"/>
              <w:ind w:hanging="0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142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44" w:type="dxa"/>
        <w:tblLayout w:type="fixed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4"/>
        <w:gridCol w:w="2134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10" w:right="0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spacing w:before="240" w:after="0"/>
        <w:ind w:hanging="0" w:left="0" w:right="0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(2) b) Celková suma zabezpečených záväzkov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(2) b) Celková suma zabezpečených záväzkov</w:t>
      </w:r>
    </w:p>
    <w:tbl>
      <w:tblPr>
        <w:tblW w:w="10492" w:type="dxa"/>
        <w:jc w:val="left"/>
        <w:tblInd w:w="136" w:type="dxa"/>
        <w:tblLayout w:type="fixed"/>
        <w:tblCellMar>
          <w:top w:w="66" w:type="dxa"/>
          <w:left w:w="108" w:type="dxa"/>
          <w:bottom w:w="0" w:type="dxa"/>
          <w:right w:w="45" w:type="dxa"/>
        </w:tblCellMar>
      </w:tblPr>
      <w:tblGrid>
        <w:gridCol w:w="5761"/>
        <w:gridCol w:w="2592"/>
        <w:gridCol w:w="163"/>
        <w:gridCol w:w="1975"/>
      </w:tblGrid>
      <w:tr>
        <w:trPr>
          <w:trHeight w:val="338" w:hRule="atLeast"/>
        </w:trPr>
        <w:tc>
          <w:tcPr>
            <w:tcW w:w="5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5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Opis zabezpečeného záväzku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Hodnota</w:t>
            </w:r>
          </w:p>
        </w:tc>
        <w:tc>
          <w:tcPr>
            <w:tcW w:w="163" w:type="dxa"/>
            <w:tcBorders>
              <w:top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2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Spôsob zabezpečenia</w:t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56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0" w:left="0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12" o:allowincell="f" style="position:absolute;margin-left:34pt;margin-top:-1.8pt;width:43.6pt;height:16.9pt;mso-position-vertical:center" type="#_x0000_t201">
            <w10:wrap type="none"/>
          </v:shape>
          <w:control r:id="rId16" w:name="unnamed0" w:shapeid="control_shape_12"/>
        </w:pict>
      </w:r>
      <w:r>
        <w:pict>
          <v:shape id="control_shape_13" o:allowincell="f" style="position:absolute;margin-left:95.8pt;margin-top:-1.8pt;width:43.6pt;height:16.9pt;mso-position-vertical:center" type="#_x0000_t201">
            <w10:wrap type="none"/>
          </v:shape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-5" w:right="0"/>
        <w:outlineLvl w:val="0"/>
        <w:rPr>
          <w:rFonts w:ascii="Times New Roman" w:hAnsi="Times New Roman" w:eastAsia="Arial" w:cs="Arial"/>
          <w:b/>
          <w:color w:val="000000"/>
          <w:sz w:val="28"/>
          <w:szCs w:val="28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28"/>
          <w:szCs w:val="28"/>
          <w:lang w:eastAsia="sk-SK"/>
        </w:rPr>
        <w:t>Miesto pre ďalšie záznamy:</w:t>
      </w:r>
    </w:p>
    <w:p>
      <w:pPr>
        <w:pStyle w:val="Normal"/>
        <w:keepNext w:val="true"/>
        <w:keepLines/>
        <w:numPr>
          <w:ilvl w:val="0"/>
          <w:numId w:val="0"/>
        </w:numPr>
        <w:spacing w:before="0" w:after="200"/>
        <w:ind w:hanging="0" w:left="-709" w:right="-709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hanging="0" w:left="-709" w:right="-709"/>
        <w:rPr/>
      </w:pPr>
      <w:r>
        <w:rPr/>
      </w:r>
    </w:p>
    <w:sectPr>
      <w:headerReference w:type="even" r:id="rId18"/>
      <w:headerReference w:type="default" r:id="rId19"/>
      <w:headerReference w:type="first" r:id="rId20"/>
      <w:type w:val="nextPage"/>
      <w:pgSz w:w="11906" w:h="16838"/>
      <w:pgMar w:left="794" w:right="794" w:gutter="0" w:header="68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2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335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335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3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4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335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335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hanging="10" w:left="10" w:right="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">
    <w:name w:val="Hlavička a päta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hanging="10" w:left="10" w:right="630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Bezseznamu">
    <w:name w:val="Bez seznamu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%20Z.z.%252322&apos;&amp;ucin-k-dni=&apos;18.%207.2021&apos;" TargetMode="External"/><Relationship Id="rId5" Type="http://schemas.openxmlformats.org/officeDocument/2006/relationships/hyperlink" Target="aspi://module=&apos;ASPI&apos;&amp;link=&apos;431/2002%20Z.z.%252322&apos;&amp;ucin-k-dni=&apos;18.%20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numbering" Target="numbering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Application>LibreOffice/24.2.7.2$Linux_X86_64 LibreOffice_project/420$Build-2</Application>
  <AppVersion>15.0000</AppVersion>
  <DocSecurity>0</DocSecurity>
  <Pages>4</Pages>
  <Words>750</Words>
  <Characters>4431</Characters>
  <CharactersWithSpaces>5097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dc:description/>
  <dc:language>sk-SK</dc:language>
  <cp:lastModifiedBy/>
  <dcterms:modified xsi:type="dcterms:W3CDTF">2026-06-12T09:38:07Z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