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extBody"/>
        <w:rPr/>
      </w:pPr>
      <w:bookmarkStart w:id="0" w:name="__DdeLink__488_1224662512"/>
      <w:bookmarkStart w:id="1" w:name="__DdeLink__115_1224662512"/>
      <w:bookmarkStart w:id="2" w:name="__DdeLink__13306_3024462352"/>
      <w:bookmarkStart w:id="3" w:name="__DdeLink__196_2810667075"/>
      <w:bookmarkStart w:id="4" w:name="__DdeLink__11003_3024462352"/>
      <w:bookmarkStart w:id="5" w:name="__DdeLink__17373_3024462352"/>
      <w:r>
        <w:rPr>
          <w:rFonts w:ascii="ArialMT" w:hAnsi="ArialMT"/>
          <w:sz w:val="22"/>
        </w:rPr>
        <w:t>Poznámky ÚčMÚJ3</w:t>
      </w:r>
      <w:r>
        <w:rPr/>
        <w:t>–</w:t>
      </w:r>
      <w:r>
        <w:rPr>
          <w:rFonts w:ascii="ArialMT" w:hAnsi="ArialMT"/>
          <w:sz w:val="22"/>
        </w:rPr>
        <w:t xml:space="preserve">01 </w:t>
        <w:tab/>
        <w:tab/>
        <w:tab/>
        <w:tab/>
        <w:tab/>
        <w:tab/>
        <w:t>IČO: 56133553DIČ:</w:t>
      </w:r>
      <w:bookmarkEnd w:id="2"/>
      <w:bookmarkEnd w:id="3"/>
      <w:bookmarkEnd w:id="4"/>
      <w:bookmarkEnd w:id="5"/>
      <w:r>
        <w:rPr>
          <w:rFonts w:ascii="ArialMT" w:hAnsi="ArialMT"/>
          <w:sz w:val="22"/>
        </w:rPr>
        <w:t xml:space="preserve">2122217713 </w:t>
      </w:r>
      <w:bookmarkEnd w:id="0"/>
      <w:bookmarkEnd w:id="1"/>
    </w:p>
    <w:p>
      <w:pPr>
        <w:pStyle w:val="TextBody"/>
        <w:jc w:val="both"/>
        <w:rPr/>
      </w:pPr>
      <w:r>
        <w:rPr>
          <w:rFonts w:ascii="ArialNarrow" w:hAnsi="ArialNarrow"/>
          <w:b/>
          <w:sz w:val="22"/>
        </w:rPr>
        <w:t>Poznámky k mikro účtovnej závierke za rok 202</w:t>
      </w:r>
      <w:r>
        <w:rPr>
          <w:rFonts w:ascii="ArialNarrow" w:hAnsi="ArialNarrow"/>
          <w:b/>
          <w:sz w:val="22"/>
        </w:rPr>
        <w:t>5</w:t>
      </w:r>
      <w:r>
        <w:rPr>
          <w:rFonts w:ascii="ArialNarrow" w:hAnsi="ArialNarrow"/>
          <w:b/>
          <w:sz w:val="22"/>
        </w:rPr>
        <w:t xml:space="preserve"> </w:t>
      </w:r>
    </w:p>
    <w:p>
      <w:pPr>
        <w:pStyle w:val="TextBody"/>
        <w:jc w:val="both"/>
        <w:rPr/>
      </w:pPr>
      <w:r>
        <w:rPr>
          <w:rFonts w:ascii="ArialNarrow" w:hAnsi="ArialNarrow"/>
          <w:sz w:val="22"/>
        </w:rPr>
        <w:t>zostavené podľa Opatrenia Ministerstva financií SR č.MF/15464/2013-74, ktorým sa ustanovujú podrobnosti</w:t>
        <w:br/>
        <w:t xml:space="preserve">o usporiadaní, označovaní a obsahovom vymedzení položiek individuálnej účtovnej závierky a rozsahu údajov určených z individuálnej účtovnej závierky na zverejnenie pre </w:t>
      </w:r>
      <w:r>
        <w:rPr>
          <w:rFonts w:ascii="ArialNarrow" w:hAnsi="ArialNarrow"/>
          <w:b/>
          <w:sz w:val="22"/>
        </w:rPr>
        <w:t xml:space="preserve">mikro účtovné jednotky </w:t>
      </w:r>
      <w:r>
        <w:rPr>
          <w:rFonts w:ascii="ArialNarrow" w:hAnsi="ArialNarrow"/>
          <w:sz w:val="22"/>
        </w:rPr>
        <w:t xml:space="preserve">v znení neskorších predpisov </w:t>
      </w:r>
    </w:p>
    <w:p>
      <w:pPr>
        <w:pStyle w:val="TextBody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TextBody"/>
        <w:jc w:val="both"/>
        <w:rPr/>
      </w:pPr>
      <w:r>
        <w:rPr>
          <w:rFonts w:ascii="Arial" w:hAnsi="Arial"/>
          <w:b/>
          <w:sz w:val="22"/>
        </w:rPr>
        <w:t xml:space="preserve">Článok I </w:t>
      </w:r>
    </w:p>
    <w:p>
      <w:pPr>
        <w:pStyle w:val="TextBody"/>
        <w:jc w:val="both"/>
        <w:rPr/>
      </w:pPr>
      <w:r>
        <w:rPr>
          <w:rFonts w:ascii="Arial" w:hAnsi="Arial"/>
          <w:b/>
          <w:sz w:val="22"/>
        </w:rPr>
        <w:t xml:space="preserve">Všeobecné údaje </w:t>
      </w:r>
    </w:p>
    <w:p>
      <w:pPr>
        <w:pStyle w:val="TextBody"/>
        <w:jc w:val="both"/>
        <w:rPr/>
      </w:pPr>
      <w:r>
        <w:rPr>
          <w:rFonts w:ascii="ArialMT" w:hAnsi="ArialMT"/>
          <w:sz w:val="22"/>
        </w:rPr>
        <w:t xml:space="preserve">1. Identifikácia účtovnej jednotky (názov, IČO, sídlo): </w:t>
      </w:r>
    </w:p>
    <w:p>
      <w:pPr>
        <w:pStyle w:val="TextBody"/>
        <w:rPr/>
      </w:pPr>
      <w:r>
        <w:rPr>
          <w:rFonts w:ascii="ArialMT" w:hAnsi="ArialMT"/>
          <w:sz w:val="22"/>
        </w:rPr>
        <w:t xml:space="preserve">Názov: </w:t>
        <w:tab/>
        <w:t>OMega Vista s. r. o.</w:t>
      </w:r>
    </w:p>
    <w:p>
      <w:pPr>
        <w:pStyle w:val="TextBody"/>
        <w:rPr/>
      </w:pPr>
      <w:r>
        <w:rPr>
          <w:rFonts w:ascii="ArialMT" w:hAnsi="ArialMT"/>
          <w:sz w:val="22"/>
        </w:rPr>
        <w:t xml:space="preserve">IČO: </w:t>
        <w:tab/>
        <w:tab/>
        <w:t>56133553</w:t>
      </w:r>
    </w:p>
    <w:p>
      <w:pPr>
        <w:pStyle w:val="TextBody"/>
        <w:rPr/>
      </w:pPr>
      <w:r>
        <w:rPr>
          <w:rFonts w:ascii="Arial" w:hAnsi="Arial"/>
          <w:i/>
          <w:sz w:val="22"/>
        </w:rPr>
        <w:t xml:space="preserve">Sídlo: </w:t>
        <w:tab/>
        <w:tab/>
        <w:t>Čierny chodník 5, 831 07  Bratislava</w:t>
      </w:r>
    </w:p>
    <w:p>
      <w:pPr>
        <w:pStyle w:val="TextBody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rPr/>
      </w:pPr>
      <w:r>
        <w:rPr>
          <w:rFonts w:ascii="ArialMT" w:hAnsi="ArialMT"/>
          <w:sz w:val="22"/>
        </w:rPr>
        <w:t>2. Údaje o konsolidovanom celku - obchodné meno a sídlo konsolidujúcej účtovnej jednotky:</w:t>
      </w:r>
    </w:p>
    <w:p>
      <w:pPr>
        <w:pStyle w:val="TextBody"/>
        <w:rPr/>
      </w:pPr>
      <w:r>
        <w:rPr>
          <w:rFonts w:ascii="ArialMT" w:hAnsi="ArialMT"/>
          <w:sz w:val="22"/>
        </w:rPr>
        <w:t>3. Priemerný prepočítaný počet zamestnancov: 0</w:t>
      </w:r>
    </w:p>
    <w:p>
      <w:pPr>
        <w:pStyle w:val="TextBody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TextBody"/>
        <w:rPr/>
      </w:pPr>
      <w:r>
        <w:rPr>
          <w:rFonts w:ascii="Arial" w:hAnsi="Arial"/>
          <w:b/>
          <w:sz w:val="22"/>
        </w:rPr>
        <w:t>Článok II</w:t>
        <w:br/>
        <w:t xml:space="preserve">Informácie o prijatých postupoch </w:t>
      </w:r>
    </w:p>
    <w:p>
      <w:pPr>
        <w:pStyle w:val="TextBody"/>
        <w:rPr/>
      </w:pPr>
      <w:r>
        <w:rPr>
          <w:rFonts w:ascii="ArialMT" w:hAnsi="ArialMT"/>
          <w:sz w:val="22"/>
        </w:rPr>
        <w:t xml:space="preserve">1. Účtovná závierka zostavená za splnenia predpokladu, že účtovná jednotka bude nepretržite pokračovať vo svojej činnosti: </w:t>
      </w:r>
    </w:p>
    <w:p>
      <w:pPr>
        <w:pStyle w:val="TextBody"/>
        <w:rPr/>
      </w:pPr>
      <w:r>
        <w:rPr>
          <w:rFonts w:ascii="ArialMT" w:hAnsi="ArialMT"/>
          <w:sz w:val="22"/>
        </w:rPr>
        <w:t xml:space="preserve">2. Spôsob oceňovania jednotlivých položiek majetku a záväzkov, a to: </w:t>
      </w:r>
    </w:p>
    <w:p>
      <w:pPr>
        <w:pStyle w:val="TextBody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 xml:space="preserve">Názov položky </w:t>
        <w:tab/>
        <w:tab/>
        <w:tab/>
        <w:tab/>
        <w:tab/>
        <w:t xml:space="preserve">Spôsob oceňovania </w:t>
      </w:r>
    </w:p>
    <w:p>
      <w:pPr>
        <w:pStyle w:val="TextBody"/>
        <w:spacing w:lineRule="auto" w:line="240"/>
        <w:rPr/>
      </w:pPr>
      <w:r>
        <w:rPr>
          <w:rFonts w:ascii="ArialMT" w:hAnsi="ArialMT"/>
          <w:sz w:val="22"/>
        </w:rPr>
        <w:t xml:space="preserve">Dlhodobý nehmotný majetok: </w:t>
        <w:tab/>
        <w:tab/>
        <w:tab/>
        <w:t>Obstarávacia cena</w:t>
      </w:r>
    </w:p>
    <w:p>
      <w:pPr>
        <w:pStyle w:val="TextBody"/>
        <w:spacing w:lineRule="auto" w:line="240"/>
        <w:rPr/>
      </w:pPr>
      <w:r>
        <w:rPr>
          <w:rFonts w:ascii="ArialMT" w:hAnsi="ArialMT"/>
          <w:sz w:val="22"/>
        </w:rPr>
        <w:t>Dlhodobý hmotný majetok:</w:t>
        <w:tab/>
        <w:tab/>
        <w:tab/>
        <w:tab/>
        <w:t>Obstarávacia cena</w:t>
        <w:br/>
        <w:t>Dlhodobý finančný majetok:</w:t>
        <w:tab/>
        <w:tab/>
        <w:tab/>
        <w:tab/>
        <w:t>Obstarávacia cena</w:t>
        <w:br/>
        <w:t>Zásoby obstarané kúpou:</w:t>
        <w:tab/>
        <w:tab/>
        <w:tab/>
        <w:tab/>
        <w:t>Obstarávacia cena</w:t>
        <w:br/>
        <w:t xml:space="preserve">Zásoby vytvorené vlastnou činnosťou: </w:t>
        <w:tab/>
        <w:tab/>
        <w:t>Vlastné náklady</w:t>
      </w:r>
    </w:p>
    <w:p>
      <w:pPr>
        <w:pStyle w:val="TextBody"/>
        <w:spacing w:lineRule="auto" w:line="240"/>
        <w:rPr/>
      </w:pPr>
      <w:r>
        <w:rPr>
          <w:rFonts w:ascii="ArialMT" w:hAnsi="ArialMT"/>
          <w:sz w:val="22"/>
        </w:rPr>
        <w:t xml:space="preserve">Vlastné pohľadávky: </w:t>
        <w:tab/>
        <w:tab/>
        <w:tab/>
        <w:tab/>
        <w:tab/>
        <w:t xml:space="preserve">Menovitá hodnota </w:t>
      </w:r>
    </w:p>
    <w:p>
      <w:pPr>
        <w:pStyle w:val="TextBody"/>
        <w:spacing w:lineRule="auto" w:line="240"/>
        <w:rPr/>
      </w:pPr>
      <w:r>
        <w:rPr>
          <w:rFonts w:ascii="ArialMT" w:hAnsi="ArialMT"/>
          <w:sz w:val="22"/>
        </w:rPr>
        <w:t xml:space="preserve">Kúpené pohľadávky: </w:t>
        <w:tab/>
        <w:tab/>
        <w:tab/>
        <w:tab/>
        <w:tab/>
        <w:t>Obstarávacia cena</w:t>
      </w:r>
    </w:p>
    <w:p>
      <w:pPr>
        <w:pStyle w:val="TextBody"/>
        <w:spacing w:lineRule="auto" w:line="240"/>
        <w:rPr/>
      </w:pPr>
      <w:r>
        <w:rPr>
          <w:rFonts w:ascii="ArialMT" w:hAnsi="ArialMT"/>
          <w:sz w:val="22"/>
        </w:rPr>
        <w:t xml:space="preserve">Krátkodobý finančný majetok: </w:t>
        <w:tab/>
        <w:tab/>
        <w:tab/>
        <w:t>Obstarávacia cena</w:t>
      </w:r>
    </w:p>
    <w:p>
      <w:pPr>
        <w:pStyle w:val="TextBody"/>
        <w:spacing w:lineRule="auto" w:line="240"/>
        <w:rPr/>
      </w:pPr>
      <w:r>
        <w:rPr>
          <w:rFonts w:ascii="ArialMT" w:hAnsi="ArialMT"/>
          <w:sz w:val="22"/>
        </w:rPr>
        <w:t xml:space="preserve">Záväzky vrátane rezerv: </w:t>
        <w:tab/>
        <w:tab/>
        <w:tab/>
        <w:tab/>
        <w:t xml:space="preserve">Menovitá hodnota </w:t>
      </w:r>
    </w:p>
    <w:p>
      <w:pPr>
        <w:pStyle w:val="TextBody"/>
        <w:spacing w:lineRule="auto" w:line="240"/>
        <w:rPr/>
      </w:pPr>
      <w:r>
        <w:rPr>
          <w:rFonts w:ascii="ArialMT" w:hAnsi="ArialMT"/>
          <w:sz w:val="22"/>
        </w:rPr>
        <w:t>Dlhopisy:</w:t>
        <w:tab/>
        <w:tab/>
        <w:tab/>
        <w:tab/>
        <w:tab/>
        <w:tab/>
        <w:t xml:space="preserve">Menovitá hodnota </w:t>
        <w:br/>
        <w:t>Pôžičky a úvery:</w:t>
        <w:tab/>
        <w:tab/>
        <w:tab/>
        <w:tab/>
        <w:tab/>
        <w:t xml:space="preserve">Menovitá hodnota </w:t>
        <w:br/>
        <w:t xml:space="preserve">Derivátové operácie: </w:t>
        <w:tab/>
        <w:tab/>
        <w:tab/>
        <w:tab/>
        <w:tab/>
        <w:t xml:space="preserve">Menovitá hodnota </w:t>
      </w:r>
    </w:p>
    <w:p>
      <w:pPr>
        <w:pStyle w:val="TextBody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rPr/>
      </w:pPr>
      <w:r>
        <w:rPr>
          <w:rFonts w:ascii="ArialNarrow" w:hAnsi="ArialNarrow"/>
          <w:sz w:val="22"/>
        </w:rPr>
        <w:t xml:space="preserve">3. Spôsob zostavenia odpisového plánu pre jednotlivé druhy dlhodobého hmotného majetku a dlhodobého nehmotného majetku, vychádza z odpisových sadzieb určených zákonom o dani z príjmu č.595/2003 Z.Z. </w:t>
      </w:r>
    </w:p>
    <w:p>
      <w:pPr>
        <w:pStyle w:val="TextBody"/>
        <w:rPr>
          <w:rFonts w:ascii="TimesNewRomanPSMT" w:hAnsi="TimesNewRomanPSMT"/>
        </w:rPr>
      </w:pPr>
      <w:r>
        <w:rPr>
          <w:rFonts w:ascii="TimesNewRomanPSMT" w:hAnsi="TimesNewRomanPSMT"/>
        </w:rPr>
        <w:t xml:space="preserve">Strana 1 </w:t>
      </w:r>
    </w:p>
    <w:p>
      <w:pPr>
        <w:pStyle w:val="TextBody"/>
        <w:rPr/>
      </w:pPr>
      <w:r>
        <w:rPr>
          <w:rFonts w:ascii="ArialMT" w:hAnsi="ArialMT"/>
          <w:sz w:val="22"/>
        </w:rPr>
        <w:t>Poznámky ÚčMÚJ3</w:t>
      </w:r>
      <w:r>
        <w:rPr/>
        <w:t>–</w:t>
      </w:r>
      <w:r>
        <w:rPr>
          <w:rFonts w:ascii="ArialMT" w:hAnsi="ArialMT"/>
          <w:sz w:val="22"/>
        </w:rPr>
        <w:t xml:space="preserve">01 </w:t>
        <w:tab/>
        <w:tab/>
        <w:tab/>
        <w:tab/>
        <w:tab/>
        <w:tab/>
        <w:t xml:space="preserve">IČO: 56133553DIČ:2122217713 </w:t>
      </w:r>
    </w:p>
    <w:p>
      <w:pPr>
        <w:pStyle w:val="TextBody"/>
        <w:jc w:val="both"/>
        <w:rPr/>
      </w:pPr>
      <w:r>
        <w:rPr>
          <w:rFonts w:ascii="ArialMT" w:hAnsi="ArialMT"/>
          <w:sz w:val="22"/>
        </w:rPr>
        <w:t xml:space="preserve">4. Zmeny účtovných zásad a zmeny účtovných metód s uvedením dôvodu týchto zmien a vyčíslením ich vplyvu na finančnú hodnotu majetku, záväzkov, základného imania a výsledku hospodárenia účtovnej jednotky: </w:t>
      </w:r>
    </w:p>
    <w:p>
      <w:pPr>
        <w:pStyle w:val="TextBody"/>
        <w:jc w:val="both"/>
        <w:rPr/>
      </w:pPr>
      <w:r>
        <w:rPr>
          <w:rFonts w:ascii="ArialMT" w:hAnsi="ArialMT"/>
          <w:sz w:val="22"/>
        </w:rPr>
        <w:t xml:space="preserve">5. Informácie o dotáciách a ich oceňovanie v účtovníctve: </w:t>
      </w:r>
    </w:p>
    <w:p>
      <w:pPr>
        <w:pStyle w:val="TextBody"/>
        <w:jc w:val="both"/>
        <w:rPr/>
      </w:pPr>
      <w:r>
        <w:rPr>
          <w:rFonts w:ascii="ArialMT" w:hAnsi="ArialMT"/>
          <w:sz w:val="22"/>
        </w:rPr>
        <w:t xml:space="preserve">6. Informácie o účtovaní významných opráv chýb minulých účtovných období v bežnom účtovnom období s uvedením vplyvu na nerozdelený zisk minulých rokov alebo neuhradenú stratu minulých rokov; súčasne sa môže uviesť aj účtovanie nevýznamných chýb minulých účtovných období v bežnom účtovnom období s uvedením vplyvu na výsledok hospodárenia bežného účtovného obdobia: </w:t>
      </w:r>
    </w:p>
    <w:p>
      <w:pPr>
        <w:pStyle w:val="TextBody"/>
        <w:rPr/>
      </w:pPr>
      <w:r>
        <w:rPr>
          <w:rFonts w:ascii="Arial" w:hAnsi="Arial"/>
          <w:b/>
          <w:sz w:val="22"/>
        </w:rPr>
        <w:t>Článok III</w:t>
        <w:br/>
        <w:t xml:space="preserve">Informácie, ktoré vysvetľujú a dopĺňajú súvahu a výkaz ziskov a strát </w:t>
      </w:r>
    </w:p>
    <w:p>
      <w:pPr>
        <w:pStyle w:val="TextBody"/>
        <w:jc w:val="both"/>
        <w:rPr/>
      </w:pPr>
      <w:r>
        <w:rPr>
          <w:rFonts w:ascii="ArialMT" w:hAnsi="ArialMT"/>
          <w:sz w:val="22"/>
        </w:rPr>
        <w:t xml:space="preserve">1. Informácia o sume a dôvodoch vzniku jednotlivých položiek </w:t>
      </w:r>
      <w:r>
        <w:rPr>
          <w:rFonts w:ascii="Arial" w:hAnsi="Arial"/>
          <w:b/>
          <w:sz w:val="22"/>
        </w:rPr>
        <w:t>nákladov alebo výnosov</w:t>
      </w:r>
      <w:r>
        <w:rPr>
          <w:rFonts w:ascii="ArialMT" w:hAnsi="ArialMT"/>
          <w:sz w:val="22"/>
        </w:rPr>
        <w:t xml:space="preserve">, ktoré majú výnimočný rozsah alebo výskyt, napríklad výnosy z predaja podniku alebo časti podniku, náklady z dôvodu predaja podniku alebo časti podniku, škody z dôvodu živelných pohrôm: </w:t>
      </w:r>
    </w:p>
    <w:p>
      <w:pPr>
        <w:pStyle w:val="TextBody"/>
        <w:rPr/>
      </w:pPr>
      <w:r>
        <w:rPr>
          <w:rFonts w:ascii="ArialMT" w:hAnsi="ArialMT"/>
          <w:sz w:val="22"/>
        </w:rPr>
        <w:t>2. Informácie o záväzkoch, a to:</w:t>
        <w:br/>
        <w:t>- celkovej sume záväzkov so zostatkovou dobou splatnosti dlhšou ako päť rokov:</w:t>
        <w:br/>
        <w:t xml:space="preserve">- celkovej sume zabezpečených záväzkov, opis a spôsoby zabezpečenia záväzkov: </w:t>
      </w:r>
    </w:p>
    <w:p>
      <w:pPr>
        <w:pStyle w:val="TextBody"/>
        <w:jc w:val="both"/>
        <w:rPr/>
      </w:pPr>
      <w:r>
        <w:rPr>
          <w:rFonts w:ascii="ArialMT" w:hAnsi="ArialMT"/>
          <w:sz w:val="22"/>
        </w:rPr>
        <w:t xml:space="preserve">3. Informácie o vlastných akciách, a to najmä – dôvod nadobudnutia vlastných akcií, počet a menovitá hodnota nadobudnutých vlastných akcií a počet a menovitá hodnota prevedených vlastných akcií, pričom sa uvádza percentuálna hodnota týchto vlastných akcií na upísanom základnom imaní. Počet a hodnota, za ktorú sa vlastné akcie počas účtovného obdobia nadobudli a počet a hodnota, za ktorú sa vlastné akcie počas účtovného obdobia previedli na inú osobu. Počet a menovitá hodnota a hodnote, za ktorú sa vlastné akcie nadobudli a ktoré účtovná jednotka má v držbe k poslednému dňu účtovného obdobia; uvádza sa aj ich percentuálny podiel na upísanom základnom imaní: </w:t>
      </w:r>
    </w:p>
    <w:p>
      <w:pPr>
        <w:pStyle w:val="TextBody"/>
        <w:jc w:val="both"/>
        <w:rPr>
          <w:rFonts w:ascii="ArialMT" w:hAnsi="ArialMT"/>
          <w:sz w:val="22"/>
        </w:rPr>
      </w:pPr>
      <w:r>
        <w:rPr>
          <w:rFonts w:ascii="ArialMT" w:hAnsi="ArialMT"/>
          <w:sz w:val="22"/>
        </w:rPr>
        <w:t xml:space="preserve">4. Informácia, či účtovná jednotka tvorila kapitálový fond z príspevkov podľa § 123 ods. 2 a § 217a Obchodného zákonníka v znení neskorších predpisov. </w:t>
      </w:r>
    </w:p>
    <w:p>
      <w:pPr>
        <w:pStyle w:val="TextBody"/>
        <w:jc w:val="both"/>
        <w:rPr/>
      </w:pPr>
      <w:r>
        <w:rPr>
          <w:rFonts w:ascii="ArialMT" w:hAnsi="ArialMT"/>
          <w:sz w:val="22"/>
        </w:rPr>
        <w:t xml:space="preserve">5. Informácie o orgánoch účtovnej jednotky, a to: </w:t>
      </w:r>
    </w:p>
    <w:p>
      <w:pPr>
        <w:pStyle w:val="TextBody"/>
        <w:jc w:val="both"/>
        <w:rPr/>
      </w:pPr>
      <w:r>
        <w:rPr>
          <w:rFonts w:ascii="ArialMT" w:hAnsi="ArialMT"/>
          <w:sz w:val="22"/>
        </w:rPr>
        <w:t xml:space="preserve">a) výške jednotlivých druhov záruk alebo iných zabezpečení poskytnutých pre členov štatutárneho orgánu, dozorného orgánu a iného orgánu účtovnej jednotky, a to v členení za jednotlivé orgány: </w:t>
      </w:r>
    </w:p>
    <w:p>
      <w:pPr>
        <w:pStyle w:val="TextBody"/>
        <w:jc w:val="both"/>
        <w:rPr/>
      </w:pPr>
      <w:r>
        <w:rPr>
          <w:rFonts w:ascii="ArialMT" w:hAnsi="ArialMT"/>
          <w:sz w:val="22"/>
        </w:rPr>
        <w:t xml:space="preserve">b)pôžičkách poskytnutých členom štatutárneho orgánu, dozorného orgánu ainéhoorgánu účtovnej jednotky a to - celková suma poskytnutých pôžičiek k poslednému dňu účtovného obdobia v členení za jednotlivé orgány a celková suma splatených pôžičiek k poslednému dňu účtovného obdobia v členení za jednotlivé orgány a celková suma odpustených pôžičiek a odpísaných pôžičiek k poslednému dňu účtovného obdobia v členení za jednotlivé orgány: </w:t>
      </w:r>
    </w:p>
    <w:p>
      <w:pPr>
        <w:pStyle w:val="TextBody"/>
        <w:jc w:val="both"/>
        <w:rPr/>
      </w:pPr>
      <w:r>
        <w:rPr>
          <w:rFonts w:ascii="ArialMT" w:hAnsi="ArialMT"/>
          <w:sz w:val="22"/>
        </w:rPr>
        <w:t xml:space="preserve">c) hlavných podmienkach, na základe ktorých im boli záruky alebo iné zabezpečenie a pôžičky poskytnuté; pri pôžičkách sa uvádzajú úrokové sadzby: </w:t>
      </w:r>
    </w:p>
    <w:p>
      <w:pPr>
        <w:pStyle w:val="TextBody"/>
        <w:jc w:val="both"/>
        <w:rPr/>
      </w:pPr>
      <w:r>
        <w:rPr>
          <w:rFonts w:ascii="ArialMT" w:hAnsi="ArialMT"/>
          <w:sz w:val="22"/>
        </w:rPr>
        <w:t xml:space="preserve">d) celkovej sume použitých finančných prostriedkov alebo iného plnenia na súkromné účely členmi štatutárneho orgánu, dozorného orgánu a iného orgánu účtovnej jednotky, ktoré je potrebné vyúčtovať: </w:t>
      </w:r>
    </w:p>
    <w:p>
      <w:pPr>
        <w:pStyle w:val="TextBody"/>
        <w:jc w:val="both"/>
        <w:rPr>
          <w:rFonts w:ascii="TimesNewRomanPSMT" w:hAnsi="TimesNewRomanPSMT"/>
        </w:rPr>
      </w:pPr>
      <w:r>
        <w:rPr>
          <w:rFonts w:ascii="TimesNewRomanPSMT" w:hAnsi="TimesNewRomanPSMT"/>
        </w:rPr>
        <w:t xml:space="preserve">Strana 2 </w:t>
      </w:r>
    </w:p>
    <w:p>
      <w:pPr>
        <w:pStyle w:val="TextBody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rPr/>
      </w:pPr>
      <w:r>
        <w:rPr>
          <w:rFonts w:ascii="ArialMT" w:hAnsi="ArialMT"/>
          <w:sz w:val="22"/>
        </w:rPr>
        <w:t>Poznámky ÚčMÚJ3</w:t>
      </w:r>
      <w:r>
        <w:rPr/>
        <w:t>–</w:t>
      </w:r>
      <w:r>
        <w:rPr>
          <w:rFonts w:ascii="ArialMT" w:hAnsi="ArialMT"/>
          <w:sz w:val="22"/>
        </w:rPr>
        <w:t xml:space="preserve">01 </w:t>
        <w:tab/>
        <w:tab/>
        <w:tab/>
        <w:tab/>
        <w:tab/>
        <w:tab/>
        <w:t xml:space="preserve">IČO: 56133553DIČ:2122217713 </w:t>
      </w:r>
    </w:p>
    <w:p>
      <w:pPr>
        <w:pStyle w:val="TextBody"/>
        <w:jc w:val="both"/>
        <w:rPr/>
      </w:pPr>
      <w:r>
        <w:rPr>
          <w:rFonts w:ascii="ArialMT" w:hAnsi="ArialMT"/>
          <w:sz w:val="22"/>
        </w:rPr>
        <w:t xml:space="preserve">6. Informácie o povinnostiach účtovnej jednotky, a to: </w:t>
      </w:r>
    </w:p>
    <w:p>
      <w:pPr>
        <w:pStyle w:val="TextBody"/>
        <w:jc w:val="both"/>
        <w:rPr/>
      </w:pPr>
      <w:r>
        <w:rPr>
          <w:rFonts w:ascii="ArialMT" w:hAnsi="ArialMT"/>
          <w:sz w:val="22"/>
        </w:rPr>
        <w:t xml:space="preserve">a) celkovej sume finančných povinností, ktoré sa nevykazujú v súvahe, ale sú významné na posúdenie finančnej situácie účtovnej jednotky, napríklad povinnosti nájomcu vyplývajúce z operatívneho prenájmu, z uzatvorených zmlúv na poskytnutie úveru alebo pôžičky, ktoré ešte neboli poskytnuté, finančné povinnosti vyplývajúce z licenčných a koncesionárskych zmlúv s uvedením sumy poplatku za celé zostávajúce obdobie platnosti zmluvy: </w:t>
      </w:r>
    </w:p>
    <w:p>
      <w:pPr>
        <w:pStyle w:val="TextBody"/>
        <w:jc w:val="both"/>
        <w:rPr/>
      </w:pPr>
      <w:r>
        <w:rPr>
          <w:rFonts w:ascii="ArialMT" w:hAnsi="ArialMT"/>
          <w:sz w:val="22"/>
        </w:rPr>
        <w:t xml:space="preserve">b) celkovej sume významných podmienených záväzkov, ktorými sa rozumie možná povinnosť, ktorá vznikla ako dôsledok minulej udalosti a ktorej existencia závisí od toho, či nastane alebo nenastane jedna alebo viac neistých udalostí v budúcnosti, ktorých vznik nezávisí od účtovnej jednotky, alebo existujúca povinnosť, ktorá vznikla ako dôsledok minulej udalosti, ale ktorá sa nevykazuje v súvahe, pretože nie je pravdepodobné, že na splnenie tejto povinnosti bude potrebný úbytok ekonomických úžitkov, alebo výška tejto povinnosti sa nedá spoľahlivo oceniť: </w:t>
      </w:r>
    </w:p>
    <w:p>
      <w:pPr>
        <w:pStyle w:val="TextBody"/>
        <w:jc w:val="both"/>
        <w:rPr/>
      </w:pPr>
      <w:r>
        <w:rPr>
          <w:rFonts w:ascii="ArialMT" w:hAnsi="ArialMT"/>
          <w:sz w:val="22"/>
        </w:rPr>
        <w:t xml:space="preserve">c) opise významných finančných povinností a významných podmienených záväzkov: </w:t>
      </w:r>
    </w:p>
    <w:p>
      <w:pPr>
        <w:pStyle w:val="TextBody"/>
        <w:jc w:val="both"/>
        <w:rPr/>
      </w:pPr>
      <w:r>
        <w:rPr>
          <w:rFonts w:ascii="ArialMT" w:hAnsi="ArialMT"/>
          <w:sz w:val="22"/>
        </w:rPr>
        <w:t xml:space="preserve">d) celkovej sume významných finančných povinností a významných podmienených záväzkoch voči dcérskej účtovnej jednotke a účtovnej jednotke s podstatným vplyvom: </w:t>
      </w:r>
    </w:p>
    <w:p>
      <w:pPr>
        <w:pStyle w:val="TextBody"/>
        <w:jc w:val="both"/>
        <w:rPr/>
      </w:pPr>
      <w:r>
        <w:rPr>
          <w:rFonts w:ascii="ArialMT" w:hAnsi="ArialMT"/>
          <w:sz w:val="22"/>
        </w:rPr>
        <w:t xml:space="preserve">e) opise významných povinností účtovnej jednotky vyplývajúcich z dôchodkových programov pre zamestnancov: </w:t>
      </w:r>
    </w:p>
    <w:p>
      <w:pPr>
        <w:pStyle w:val="TextBody"/>
        <w:jc w:val="both"/>
        <w:rPr/>
      </w:pPr>
      <w:r>
        <w:rPr>
          <w:rFonts w:ascii="ArialMT" w:hAnsi="ArialMT"/>
          <w:sz w:val="22"/>
        </w:rPr>
        <w:t xml:space="preserve">7. Informácie o udelení výlučného práva alebo osobitného práva, ktorým sa udelilo právo poskytovať </w:t>
      </w:r>
      <w:r>
        <w:rPr>
          <w:rFonts w:ascii="Arial" w:hAnsi="Arial"/>
          <w:b/>
          <w:sz w:val="22"/>
        </w:rPr>
        <w:t>služby vo verejnom záujme</w:t>
      </w:r>
      <w:r>
        <w:rPr>
          <w:rFonts w:ascii="ArialMT" w:hAnsi="ArialMT"/>
          <w:sz w:val="22"/>
        </w:rPr>
        <w:t>, pričom sa uvádza náhrada za túto činnosť v akejkoľvek forme, a ak sa zároveň vykonávajú aj iné činnosti, uvádzajú sa aj informácie o všetkých formách prijatej náhrady, účtovných zásadách použitých pri prideľovaní nákladov a výnosov, všetkých druhoch činnosti účtovnej jednotky:</w:t>
      </w:r>
    </w:p>
    <w:p>
      <w:pPr>
        <w:pStyle w:val="TextBody"/>
        <w:jc w:val="both"/>
        <w:rPr>
          <w:rFonts w:ascii="TimesNewRomanPSMT" w:hAnsi="TimesNewRomanPSMT"/>
        </w:rPr>
      </w:pPr>
      <w:r>
        <w:rPr>
          <w:rFonts w:ascii="TimesNewRomanPSMT" w:hAnsi="TimesNewRomanPSMT"/>
        </w:rPr>
      </w:r>
    </w:p>
    <w:p>
      <w:pPr>
        <w:pStyle w:val="TextBody"/>
        <w:jc w:val="both"/>
        <w:rPr>
          <w:rFonts w:ascii="TimesNewRomanPSMT" w:hAnsi="TimesNewRomanPSMT"/>
        </w:rPr>
      </w:pPr>
      <w:r>
        <w:rPr>
          <w:rFonts w:ascii="TimesNewRomanPSMT" w:hAnsi="TimesNewRomanPSMT"/>
        </w:rPr>
      </w:r>
    </w:p>
    <w:p>
      <w:pPr>
        <w:pStyle w:val="TextBody"/>
        <w:jc w:val="both"/>
        <w:rPr>
          <w:rFonts w:ascii="TimesNewRomanPSMT" w:hAnsi="TimesNewRomanPSMT"/>
        </w:rPr>
      </w:pPr>
      <w:r>
        <w:rPr>
          <w:rFonts w:ascii="TimesNewRomanPSMT" w:hAnsi="TimesNewRomanPSMT"/>
        </w:rPr>
      </w:r>
    </w:p>
    <w:p>
      <w:pPr>
        <w:pStyle w:val="TextBody"/>
        <w:rPr>
          <w:rFonts w:ascii="TimesNewRomanPSMT" w:hAnsi="TimesNewRomanPSMT"/>
        </w:rPr>
      </w:pPr>
      <w:r>
        <w:rPr>
          <w:rFonts w:ascii="TimesNewRomanPSMT" w:hAnsi="TimesNewRomanPSMT"/>
        </w:rPr>
      </w:r>
    </w:p>
    <w:p>
      <w:pPr>
        <w:pStyle w:val="TextBody"/>
        <w:rPr>
          <w:rFonts w:ascii="TimesNewRomanPSMT" w:hAnsi="TimesNewRomanPSMT"/>
        </w:rPr>
      </w:pPr>
      <w:r>
        <w:rPr>
          <w:rFonts w:ascii="TimesNewRomanPSMT" w:hAnsi="TimesNewRomanPSMT"/>
        </w:rPr>
      </w:r>
    </w:p>
    <w:p>
      <w:pPr>
        <w:pStyle w:val="TextBody"/>
        <w:rPr>
          <w:rFonts w:ascii="TimesNewRomanPSMT" w:hAnsi="TimesNewRomanPSMT"/>
        </w:rPr>
      </w:pPr>
      <w:r>
        <w:rPr>
          <w:rFonts w:ascii="TimesNewRomanPSMT" w:hAnsi="TimesNewRomanPSMT"/>
        </w:rPr>
      </w:r>
    </w:p>
    <w:p>
      <w:pPr>
        <w:pStyle w:val="TextBody"/>
        <w:rPr>
          <w:rFonts w:ascii="TimesNewRomanPSMT" w:hAnsi="TimesNewRomanPSMT"/>
        </w:rPr>
      </w:pPr>
      <w:r>
        <w:rPr>
          <w:rFonts w:ascii="TimesNewRomanPSMT" w:hAnsi="TimesNewRomanPSMT"/>
        </w:rPr>
      </w:r>
    </w:p>
    <w:p>
      <w:pPr>
        <w:pStyle w:val="TextBody"/>
        <w:rPr>
          <w:rFonts w:ascii="TimesNewRomanPSMT" w:hAnsi="TimesNewRomanPSMT"/>
        </w:rPr>
      </w:pPr>
      <w:r>
        <w:rPr>
          <w:rFonts w:ascii="TimesNewRomanPSMT" w:hAnsi="TimesNewRomanPSMT"/>
        </w:rPr>
      </w:r>
    </w:p>
    <w:p>
      <w:pPr>
        <w:pStyle w:val="TextBody"/>
        <w:rPr>
          <w:rFonts w:ascii="TimesNewRomanPSMT" w:hAnsi="TimesNewRomanPSMT"/>
        </w:rPr>
      </w:pPr>
      <w:r>
        <w:rPr>
          <w:rFonts w:ascii="TimesNewRomanPSMT" w:hAnsi="TimesNewRomanPSMT"/>
        </w:rPr>
      </w:r>
    </w:p>
    <w:p>
      <w:pPr>
        <w:pStyle w:val="TextBody"/>
        <w:rPr>
          <w:rFonts w:ascii="TimesNewRomanPSMT" w:hAnsi="TimesNewRomanPSMT"/>
        </w:rPr>
      </w:pPr>
      <w:r>
        <w:rPr>
          <w:rFonts w:ascii="TimesNewRomanPSMT" w:hAnsi="TimesNewRomanPSMT"/>
        </w:rPr>
      </w:r>
    </w:p>
    <w:p>
      <w:pPr>
        <w:pStyle w:val="TextBody"/>
        <w:rPr>
          <w:rFonts w:ascii="TimesNewRomanPSMT" w:hAnsi="TimesNewRomanPSMT"/>
        </w:rPr>
      </w:pPr>
      <w:r>
        <w:rPr>
          <w:rFonts w:ascii="TimesNewRomanPSMT" w:hAnsi="TimesNewRomanPSMT"/>
        </w:rPr>
      </w:r>
    </w:p>
    <w:p>
      <w:pPr>
        <w:pStyle w:val="TextBody"/>
        <w:rPr>
          <w:rFonts w:ascii="TimesNewRomanPSMT" w:hAnsi="TimesNewRomanPSMT"/>
        </w:rPr>
      </w:pPr>
      <w:r>
        <w:rPr>
          <w:rFonts w:ascii="TimesNewRomanPSMT" w:hAnsi="TimesNewRomanPSMT"/>
        </w:rPr>
      </w:r>
    </w:p>
    <w:p>
      <w:pPr>
        <w:pStyle w:val="TextBody"/>
        <w:rPr>
          <w:rFonts w:ascii="TimesNewRomanPSMT" w:hAnsi="TimesNewRomanPSMT"/>
        </w:rPr>
      </w:pPr>
      <w:r>
        <w:rPr>
          <w:rFonts w:ascii="TimesNewRomanPSMT" w:hAnsi="TimesNewRomanPSMT"/>
        </w:rPr>
      </w:r>
    </w:p>
    <w:p>
      <w:pPr>
        <w:pStyle w:val="TextBody"/>
        <w:rPr>
          <w:rFonts w:ascii="TimesNewRomanPSMT" w:hAnsi="TimesNewRomanPSMT"/>
        </w:rPr>
      </w:pPr>
      <w:r>
        <w:rPr>
          <w:rFonts w:ascii="TimesNewRomanPSMT" w:hAnsi="TimesNewRomanPSMT"/>
        </w:rPr>
      </w:r>
    </w:p>
    <w:p>
      <w:pPr>
        <w:pStyle w:val="TextBody"/>
        <w:spacing w:lineRule="auto" w:line="276" w:before="0" w:after="140"/>
        <w:rPr/>
      </w:pPr>
      <w:r>
        <w:rPr>
          <w:rFonts w:ascii="TimesNewRomanPSMT" w:hAnsi="TimesNewRomanPSMT"/>
        </w:rPr>
        <w:t xml:space="preserve">Strana 3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MT">
    <w:charset w:val="01"/>
    <w:family w:val="roman"/>
    <w:pitch w:val="variable"/>
  </w:font>
  <w:font w:name="ArialNarrow">
    <w:charset w:val="01"/>
    <w:family w:val="roman"/>
    <w:pitch w:val="variable"/>
  </w:font>
  <w:font w:name="Arial">
    <w:charset w:val="01"/>
    <w:family w:val="roman"/>
    <w:pitch w:val="variable"/>
  </w:font>
  <w:font w:name="TimesNewRomanPSMT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48"/>
  <w:defaultTabStop w:val="709"/>
  <w:autoHyphenation w:val="true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ongti SC" w:cs="Arial Unicode MS"/>
        <w:kern w:val="2"/>
        <w:szCs w:val="24"/>
        <w:lang w:val="en-US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Songti SC" w:cs="Arial Unicode MS"/>
      <w:color w:val="auto"/>
      <w:kern w:val="2"/>
      <w:sz w:val="24"/>
      <w:szCs w:val="24"/>
      <w:lang w:val="en-US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Heading" w:customStyle="1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PingFang SC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/>
  </w:style>
  <w:style w:type="paragraph" w:styleId="Caption1">
    <w:name w:val="caption"/>
    <w:basedOn w:val="Normal"/>
    <w:qFormat/>
    <w:pPr>
      <w:suppressLineNumbers/>
      <w:spacing w:before="120" w:after="120"/>
    </w:pPr>
    <w:rPr>
      <w:i/>
      <w:i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Application>LibreOffice/7.5.9.2$MacOSX_AARCH64 LibreOffice_project/cdeefe45c17511d326101eed8008ac4092f278a9</Application>
  <AppVersion>15.0000</AppVersion>
  <Pages>4</Pages>
  <Words>908</Words>
  <Characters>5686</Characters>
  <CharactersWithSpaces>6658</CharactersWithSpaces>
  <Paragraphs>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2022-06-10T14:04:00Z</dcterms:created>
  <dc:creator/>
  <dc:description/>
  <dc:language>en-US</dc:language>
  <cp:lastModifiedBy/>
  <dcterms:modified xsi:type="dcterms:W3CDTF">2026-06-17T21:47:56Z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