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68B66" w14:textId="77777777" w:rsidR="00F21BB5" w:rsidRDefault="00F21BB5" w:rsidP="00F21BB5">
      <w:pPr>
        <w:pStyle w:val="Default"/>
      </w:pPr>
    </w:p>
    <w:p w14:paraId="0B0E79E3" w14:textId="77777777" w:rsidR="00F21BB5" w:rsidRDefault="00F21BB5" w:rsidP="00F21BB5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Úč MÚJ 3-01 </w:t>
      </w:r>
    </w:p>
    <w:p w14:paraId="4566A4EC" w14:textId="3094D61C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IČO 35932716</w:t>
      </w:r>
    </w:p>
    <w:p w14:paraId="0DD1D910" w14:textId="60B54A9E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DIČ 2021993336 </w:t>
      </w:r>
    </w:p>
    <w:p w14:paraId="468100CC" w14:textId="693B4EF8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Obchodné meno : MUDr. Szűcsová Hilda, s.r.o.</w:t>
      </w:r>
    </w:p>
    <w:p w14:paraId="071B87A6" w14:textId="5BA2829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Sídlo: SNP 302/61A, 93701 Želiezovce</w:t>
      </w:r>
    </w:p>
    <w:p w14:paraId="5E085E9C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súčasťou konsolidovaného celku </w:t>
      </w:r>
    </w:p>
    <w:p w14:paraId="022271F9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prepočítaný počet zamestnancov: 0 </w:t>
      </w:r>
    </w:p>
    <w:p w14:paraId="7E7B1520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Spôsob oceňovania majetku a záväzkov: </w:t>
      </w:r>
    </w:p>
    <w:p w14:paraId="52E66B41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obstáravacou cenou – hmotný majetok, zásoby, nehmotný majetok s výnimkou majetku vytvoreného vlastnou činnosťou. </w:t>
      </w:r>
    </w:p>
    <w:p w14:paraId="6CAD8C7B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vlastnými nákladmi hmotný majetok, zásoby, nehmotný majetok vytvoreného vlastnou činnosťou </w:t>
      </w:r>
    </w:p>
    <w:p w14:paraId="58F32BCA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menovitou hodnotou – peňažné prostriedky, ceniny, pohľadávky a záväzky pri ich vzniku </w:t>
      </w:r>
    </w:p>
    <w:p w14:paraId="03E3CDD0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Výdavky budúcich období a príjmy budúcich období sa vykazujú vo výške, ktorá je potrebná na dodžanie zásady vecnej a časovej súvislosti s účtovným obdobím </w:t>
      </w:r>
    </w:p>
    <w:p w14:paraId="555B477A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Náklady a výnosy sa časovo rozlišujú </w:t>
      </w:r>
    </w:p>
    <w:p w14:paraId="29D205E3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Daň z príjmov splatná sa určuje z účtovného zisku pred zdanením po úpravách podľa zákona o dani z príjmov </w:t>
      </w:r>
    </w:p>
    <w:p w14:paraId="7938A4E3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Dlhodobý majetok sa odpisuje sa odpisuje s ohľadom na opotrebenie zodpovedajúce bežným podmienkam jeho používania v zaradení do odpisových skupín podľa zákon a o dani z príjmov </w:t>
      </w:r>
    </w:p>
    <w:p w14:paraId="28DFFCD6" w14:textId="1200D1A9" w:rsidR="00FE5D39" w:rsidRDefault="00F21BB5" w:rsidP="00F21BB5">
      <w:r>
        <w:t>Informácia o sume a dôvodoch vzniku jednotlivých položiek nákladov alebo výnosov – účtovná jednotka v roku 202</w:t>
      </w:r>
      <w:r w:rsidR="005B07B9">
        <w:t>4</w:t>
      </w:r>
      <w:r>
        <w:t xml:space="preserve"> nevykonávala ekonomickú činnosť</w:t>
      </w:r>
    </w:p>
    <w:sectPr w:rsidR="00FE5D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D39"/>
    <w:rsid w:val="005B07B9"/>
    <w:rsid w:val="009819EA"/>
    <w:rsid w:val="00E659F3"/>
    <w:rsid w:val="00F21BB5"/>
    <w:rsid w:val="00FE5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D846C"/>
  <w15:chartTrackingRefBased/>
  <w15:docId w15:val="{5721DE1B-BBFE-4184-84E8-76AE2A7CE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21BB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1019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Šedivá</dc:creator>
  <cp:keywords/>
  <dc:description/>
  <cp:lastModifiedBy>Marianna Šedivá</cp:lastModifiedBy>
  <cp:revision>5</cp:revision>
  <dcterms:created xsi:type="dcterms:W3CDTF">2024-06-30T20:17:00Z</dcterms:created>
  <dcterms:modified xsi:type="dcterms:W3CDTF">2025-06-18T17:57:00Z</dcterms:modified>
</cp:coreProperties>
</file>