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52"/>
          <w:szCs w:val="52"/>
        </w:rPr>
        <w:t>Konsolidovaná výročná správa</w:t>
      </w:r>
    </w:p>
    <w:p>
      <w:pPr>
        <w:pStyle w:val="Normal"/>
        <w:rPr>
          <w:b/>
          <w:sz w:val="52"/>
          <w:szCs w:val="52"/>
        </w:rPr>
      </w:pPr>
      <w:r>
        <w:rPr>
          <w:b/>
          <w:sz w:val="28"/>
          <w:szCs w:val="28"/>
        </w:rPr>
        <w:t xml:space="preserve">                          </w:t>
      </w:r>
    </w:p>
    <w:p>
      <w:pPr>
        <w:pStyle w:val="Normal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Drienovec</w:t>
      </w:r>
    </w:p>
    <w:p>
      <w:pPr>
        <w:pStyle w:val="Normal"/>
        <w:jc w:val="center"/>
        <w:rPr>
          <w:b/>
          <w:bCs/>
          <w:sz w:val="44"/>
          <w:szCs w:val="44"/>
        </w:rPr>
      </w:pPr>
      <w:r>
        <w:rPr>
          <w:b/>
          <w:bCs/>
          <w:sz w:val="52"/>
          <w:szCs w:val="52"/>
        </w:rPr>
        <w:t>za rok 2025</w:t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</w:t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sz w:val="22"/>
          <w:szCs w:val="22"/>
        </w:rPr>
      </w:pPr>
      <w:r>
        <w:rPr>
          <w:b/>
        </w:rPr>
        <w:t>OBSAH</w:t>
        <w:tab/>
        <w:t>str.</w:t>
      </w:r>
    </w:p>
    <w:p>
      <w:pPr>
        <w:pStyle w:val="Normal"/>
        <w:numPr>
          <w:ilvl w:val="0"/>
          <w:numId w:val="6"/>
        </w:numPr>
        <w:spacing w:lineRule="auto" w:line="276"/>
        <w:ind w:hanging="284" w:start="284"/>
        <w:rPr>
          <w:sz w:val="22"/>
          <w:szCs w:val="22"/>
        </w:rPr>
      </w:pPr>
      <w:r>
        <w:rPr>
          <w:sz w:val="22"/>
          <w:szCs w:val="22"/>
        </w:rPr>
        <w:t>Úvodné slovo starostu obce</w:t>
        <w:tab/>
        <w:t xml:space="preserve"> </w:t>
        <w:tab/>
        <w:tab/>
        <w:tab/>
        <w:tab/>
        <w:tab/>
        <w:tab/>
        <w:tab/>
        <w:t xml:space="preserve">             3</w:t>
      </w:r>
    </w:p>
    <w:p>
      <w:pPr>
        <w:pStyle w:val="Normal"/>
        <w:numPr>
          <w:ilvl w:val="0"/>
          <w:numId w:val="6"/>
        </w:numPr>
        <w:spacing w:lineRule="auto" w:line="276"/>
        <w:ind w:hanging="284" w:start="284"/>
        <w:rPr>
          <w:sz w:val="22"/>
          <w:szCs w:val="22"/>
        </w:rPr>
      </w:pPr>
      <w:r>
        <w:rPr>
          <w:sz w:val="22"/>
          <w:szCs w:val="22"/>
        </w:rPr>
        <w:t>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6"/>
        </w:numPr>
        <w:spacing w:lineRule="auto" w:line="276"/>
        <w:ind w:hanging="284" w:start="284"/>
        <w:rPr>
          <w:sz w:val="22"/>
          <w:szCs w:val="22"/>
        </w:rPr>
      </w:pPr>
      <w:r>
        <w:rPr>
          <w:sz w:val="22"/>
          <w:szCs w:val="22"/>
        </w:rPr>
        <w:t>Organizačná štruktúra obce a identifikácia vedúcich predstaviteľov</w:t>
        <w:tab/>
        <w:tab/>
        <w:tab/>
        <w:t xml:space="preserve">             3</w:t>
      </w:r>
    </w:p>
    <w:p>
      <w:pPr>
        <w:pStyle w:val="Normal"/>
        <w:numPr>
          <w:ilvl w:val="0"/>
          <w:numId w:val="6"/>
        </w:numPr>
        <w:spacing w:lineRule="auto" w:line="276"/>
        <w:ind w:hanging="284" w:start="284"/>
        <w:rPr>
          <w:sz w:val="22"/>
          <w:szCs w:val="22"/>
        </w:rPr>
      </w:pPr>
      <w:r>
        <w:rPr>
          <w:sz w:val="22"/>
          <w:szCs w:val="22"/>
        </w:rPr>
        <w:t xml:space="preserve">Poslanie, vízie, ciele </w:t>
        <w:tab/>
        <w:tab/>
        <w:tab/>
        <w:tab/>
        <w:tab/>
        <w:tab/>
        <w:tab/>
        <w:tab/>
        <w:tab/>
        <w:t>4</w:t>
      </w:r>
    </w:p>
    <w:p>
      <w:pPr>
        <w:pStyle w:val="Normal"/>
        <w:numPr>
          <w:ilvl w:val="0"/>
          <w:numId w:val="6"/>
        </w:numPr>
        <w:spacing w:lineRule="auto" w:line="276"/>
        <w:ind w:hanging="284" w:start="284"/>
        <w:rPr>
          <w:sz w:val="22"/>
          <w:szCs w:val="22"/>
        </w:rPr>
      </w:pPr>
      <w:r>
        <w:rPr>
          <w:sz w:val="22"/>
          <w:szCs w:val="22"/>
        </w:rPr>
        <w:t>Základná charakteristika konsolidovaného celku</w:t>
        <w:tab/>
        <w:tab/>
        <w:tab/>
        <w:tab/>
        <w:tab/>
        <w:tab/>
        <w:t>4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5.1.  Geografické údaje</w:t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5.2.  Demografické údaje</w:t>
        <w:tab/>
        <w:tab/>
        <w:tab/>
        <w:tab/>
        <w:tab/>
        <w:tab/>
        <w:tab/>
        <w:tab/>
        <w:tab/>
        <w:t>5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5.3.  Ekonomické údaje</w:t>
        <w:tab/>
        <w:tab/>
        <w:tab/>
        <w:tab/>
        <w:tab/>
        <w:tab/>
        <w:tab/>
        <w:tab/>
        <w:tab/>
        <w:t>5</w:t>
      </w:r>
    </w:p>
    <w:p>
      <w:pPr>
        <w:pStyle w:val="Normal"/>
        <w:spacing w:lineRule="auto" w:line="276"/>
        <w:ind w:end="55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5.4.  Symboly obce, logo obce</w:t>
        <w:tab/>
        <w:t xml:space="preserve">                                 </w:t>
        <w:tab/>
        <w:tab/>
        <w:tab/>
        <w:tab/>
        <w:t xml:space="preserve">             6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5.5.  História obce</w:t>
        <w:tab/>
        <w:tab/>
        <w:tab/>
        <w:tab/>
        <w:tab/>
        <w:tab/>
        <w:tab/>
        <w:tab/>
        <w:tab/>
        <w:tab/>
        <w:t>6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5.6.  Pamiatky </w:t>
        <w:tab/>
        <w:tab/>
        <w:tab/>
        <w:tab/>
        <w:tab/>
        <w:tab/>
        <w:tab/>
        <w:tab/>
        <w:tab/>
        <w:tab/>
        <w:t>6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6. Plnenie úloh obce (prenesené kompetencie, originálne kompetencie) </w:t>
      </w:r>
    </w:p>
    <w:p>
      <w:pPr>
        <w:pStyle w:val="Normal"/>
        <w:spacing w:lineRule="auto" w:line="276"/>
        <w:ind w:start="284"/>
        <w:rPr>
          <w:sz w:val="22"/>
          <w:szCs w:val="22"/>
        </w:rPr>
      </w:pPr>
      <w:r>
        <w:rPr>
          <w:sz w:val="22"/>
          <w:szCs w:val="22"/>
        </w:rPr>
        <w:t>6.1. Výchova a vzdelávanie</w:t>
        <w:tab/>
        <w:tab/>
        <w:tab/>
        <w:tab/>
        <w:tab/>
        <w:tab/>
        <w:tab/>
        <w:tab/>
        <w:t xml:space="preserve">             6</w:t>
      </w:r>
    </w:p>
    <w:p>
      <w:pPr>
        <w:pStyle w:val="Normal"/>
        <w:spacing w:lineRule="auto" w:line="276"/>
        <w:ind w:start="284"/>
        <w:rPr>
          <w:sz w:val="22"/>
          <w:szCs w:val="22"/>
        </w:rPr>
      </w:pPr>
      <w:r>
        <w:rPr>
          <w:sz w:val="22"/>
          <w:szCs w:val="22"/>
        </w:rPr>
        <w:t>6.2. Zdravotníctvo</w:t>
        <w:tab/>
        <w:tab/>
        <w:tab/>
        <w:tab/>
        <w:tab/>
        <w:tab/>
        <w:tab/>
        <w:tab/>
        <w:tab/>
        <w:tab/>
        <w:t>7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6.3. Sociálne zabezpečenie</w:t>
        <w:tab/>
        <w:tab/>
        <w:tab/>
        <w:tab/>
        <w:tab/>
        <w:tab/>
        <w:tab/>
        <w:tab/>
        <w:t xml:space="preserve">             7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6.4. Kultúra</w:t>
        <w:tab/>
        <w:tab/>
        <w:tab/>
        <w:tab/>
        <w:tab/>
        <w:tab/>
        <w:tab/>
        <w:tab/>
        <w:tab/>
        <w:tab/>
        <w:t xml:space="preserve">             7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6.5. Hospodárstvo</w:t>
        <w:tab/>
        <w:tab/>
        <w:tab/>
        <w:tab/>
        <w:tab/>
        <w:tab/>
        <w:tab/>
        <w:tab/>
        <w:tab/>
        <w:tab/>
        <w:t>7</w:t>
      </w:r>
    </w:p>
    <w:p>
      <w:pPr>
        <w:pStyle w:val="Normal"/>
        <w:spacing w:lineRule="auto" w:line="276"/>
        <w:ind w:hanging="142" w:start="142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7</w:t>
      </w:r>
      <w:r>
        <w:rPr>
          <w:sz w:val="22"/>
          <w:szCs w:val="22"/>
        </w:rPr>
        <w:t>. Informácia o vývoji obce z pohľadu rozpočtovníctva</w:t>
        <w:tab/>
        <w:tab/>
        <w:tab/>
        <w:tab/>
        <w:tab/>
        <w:t xml:space="preserve">             7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7.1.  Plnenie príjmov a čerpanie výdavkov za rok 2025</w:t>
      </w:r>
      <w:r>
        <w:rPr/>
        <w:tab/>
        <w:tab/>
        <w:tab/>
        <w:tab/>
        <w:tab/>
      </w:r>
      <w:r>
        <w:rPr>
          <w:sz w:val="22"/>
          <w:szCs w:val="22"/>
        </w:rPr>
        <w:t>8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7.2.  Prebytok/schodok rozpočtového hospodárenia za rok 2025</w:t>
      </w:r>
      <w:r>
        <w:rPr/>
        <w:tab/>
        <w:tab/>
        <w:tab/>
        <w:tab/>
      </w:r>
      <w:r>
        <w:rPr>
          <w:sz w:val="22"/>
          <w:szCs w:val="22"/>
        </w:rPr>
        <w:t>8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7.3.  Rozpočet na roky 2026 - 2028</w:t>
      </w:r>
      <w:r>
        <w:rPr/>
        <w:tab/>
        <w:tab/>
        <w:tab/>
        <w:tab/>
        <w:tab/>
        <w:tab/>
        <w:tab/>
      </w:r>
      <w:r>
        <w:rPr>
          <w:sz w:val="22"/>
          <w:szCs w:val="22"/>
        </w:rPr>
        <w:t xml:space="preserve">             9</w:t>
      </w:r>
    </w:p>
    <w:p>
      <w:pPr>
        <w:pStyle w:val="Normal"/>
        <w:spacing w:lineRule="auto" w:line="276"/>
        <w:ind w:hanging="360" w:start="360"/>
        <w:rPr>
          <w:sz w:val="22"/>
          <w:szCs w:val="22"/>
        </w:rPr>
      </w:pPr>
      <w:r>
        <w:rPr>
          <w:sz w:val="22"/>
          <w:szCs w:val="22"/>
        </w:rPr>
        <w:t>8. Informácia o vývoji obce z pohľadu účtovníctva za konsolidovaný celok</w:t>
        <w:tab/>
        <w:tab/>
        <w:t xml:space="preserve">             9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8.1.  Majetok</w:t>
        <w:tab/>
        <w:tab/>
        <w:tab/>
        <w:tab/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8.2.  Zdroje krytia, pohľadávky, záväzky</w:t>
        <w:tab/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567" w:start="567"/>
        <w:jc w:val="both"/>
        <w:rPr>
          <w:sz w:val="22"/>
          <w:szCs w:val="22"/>
        </w:rPr>
      </w:pPr>
      <w:r>
        <w:rPr>
          <w:sz w:val="22"/>
          <w:szCs w:val="22"/>
        </w:rPr>
        <w:t>9. Informácia o vývoji obce z pohľadu účtovníctva za Individuálnu účtovnú závierku</w:t>
        <w:tab/>
        <w:t xml:space="preserve">             11  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567" w:star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9.1. Majetok</w:t>
        <w:tab/>
        <w:tab/>
        <w:tab/>
        <w:tab/>
        <w:tab/>
        <w:tab/>
        <w:tab/>
        <w:tab/>
        <w:tab/>
        <w:tab/>
        <w:t xml:space="preserve">             11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9.2. Zdroje krytia</w:t>
        <w:tab/>
        <w:tab/>
        <w:tab/>
        <w:tab/>
        <w:tab/>
        <w:tab/>
        <w:tab/>
        <w:tab/>
        <w:tab/>
        <w:tab/>
        <w:t>11-12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9.3. Pohľadávky k IUZ</w:t>
        <w:tab/>
        <w:tab/>
        <w:t xml:space="preserve">                                                                                          12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9.4. Záväzky k IUZ</w:t>
        <w:tab/>
        <w:tab/>
        <w:tab/>
        <w:tab/>
        <w:tab/>
        <w:tab/>
        <w:tab/>
        <w:tab/>
        <w:tab/>
        <w:t xml:space="preserve">             12</w:t>
      </w:r>
    </w:p>
    <w:p>
      <w:pPr>
        <w:pStyle w:val="Normal"/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>10. Hospodársky výsledok za 2025 – vývoj nákladov a výnosov za individuálnu účtovnú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>závierku</w:t>
        <w:tab/>
        <w:tab/>
        <w:tab/>
        <w:tab/>
        <w:tab/>
        <w:tab/>
        <w:tab/>
        <w:tab/>
        <w:tab/>
        <w:tab/>
        <w:t xml:space="preserve">            12-13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10.1.Pohľadávky ku KUZ</w:t>
        <w:tab/>
        <w:tab/>
        <w:t xml:space="preserve">                                                                                          13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ind w:hanging="284" w:star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10.2. Záväzky ku KUZ                                                                                                                13 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Hospodársky výsledok za rok 2025 - vývoj nákladov a výnosov </w:t>
      </w:r>
    </w:p>
    <w:p>
      <w:pPr>
        <w:pStyle w:val="Normal"/>
        <w:spacing w:lineRule="auto" w:line="276"/>
        <w:ind w:start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za konsolidovaný celok</w:t>
        <w:tab/>
        <w:tab/>
        <w:tab/>
        <w:tab/>
        <w:tab/>
        <w:tab/>
        <w:tab/>
        <w:tab/>
        <w:tab/>
        <w:t>14</w:t>
      </w:r>
    </w:p>
    <w:p>
      <w:pPr>
        <w:pStyle w:val="Normal"/>
        <w:spacing w:lineRule="auto" w:line="276"/>
        <w:rPr>
          <w:sz w:val="22"/>
          <w:szCs w:val="22"/>
        </w:rPr>
      </w:pPr>
      <w:r>
        <w:rPr>
          <w:sz w:val="22"/>
          <w:szCs w:val="22"/>
        </w:rPr>
        <w:t>12. Ostatné dôležité informácie</w:t>
        <w:tab/>
        <w:tab/>
        <w:tab/>
        <w:tab/>
        <w:tab/>
        <w:tab/>
        <w:tab/>
        <w:tab/>
        <w:tab/>
        <w:t>14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12.1.  Prijaté granty a transfery</w:t>
        <w:tab/>
        <w:tab/>
        <w:tab/>
        <w:tab/>
        <w:tab/>
        <w:tab/>
        <w:tab/>
        <w:tab/>
        <w:t>14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12.2.  Poskytnuté dotácie</w:t>
        <w:tab/>
        <w:tab/>
        <w:tab/>
        <w:tab/>
        <w:tab/>
        <w:tab/>
        <w:tab/>
        <w:tab/>
        <w:t xml:space="preserve">             15</w:t>
      </w:r>
    </w:p>
    <w:p>
      <w:pPr>
        <w:pStyle w:val="Normal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12.3.  Významné investičné akcie v roku 2025</w:t>
      </w:r>
      <w:r>
        <w:rPr/>
        <w:tab/>
        <w:tab/>
        <w:tab/>
        <w:tab/>
        <w:tab/>
        <w:tab/>
      </w:r>
      <w:r>
        <w:rPr>
          <w:sz w:val="22"/>
          <w:szCs w:val="22"/>
        </w:rPr>
        <w:t>15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12.5   Udalosti osobitného významu po skončení účtovného obdobia</w:t>
        <w:tab/>
        <w:tab/>
        <w:tab/>
        <w:t>16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12.6. Významné riziká a neistoty, ktorým je účtovná jednotka vystavená </w:t>
        <w:tab/>
        <w:tab/>
        <w:t xml:space="preserve">             16</w:t>
      </w:r>
    </w:p>
    <w:p>
      <w:pPr>
        <w:pStyle w:val="Normal"/>
        <w:tabs>
          <w:tab w:val="clear" w:pos="708"/>
          <w:tab w:val="right" w:pos="-5529" w:leader="none"/>
        </w:tabs>
        <w:spacing w:lineRule="auto" w:line="36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</w:r>
    </w:p>
    <w:p>
      <w:pPr>
        <w:pStyle w:val="Normal"/>
        <w:tabs>
          <w:tab w:val="clear" w:pos="708"/>
          <w:tab w:val="right" w:pos="-5529" w:leader="none"/>
        </w:tabs>
        <w:spacing w:lineRule="auto" w:line="36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  <w:br/>
      </w:r>
      <w:r>
        <w:rPr/>
        <w:t xml:space="preserve">Konsolidovaná výročná správa poskytuje základné informácie o majetkovej a finančnej situácii, súhrn za všetky súčasti konsolidovaného celku, analýzu príjmov a výdavkov konsolidovaného celku, prehľad o prijatých, ale aj poskytnutých zúčtovaných transferoch </w:t>
        <w:br/>
        <w:t xml:space="preserve">v rámci konsolidovaného celku a ostatné dôležité informácie o obci a jej organizáciách ako konsolidovanej účtovnej jednotky. Konsolidovaná výročná správa tvorí prehľad realizovaných aktivít na základe rozhodnutí vecne príslušných orgánov obce a zároveň hodnotí plnenie implementácie významných investičných, kultúrnych a spoločenských aktivít. V obci sa, popri zabezpečovaní administratívneho chodu obecného úradu, bežnej prevádzky, údržba a opráv objektov a majetku obce, v rámci čerpania finančných prostriedkov z poskytnutých dotácií a z vlastných rozpočtových zdrojov zrealizovali viaceré investičné aktivity v oblasti zhodnocovania majetku obce, školy a školských zariadení v jej zriaďovateľskej pôsobnosti. Obec dosiahla za sledované obdobie prebytkový rozpočet, </w:t>
        <w:br/>
        <w:t>čo vytvára ďalšie zdroje na jej rozvoj. Tak, ako po uplynulé roky, tak aj v roku 2023 sme zodpovedne riešili potreby každého občana, hospodárne a efektívne vynakladali prostriedky na rozvoj a zveľaďovanie našej obce. V nastolenom trende je potrebné pokračovať, s cieľom zabezpečiť trvalo udržateľný rozvoj obce za účelom plnenia jej základných funkcií, priebežného budovania infraštruktúry a vytvárania vhodných podmienok pre život obyvateľov a návštevníkov obce.</w:t>
      </w:r>
      <w:r>
        <w:rPr>
          <w:b/>
          <w:sz w:val="28"/>
          <w:szCs w:val="28"/>
        </w:rPr>
        <w:tab/>
        <w:tab/>
        <w:tab/>
        <w:tab/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/>
      </w:pPr>
      <w:r>
        <w:rPr>
          <w:b/>
          <w:sz w:val="28"/>
          <w:szCs w:val="28"/>
        </w:rPr>
        <w:t>Identifikačné údaje obce</w:t>
      </w:r>
    </w:p>
    <w:p>
      <w:pPr>
        <w:pStyle w:val="Normal"/>
        <w:spacing w:lineRule="auto" w:line="360"/>
        <w:jc w:val="both"/>
        <w:rPr/>
      </w:pPr>
      <w:r>
        <w:rPr/>
        <w:t>Názov: Obec Drienovec</w:t>
      </w:r>
    </w:p>
    <w:p>
      <w:pPr>
        <w:pStyle w:val="Normal"/>
        <w:spacing w:lineRule="auto" w:line="360"/>
        <w:jc w:val="both"/>
        <w:rPr/>
      </w:pPr>
      <w:r>
        <w:rPr/>
        <w:t>Sídlo: 044 01 Drienovec č. 368</w:t>
      </w:r>
    </w:p>
    <w:p>
      <w:pPr>
        <w:pStyle w:val="Normal"/>
        <w:spacing w:lineRule="auto" w:line="360"/>
        <w:jc w:val="both"/>
        <w:rPr/>
      </w:pPr>
      <w:r>
        <w:rPr/>
        <w:t>IČO: 00324 108</w:t>
      </w:r>
    </w:p>
    <w:p>
      <w:pPr>
        <w:pStyle w:val="Normal"/>
        <w:spacing w:lineRule="auto" w:line="360"/>
        <w:jc w:val="both"/>
        <w:rPr/>
      </w:pPr>
      <w:r>
        <w:rPr/>
        <w:t>Štatutárny orgán obce: starosta obce</w:t>
      </w:r>
    </w:p>
    <w:p>
      <w:pPr>
        <w:pStyle w:val="Normal"/>
        <w:spacing w:lineRule="auto" w:line="360"/>
        <w:jc w:val="both"/>
        <w:rPr/>
      </w:pPr>
      <w:r>
        <w:rPr/>
        <w:t>Telefón: 0902 898 806</w:t>
      </w:r>
    </w:p>
    <w:p>
      <w:pPr>
        <w:pStyle w:val="Normal"/>
        <w:spacing w:lineRule="auto" w:line="360"/>
        <w:jc w:val="both"/>
        <w:rPr/>
      </w:pPr>
      <w:r>
        <w:rPr/>
        <w:t>Mail: starosta@drienovec.sk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/>
        <w:t>Webová stránka: www.drienovec.eu</w:t>
      </w:r>
    </w:p>
    <w:p>
      <w:pPr>
        <w:pStyle w:val="Normal"/>
        <w:spacing w:lineRule="auto" w: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/>
      </w:pPr>
      <w:r>
        <w:rPr>
          <w:b/>
          <w:sz w:val="28"/>
          <w:szCs w:val="28"/>
        </w:rPr>
        <w:t>Organizačná štruktúra obce a identifikácia vedúcich predstaviteľov</w:t>
      </w:r>
    </w:p>
    <w:p>
      <w:pPr>
        <w:pStyle w:val="Normal"/>
        <w:spacing w:lineRule="auto" w:line="360"/>
        <w:jc w:val="both"/>
        <w:rPr/>
      </w:pPr>
      <w:r>
        <w:rPr/>
        <w:t>Starosta obce: Ing. Štefan Bacsó</w:t>
      </w:r>
    </w:p>
    <w:p>
      <w:pPr>
        <w:pStyle w:val="Normal"/>
        <w:spacing w:lineRule="auto" w:line="360"/>
        <w:jc w:val="both"/>
        <w:rPr/>
      </w:pPr>
      <w:r>
        <w:rPr/>
        <w:t>Hlavný kontrolór obce: Ing. Iveta Milanová</w:t>
      </w:r>
    </w:p>
    <w:p>
      <w:pPr>
        <w:pStyle w:val="Normal"/>
        <w:spacing w:lineRule="auto" w:line="360"/>
        <w:jc w:val="both"/>
        <w:rPr/>
      </w:pPr>
      <w:r>
        <w:rPr/>
        <w:t xml:space="preserve">Obecné zastupiteľstvo: Ing. Erik Ševcov, Tomáš Danko, Ing. Gabriel Fedák PhD., Kristína Kissová, Ing. Erik Klajber. Tomáš Knizner, Ladislav Nagy, PharmDr. Annamária Rédvay, Ernest Spielmann 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Cs/>
        </w:rPr>
      </w:pPr>
      <w:r>
        <w:rPr>
          <w:b/>
        </w:rPr>
        <w:t>Rozpočtové organizácie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>Základná škola Drienovec, Drienovec č. 44, 044 01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>Riaditeľka základnej školy: PaedDr. Monika Štrompová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>Zástupca riaditeľa: Mgr. Katarína Bernáthová</w:t>
      </w:r>
    </w:p>
    <w:p>
      <w:pPr>
        <w:pStyle w:val="Normal"/>
        <w:spacing w:lineRule="auto" w:line="360"/>
        <w:jc w:val="both"/>
        <w:rPr>
          <w:b/>
          <w:bCs/>
          <w:sz w:val="28"/>
          <w:szCs w:val="28"/>
        </w:rPr>
      </w:pPr>
      <w:r>
        <w:rPr>
          <w:bCs/>
        </w:rPr>
        <w:t xml:space="preserve">IČO: 42 32 02 83 </w:t>
      </w:r>
    </w:p>
    <w:p>
      <w:pPr>
        <w:pStyle w:val="Normal"/>
        <w:spacing w:lineRule="auto" w: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/>
      </w:pPr>
      <w:r>
        <w:rPr>
          <w:b/>
          <w:sz w:val="28"/>
          <w:szCs w:val="28"/>
        </w:rPr>
        <w:t xml:space="preserve">Poslanie, vízie, ciele </w:t>
      </w:r>
    </w:p>
    <w:p>
      <w:pPr>
        <w:pStyle w:val="Normal"/>
        <w:spacing w:lineRule="auto" w:line="360"/>
        <w:rPr>
          <w:b/>
          <w:bCs/>
        </w:rPr>
      </w:pPr>
      <w:r>
        <w:rPr/>
        <w:t xml:space="preserve">Poslanie obce: Drienovec má potenciálne predpoklady byť pre svojich občanov miestom pre pokojné bývanie, v zdravom a čistom prostredí. Vízia bude pokračovaním kresťanských a rodinných tradícií v rozvoji a živote obce. Cieľom je postupné využitie prírodného potenciálu obce so zabezpečením jej ekologickej stability, vybudovanie obce urbanisticky usporiadanej, zabezpečenej bytovou a občianskou vybavenosťou, s potrebnou technickou a sociálnou infraštruktúrou. Naplnenie cieľovej rozvojovej vízie by malo priniesť nové možnosti pre rozvoj podnikania, vznik pracovných príležitostí v obci a jej okolí, priaznivé podmienky pre materiálne zabezpečený a duchovne bohatý život. Obec by mala poskytovať svojim obyvateľom priaznivé podmienky pre záujmové, kultúrne, športové a iné vyžitie, ako aj možnosti oddychu a rekreácie, pri primeranom zdravotnom a sociálnom zabezpečení. Neoddeliteľnou súčasťou rozvojovej vízie obce je i vybudovanie občianskej spoločnosti na princípoch spolužitia aktivity a solidarity, s dobrými medziľudskými vzťahmi. </w:t>
      </w:r>
    </w:p>
    <w:p>
      <w:pPr>
        <w:pStyle w:val="Normal"/>
        <w:spacing w:lineRule="auto" w:line="360"/>
        <w:rPr/>
      </w:pPr>
      <w:r>
        <w:rPr>
          <w:b/>
          <w:bCs/>
        </w:rPr>
        <w:t>Strategické ciele obce sú:</w:t>
      </w:r>
      <w:r>
        <w:rPr/>
        <w:t xml:space="preserve"> Naplnenie dlhodobej vízie rozvoja obce Drienovec vedie cez stanovenie a plnenie strategických cieľov rozvoja obce, ich priorít a opatrení. Tieto boli stanovené predovšetkým na základe problémov, ich príčin a dôsledkov v súčasnom stave obce. Základným predpokladom pre splnenie stanovených cieľov je získanie potrebných finančných zdrojov. Ide najmä o financie z verejných fondov, resp. z fondov Európskej únie. </w:t>
      </w:r>
    </w:p>
    <w:p>
      <w:pPr>
        <w:pStyle w:val="Normal"/>
        <w:spacing w:lineRule="auto" w:line="360"/>
        <w:rPr>
          <w:b/>
          <w:bCs/>
        </w:rPr>
      </w:pPr>
      <w:r>
        <w:rPr/>
        <w:t>Vízie obce: Zveľaďovať a skrášľovať obec Drienovec</w:t>
      </w:r>
    </w:p>
    <w:p>
      <w:pPr>
        <w:pStyle w:val="Normal"/>
        <w:spacing w:lineRule="auto" w:line="360"/>
        <w:rPr/>
      </w:pPr>
      <w:r>
        <w:rPr>
          <w:b/>
          <w:bCs/>
        </w:rPr>
        <w:t>Ciele obce:</w:t>
      </w:r>
      <w:r>
        <w:rPr/>
        <w:t xml:space="preserve">  Opraviť miestne komunikácie, dokončiť kanalizáciu v obci pre spokojnosť obyvateľov.</w:t>
      </w:r>
    </w:p>
    <w:p>
      <w:pPr>
        <w:pStyle w:val="Normal"/>
        <w:tabs>
          <w:tab w:val="clear" w:pos="708"/>
          <w:tab w:val="right" w:pos="-5529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/>
      </w:pPr>
      <w:r>
        <w:rPr>
          <w:b/>
          <w:sz w:val="28"/>
          <w:szCs w:val="28"/>
        </w:rPr>
        <w:t xml:space="preserve">Základná charakteristika konsolidovaného celku </w:t>
      </w:r>
    </w:p>
    <w:p>
      <w:pPr>
        <w:pStyle w:val="Normal"/>
        <w:spacing w:lineRule="auto" w:line="360"/>
        <w:jc w:val="both"/>
        <w:rPr/>
      </w:pPr>
      <w:r>
        <w:rPr/>
        <w:t xml:space="preserve">     </w:t>
      </w:r>
      <w:r>
        <w:rPr/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5"/>
        </w:numPr>
        <w:tabs>
          <w:tab w:val="clear" w:pos="708"/>
          <w:tab w:val="left" w:pos="284" w:leader="none"/>
        </w:tabs>
        <w:spacing w:lineRule="auto" w:line="360"/>
        <w:ind w:hanging="426" w:start="426" w:end="6509"/>
        <w:jc w:val="both"/>
        <w:rPr>
          <w:bCs/>
        </w:rPr>
      </w:pPr>
      <w:r>
        <w:rPr>
          <w:b/>
        </w:rPr>
        <w:t>Geografické údaje</w:t>
        <w:br/>
      </w:r>
      <w:r>
        <w:rPr/>
        <w:drawing>
          <wp:inline distT="0" distB="0" distL="0" distR="0">
            <wp:extent cx="5133975" cy="2514600"/>
            <wp:effectExtent l="0" t="0" r="0" b="0"/>
            <wp:docPr id="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4" t="-29" r="-14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514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 xml:space="preserve">       </w:t>
      </w:r>
      <w:r>
        <w:rPr>
          <w:bCs/>
        </w:rPr>
        <w:t>Celková rozloha obce je :  2807 ha</w:t>
      </w:r>
    </w:p>
    <w:p>
      <w:pPr>
        <w:pStyle w:val="Normal"/>
        <w:spacing w:lineRule="auto" w:line="360"/>
        <w:ind w:start="426"/>
        <w:jc w:val="both"/>
        <w:rPr>
          <w:bCs/>
        </w:rPr>
      </w:pPr>
      <w:r>
        <w:rPr>
          <w:bCs/>
        </w:rPr>
        <w:t>Drienovec leží v západnej časti Košickej kotliny 30km juhozápadne od Košíc v nadmorskej výške 290m. Obec sa nachádza pri medzinárodnej ceste 1. triedy smer Bratislava. Administratívne patrí do Košického samosprávneho kraja.</w:t>
      </w:r>
    </w:p>
    <w:p>
      <w:pPr>
        <w:pStyle w:val="Normal"/>
        <w:spacing w:lineRule="auto" w:line="360"/>
        <w:ind w:start="426"/>
        <w:jc w:val="both"/>
        <w:rPr>
          <w:bCs/>
        </w:rPr>
      </w:pPr>
      <w:r>
        <w:rPr>
          <w:bCs/>
        </w:rPr>
        <w:t>Obec susedí z východu s mestom Moldava nad Bodvou a obcou Péder, Turňa nad Bodvou</w:t>
      </w:r>
      <w:r>
        <w:rPr>
          <w:b/>
        </w:rPr>
        <w:t>.</w:t>
      </w:r>
    </w:p>
    <w:p>
      <w:pPr>
        <w:pStyle w:val="Normal"/>
        <w:spacing w:lineRule="auto" w:line="360"/>
        <w:ind w:start="426"/>
        <w:jc w:val="both"/>
        <w:rPr>
          <w:b/>
        </w:rPr>
      </w:pPr>
      <w:r>
        <w:rPr>
          <w:bCs/>
        </w:rPr>
        <w:t>Na území obce sa nachádza jaskyňa, ktorá sa volá „Pitykó“</w:t>
      </w:r>
    </w:p>
    <w:p>
      <w:pPr>
        <w:pStyle w:val="Normal"/>
        <w:numPr>
          <w:ilvl w:val="1"/>
          <w:numId w:val="5"/>
        </w:numPr>
        <w:spacing w:lineRule="auto" w:line="360"/>
        <w:ind w:hanging="426" w:start="426"/>
        <w:jc w:val="both"/>
        <w:rPr/>
      </w:pPr>
      <w:r>
        <w:rPr>
          <w:b/>
        </w:rPr>
        <w:t xml:space="preserve">Demografické údaje </w:t>
      </w:r>
    </w:p>
    <w:p>
      <w:pPr>
        <w:pStyle w:val="Normal"/>
        <w:spacing w:lineRule="auto" w:line="360"/>
        <w:jc w:val="both"/>
        <w:rPr/>
      </w:pPr>
      <w:r>
        <w:rPr/>
        <w:t>Počet obyvateľov prihlásených na trvalý pobyt k 31.12.2021 je 2 387.</w:t>
      </w:r>
    </w:p>
    <w:p>
      <w:pPr>
        <w:pStyle w:val="Normal"/>
        <w:spacing w:lineRule="auto" w:line="360"/>
        <w:jc w:val="both"/>
        <w:rPr/>
      </w:pPr>
      <w:r>
        <w:rPr/>
        <w:t>Počet narodených od 1.1.2020 do 31.12.2020 je 31</w:t>
      </w:r>
    </w:p>
    <w:p>
      <w:pPr>
        <w:pStyle w:val="Normal"/>
        <w:spacing w:lineRule="auto" w:line="360"/>
        <w:jc w:val="both"/>
        <w:rPr/>
      </w:pPr>
      <w:r>
        <w:rPr/>
        <w:t>Počet zomrelých od 1.1.2020 do 31.12.2020 je 24</w:t>
      </w:r>
    </w:p>
    <w:p>
      <w:pPr>
        <w:pStyle w:val="Normal"/>
        <w:spacing w:lineRule="auto" w:line="360"/>
        <w:jc w:val="both"/>
        <w:rPr/>
      </w:pPr>
      <w:r>
        <w:rPr/>
        <w:t>Počet odsťahovaných od 1.1.2020 do 31.12.2020 je 15</w:t>
      </w:r>
    </w:p>
    <w:p>
      <w:pPr>
        <w:pStyle w:val="Normal"/>
        <w:spacing w:lineRule="auto" w:line="360"/>
        <w:jc w:val="both"/>
        <w:rPr>
          <w:b/>
        </w:rPr>
      </w:pPr>
      <w:r>
        <w:rPr/>
        <w:t>Počet prisťahovaných od 1.1.2020 do 31.12.2020 je 59</w:t>
      </w:r>
    </w:p>
    <w:p>
      <w:pPr>
        <w:pStyle w:val="Normal"/>
        <w:numPr>
          <w:ilvl w:val="1"/>
          <w:numId w:val="5"/>
        </w:numPr>
        <w:spacing w:lineRule="auto" w:line="360"/>
        <w:ind w:hanging="426" w:start="426"/>
        <w:jc w:val="both"/>
        <w:rPr/>
      </w:pPr>
      <w:r>
        <w:rPr>
          <w:b/>
        </w:rPr>
        <w:t xml:space="preserve">Ekonomické údaje </w:t>
      </w:r>
    </w:p>
    <w:p>
      <w:pPr>
        <w:pStyle w:val="Normal"/>
        <w:spacing w:lineRule="auto" w:line="360"/>
        <w:jc w:val="both"/>
        <w:rPr>
          <w:b/>
        </w:rPr>
      </w:pPr>
      <w:r>
        <w:rPr/>
        <w:t>Nezamestnanosť v obci : údaje nie sú štatisticky sledované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1"/>
        </w:numPr>
        <w:spacing w:lineRule="auto" w:line="360"/>
        <w:rPr>
          <w:b/>
        </w:rPr>
      </w:pPr>
      <w:r>
        <w:rPr>
          <w:b/>
          <w:bCs/>
        </w:rPr>
        <w:t>Symboly obce</w:t>
      </w:r>
      <w:r>
        <w:rPr/>
        <w:t xml:space="preserve"> </w:t>
      </w:r>
      <w:r>
        <w:rPr>
          <w:b/>
          <w:bCs/>
        </w:rPr>
        <w:t>sú:</w:t>
      </w:r>
      <w:r>
        <w:rPr/>
        <w:t xml:space="preserve"> Erb obce , vlajka obce a pečať obce</w:t>
        <w:br/>
      </w:r>
      <w:r>
        <w:rPr/>
        <w:drawing>
          <wp:inline distT="0" distB="0" distL="0" distR="0">
            <wp:extent cx="1466850" cy="1695450"/>
            <wp:effectExtent l="0" t="0" r="0" b="0"/>
            <wp:docPr id="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3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9" t="-42" r="-49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695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/>
        <w:t xml:space="preserve">                     </w:t>
      </w:r>
      <w:r>
        <w:rPr/>
        <w:drawing>
          <wp:inline distT="0" distB="0" distL="0" distR="0">
            <wp:extent cx="1343025" cy="1914525"/>
            <wp:effectExtent l="0" t="0" r="0" b="0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4" t="-38" r="-54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14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/>
        <w:t xml:space="preserve">             </w:t>
      </w:r>
      <w:r>
        <w:rPr/>
        <w:drawing>
          <wp:inline distT="0" distB="0" distL="0" distR="0">
            <wp:extent cx="1466850" cy="1524000"/>
            <wp:effectExtent l="0" t="0" r="0" b="0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9" t="-47" r="-49" b="-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bCs/>
        </w:rPr>
      </w:pPr>
      <w:r>
        <w:rPr>
          <w:b/>
        </w:rPr>
        <w:t xml:space="preserve">História obce: </w:t>
      </w:r>
      <w:r>
        <w:rPr>
          <w:bCs/>
        </w:rPr>
        <w:t>Názov obce  pochádza z názvu lesnej plodiny drienka, ktorá sa dodnes hojne vyskytuje v okolí katastra obce. Prvá písomná zmienka pochádza z roku 1241, keď kráľ Béla IV prechádzal naším územím so svojím vojskom. Vojnou vysilené vojsko odpočívalo v chotári obce a občerstvilo sa drienkami .Prví obyvatelia obce obývali územie severozápadne od dnešných kúpeľov zvané „Vízió“ V listine z roku 1345 sa spomína dedina Sumugy, ako slobodná kráľovská dedina. V roku 1349 sa</w:t>
      </w:r>
      <w:r>
        <w:rPr>
          <w:b/>
        </w:rPr>
        <w:t xml:space="preserve"> </w:t>
      </w:r>
      <w:r>
        <w:rPr>
          <w:bCs/>
        </w:rPr>
        <w:t>obec stáva súčasťou</w:t>
      </w:r>
      <w:r>
        <w:rPr>
          <w:b/>
        </w:rPr>
        <w:t xml:space="preserve"> </w:t>
      </w:r>
      <w:r>
        <w:rPr>
          <w:bCs/>
        </w:rPr>
        <w:t xml:space="preserve">Abovskej stolice. 1696 vyplienili dedinu Turci. V roku 1777 Mária Terézia celé územie obce daruje Rožňavskému biskupstvu. 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1"/>
          <w:numId w:val="1"/>
        </w:numPr>
        <w:spacing w:lineRule="auto" w:line="360"/>
        <w:ind w:hanging="426" w:start="426"/>
        <w:jc w:val="both"/>
        <w:rPr>
          <w:b/>
          <w:bCs/>
          <w:sz w:val="28"/>
          <w:szCs w:val="28"/>
        </w:rPr>
      </w:pPr>
      <w:r>
        <w:rPr>
          <w:b/>
          <w:bCs/>
        </w:rPr>
        <w:t xml:space="preserve">    </w:t>
      </w:r>
      <w:r>
        <w:rPr>
          <w:b/>
          <w:bCs/>
        </w:rPr>
        <w:t>Pamiatky obce</w:t>
      </w:r>
      <w:r>
        <w:rPr/>
        <w:t>:  Klasicistický rímskokatolícky kostol sv. Martina - biskupa postavený v roku 1775-1780 a kaplnka Panny Márie, Klasicistický kaštieľ postavený v roku 1780, ktorý odkúpili a v súčasnosti  vlastnia využívajú  Mariánske sestry – rehoľné sestry.</w:t>
      </w:r>
      <w:r>
        <w:rPr>
          <w:color w:val="222222"/>
          <w:shd w:fill="FFFFFF" w:val="clear"/>
        </w:rPr>
        <w:t xml:space="preserve"> Na Slovensko ich pozval monsignor Kojnok v roku 1997 a usadili sa v kláštore. 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>
          <w:b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 xml:space="preserve">Výchova a vzdelávanie </w:t>
      </w:r>
    </w:p>
    <w:p>
      <w:pPr>
        <w:pStyle w:val="Normal"/>
        <w:spacing w:lineRule="auto" w:line="360"/>
        <w:ind w:start="435"/>
        <w:jc w:val="both"/>
        <w:rPr/>
      </w:pPr>
      <w:r>
        <w:rPr/>
        <w:t>V súčasnosti výchovu a vzdelávanie detí v obci poskytuje: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Základná škola Drienovec č. 44  ročník 1-4 a 5-9 Základné vzdelanie s bežnou starostlivosťou je poskytované v ZŠ s celkovými výdavkami 713 011,-eur. Tieto výdavky boli použité na prevádzku školy, mzdy, mimoriadne odmeny a poistné pre zamestnancov školy.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Materská škola - Ovoda Drienovec č. 315 bez právnej subjektivity, kde zriaďovateľom je Obec Drienovec s počtom žiakov 23.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b/>
        </w:rPr>
      </w:pPr>
      <w:r>
        <w:rPr/>
        <w:t>Na mimoškolské aktivity je zriadená Základná umelecká škola v Moldave nad Bodvou a Centrum voľného času  v Moldava nad Bodvou, ktorú navštevujú aj žiaci z našej obce.</w:t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 xml:space="preserve"> </w:t>
      </w:r>
      <w:r>
        <w:rPr>
          <w:b/>
        </w:rPr>
        <w:t>Zdravotníctvo</w:t>
      </w:r>
    </w:p>
    <w:p>
      <w:pPr>
        <w:pStyle w:val="Normal"/>
        <w:spacing w:lineRule="auto" w:line="360"/>
        <w:ind w:start="435"/>
        <w:jc w:val="both"/>
        <w:rPr/>
      </w:pPr>
      <w:r>
        <w:rPr/>
        <w:t xml:space="preserve"> </w:t>
      </w:r>
      <w:r>
        <w:rPr/>
        <w:t>Zdravotnú starostlivosť v obci poskytuje: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Poliklinika  v meste Moldave nad Bodvou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b/>
        </w:rPr>
      </w:pPr>
      <w:r>
        <w:rPr/>
        <w:t>Nemocnica s poliklinikou Košice - Šaca</w:t>
      </w:r>
      <w:r>
        <w:rPr>
          <w:b/>
        </w:rPr>
        <w:t xml:space="preserve">  </w:t>
      </w:r>
    </w:p>
    <w:p>
      <w:pPr>
        <w:pStyle w:val="Normal"/>
        <w:spacing w:lineRule="auto" w:line="360"/>
        <w:ind w:start="435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 xml:space="preserve"> </w:t>
      </w:r>
      <w:r>
        <w:rPr>
          <w:b/>
        </w:rPr>
        <w:t>Sociálne zabezpečenie</w:t>
      </w:r>
    </w:p>
    <w:p>
      <w:pPr>
        <w:pStyle w:val="Normal"/>
        <w:spacing w:lineRule="auto" w:line="360"/>
        <w:ind w:start="435"/>
        <w:jc w:val="both"/>
        <w:rPr/>
      </w:pPr>
      <w:r>
        <w:rPr/>
        <w:t xml:space="preserve"> </w:t>
      </w:r>
      <w:r>
        <w:rPr/>
        <w:t>Sociálne služby v obci zabezpečuje 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>Zariadenie sociálnych služieb..Patria, n.o Drienovec</w:t>
      </w:r>
    </w:p>
    <w:p>
      <w:pPr>
        <w:pStyle w:val="Normal"/>
        <w:spacing w:lineRule="auto" w:line="360"/>
        <w:jc w:val="both"/>
        <w:rPr/>
      </w:pPr>
      <w:r>
        <w:rPr/>
        <w:t xml:space="preserve">       </w:t>
      </w:r>
      <w:r>
        <w:rPr/>
        <w:t>Na základe analýzy doterajšieho vývoja možno očakávať, že rozvoj sociálnych služieb sa bude orientovať a starostlivosť o starých 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 xml:space="preserve"> </w:t>
      </w:r>
      <w:r>
        <w:rPr>
          <w:b/>
        </w:rPr>
        <w:t>Kultúra</w:t>
      </w:r>
    </w:p>
    <w:p>
      <w:pPr>
        <w:pStyle w:val="Normal"/>
        <w:spacing w:lineRule="auto" w:line="360"/>
        <w:jc w:val="both"/>
        <w:rPr/>
      </w:pPr>
      <w:r>
        <w:rPr/>
        <w:t xml:space="preserve">       </w:t>
      </w:r>
      <w:r>
        <w:rPr/>
        <w:t>Spoločenský a kultúrny život v obci zabezpečuje Obec Drienovec, Som Drienovec n.o.</w:t>
      </w:r>
    </w:p>
    <w:p>
      <w:pPr>
        <w:pStyle w:val="Normal"/>
        <w:spacing w:lineRule="auto" w:line="360"/>
        <w:ind w:start="435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 xml:space="preserve">Hospodárstvo </w:t>
      </w:r>
    </w:p>
    <w:p>
      <w:pPr>
        <w:pStyle w:val="Normal"/>
        <w:spacing w:lineRule="auto" w:line="360"/>
        <w:ind w:start="435"/>
        <w:jc w:val="both"/>
        <w:rPr/>
      </w:pPr>
      <w:r>
        <w:rPr/>
        <w:t>Najvýznamnejší poskytovatelia služieb v obci  je:</w:t>
      </w:r>
    </w:p>
    <w:p>
      <w:pPr>
        <w:pStyle w:val="Normal"/>
        <w:spacing w:lineRule="auto" w:line="360"/>
        <w:ind w:start="435"/>
        <w:jc w:val="both"/>
        <w:rPr/>
      </w:pPr>
      <w:r>
        <w:rPr/>
        <w:t>- PD Drienovec, ktoré zamestnáva aj občanov obce.</w:t>
      </w:r>
    </w:p>
    <w:p>
      <w:pPr>
        <w:pStyle w:val="Normal"/>
        <w:spacing w:lineRule="auto" w:line="360"/>
        <w:ind w:start="435"/>
        <w:jc w:val="both"/>
        <w:rPr/>
      </w:pPr>
      <w:r>
        <w:rPr/>
        <w:t xml:space="preserve">Najvýznamnejší priemysel v obci :  </w:t>
      </w:r>
    </w:p>
    <w:p>
      <w:pPr>
        <w:pStyle w:val="Normal"/>
        <w:spacing w:lineRule="auto" w:line="360"/>
        <w:ind w:start="435"/>
        <w:jc w:val="both"/>
        <w:rPr/>
      </w:pPr>
      <w:r>
        <w:rPr/>
        <w:t>- Raciostyl a.s. ( spracovanie plechových komponentov)</w:t>
      </w:r>
    </w:p>
    <w:p>
      <w:pPr>
        <w:pStyle w:val="Normal"/>
        <w:spacing w:lineRule="auto" w:line="360"/>
        <w:ind w:start="435"/>
        <w:jc w:val="both"/>
        <w:rPr/>
      </w:pPr>
      <w:r>
        <w:rPr/>
        <w:t>- Kameňolom Drienovec (ťažba a spracovanie kameňa)</w:t>
      </w:r>
    </w:p>
    <w:p>
      <w:pPr>
        <w:pStyle w:val="Normal"/>
        <w:spacing w:lineRule="auto" w:line="360"/>
        <w:ind w:start="435"/>
        <w:jc w:val="both"/>
        <w:rPr/>
      </w:pPr>
      <w:r>
        <w:rPr/>
        <w:t>- Milk – Agro spol. s.r.o. (potraviny, rozličný tovar)</w:t>
      </w:r>
    </w:p>
    <w:p>
      <w:pPr>
        <w:pStyle w:val="Normal"/>
        <w:spacing w:lineRule="auto" w:line="360"/>
        <w:ind w:start="435"/>
        <w:jc w:val="both"/>
        <w:rPr/>
      </w:pPr>
      <w:r>
        <w:rPr/>
        <w:t>- Potraviny Alica</w:t>
      </w:r>
    </w:p>
    <w:p>
      <w:pPr>
        <w:pStyle w:val="Normal"/>
        <w:spacing w:lineRule="auto" w:line="360"/>
        <w:ind w:start="435"/>
        <w:jc w:val="both"/>
        <w:rPr/>
      </w:pPr>
      <w:r>
        <w:rPr/>
        <w:t>Ostatné prevádzky sú: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/>
      </w:pPr>
      <w:r>
        <w:rPr/>
        <w:t xml:space="preserve">Fitnes club Drienovec, Pneuservis, odťahová služba, ubytovacie služby. </w:t>
      </w:r>
    </w:p>
    <w:p>
      <w:pPr>
        <w:pStyle w:val="Normal"/>
        <w:spacing w:lineRule="auto" w:line="360"/>
        <w:jc w:val="both"/>
        <w:rPr/>
      </w:pPr>
      <w:r>
        <w:rPr/>
        <w:t>Na základe analýzy doterajšieho vývoja možno očakávať, že hospodársky život v obci sa bude naďalej rozvíjať v oblasti poľnohospodárstva ale aj služieb.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lineRule="auto" w:line="360" w:before="0" w:after="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jc w:val="both"/>
        <w:rPr/>
      </w:pPr>
      <w:r>
        <w:rPr>
          <w:b/>
          <w:sz w:val="28"/>
          <w:szCs w:val="28"/>
        </w:rPr>
        <w:t>Informácia o vývoji obce z pohľadu rozpočtovníctva</w:t>
      </w:r>
    </w:p>
    <w:p>
      <w:pPr>
        <w:pStyle w:val="Normal"/>
        <w:spacing w:lineRule="auto" w:line="360"/>
        <w:jc w:val="both"/>
        <w:rPr/>
      </w:pPr>
      <w:r>
        <w:rPr>
          <w:lang w:val="en-US"/>
        </w:rPr>
        <w:t>Základným   nástrojom  finančného  hospodárenia  obce  bol   rozpočet   obce   na  rok   2025.</w:t>
      </w:r>
    </w:p>
    <w:p>
      <w:pPr>
        <w:pStyle w:val="Normal"/>
        <w:spacing w:lineRule="auto" w:line="360"/>
        <w:jc w:val="both"/>
        <w:rPr/>
      </w:pPr>
      <w:r>
        <w:rPr/>
        <w:t xml:space="preserve">Obec zostavila rozpočet podľa ustanovenia § 10 odsek 7) zákona č.583/2004 Z.z. o rozpočtových pravidlách územnej samosprávy a o zmene a doplnení niektorých zákonov v znení neskorších predpisov. Rozpočet obce na rok 2025 bol zostavený ako vyrovnaný.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Hospodárenie obce sa riadilo podľa schváleného rozpočtu na rok 2025. </w:t>
      </w:r>
    </w:p>
    <w:p>
      <w:pPr>
        <w:pStyle w:val="Normal"/>
        <w:spacing w:lineRule="auto" w:line="360"/>
        <w:jc w:val="both"/>
        <w:rPr/>
      </w:pPr>
      <w:r>
        <w:rPr/>
        <w:t>Rozpočet obce bol schválený obecným zastupiteľstvom dňa  uznesením č.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  <w:bCs/>
        </w:rPr>
      </w:pPr>
      <w:r>
        <w:rPr>
          <w:b/>
          <w:bCs/>
        </w:rPr>
        <w:t>Plnenie príjmov a čerpanie výdavkov za rok 2025</w:t>
      </w:r>
      <w:r>
        <w:rPr/>
        <w:tab/>
        <w:tab/>
      </w:r>
    </w:p>
    <w:tbl>
      <w:tblPr>
        <w:tblW w:w="808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410"/>
        <w:gridCol w:w="1843"/>
        <w:gridCol w:w="1983"/>
        <w:gridCol w:w="1844"/>
      </w:tblGrid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>
            <w:pPr>
              <w:pStyle w:val="Normal"/>
              <w:tabs>
                <w:tab w:val="clear" w:pos="708"/>
                <w:tab w:val="right" w:pos="882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31.12.2025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color w:themeColor="text1" w:val="000000"/>
              </w:rPr>
              <w:t>2 004 313,00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color w:themeColor="text1" w:val="000000"/>
              </w:rPr>
              <w:t>2 254 051,61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color w:themeColor="text1" w:val="000000"/>
              </w:rPr>
              <w:t>4 207 993,41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2 004 313,00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2 250 228,61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2 584 167,81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1 623 825,60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3 823,00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Príjmy RO s právnou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2 004 313,00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2 254 051,61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  <w:color w:themeColor="text1" w:val="000000"/>
              </w:rPr>
            </w:pPr>
            <w:r>
              <w:rPr>
                <w:b/>
                <w:bCs/>
                <w:color w:themeColor="text1" w:val="000000"/>
              </w:rPr>
              <w:t>4 074 542,09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1 884 313,00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2 134 051,61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2 301 691,18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120 000,00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120 000,00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1 772 850,91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/>
              <w:t>0,00</w:t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RO s právnou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  <w:tr>
        <w:trPr/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/>
            </w:pPr>
            <w:r>
              <w:rPr>
                <w:b/>
              </w:rPr>
              <w:t xml:space="preserve">Rozpočtové hospodárenie obce 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9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133 451,32</w:t>
            </w:r>
          </w:p>
        </w:tc>
      </w:tr>
    </w:tbl>
    <w:p>
      <w:pPr>
        <w:pStyle w:val="Normal"/>
        <w:spacing w:lineRule="auto" w:line="36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spacing w:lineRule="auto" w:line="360"/>
        <w:rPr/>
      </w:pPr>
      <w:r>
        <w:rPr/>
      </w:r>
      <w:r>
        <w:br w:type="page"/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b/>
          <w:bCs/>
        </w:rPr>
      </w:pPr>
      <w:r>
        <w:rPr>
          <w:b/>
          <w:bCs/>
        </w:rPr>
        <w:t>Prebytok/schodok rozpočtového hospodárenia za rok 2025</w:t>
      </w:r>
      <w:r>
        <w:rPr/>
        <w:tab/>
      </w:r>
    </w:p>
    <w:tbl>
      <w:tblPr>
        <w:tblW w:w="9924" w:type="dxa"/>
        <w:jc w:val="start"/>
        <w:tblInd w:w="176" w:type="dxa"/>
        <w:tblLayout w:type="fixed"/>
        <w:tblCellMar>
          <w:top w:w="0" w:type="dxa"/>
          <w:start w:w="7" w:type="dxa"/>
          <w:bottom w:w="0" w:type="dxa"/>
          <w:end w:w="10" w:type="dxa"/>
        </w:tblCellMar>
        <w:tblLook w:firstRow="0" w:noVBand="0" w:lastRow="0" w:firstColumn="0" w:lastColumn="0" w:noHBand="0" w:val="0000"/>
      </w:tblPr>
      <w:tblGrid>
        <w:gridCol w:w="5359"/>
        <w:gridCol w:w="4565"/>
      </w:tblGrid>
      <w:tr>
        <w:trPr>
          <w:trHeight w:val="864" w:hRule="atLeast"/>
        </w:trPr>
        <w:tc>
          <w:tcPr>
            <w:tcW w:w="5359" w:type="dxa"/>
            <w:tcBorders>
              <w:top w:val="double" w:sz="2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before="269" w:after="0"/>
              <w:ind w:start="1698"/>
              <w:rPr/>
            </w:pPr>
            <w:r>
              <w:rPr>
                <w:b/>
              </w:rPr>
              <w:t>Hospodárenie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obce</w:t>
            </w:r>
          </w:p>
        </w:tc>
        <w:tc>
          <w:tcPr>
            <w:tcW w:w="4565" w:type="dxa"/>
            <w:tcBorders>
              <w:top w:val="double" w:sz="2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before="14" w:after="0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TableParagraph"/>
              <w:ind w:start="649"/>
              <w:rPr/>
            </w:pPr>
            <w:r>
              <w:rPr>
                <w:b/>
                <w:bCs/>
              </w:rPr>
              <w:t>Skutočnosť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k 31.12.2025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v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5"/>
              </w:rPr>
              <w:t>EUR</w:t>
            </w:r>
          </w:p>
        </w:tc>
      </w:tr>
      <w:tr>
        <w:trPr>
          <w:trHeight w:val="300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2"/>
                <w:sz w:val="20"/>
              </w:rPr>
              <w:t xml:space="preserve"> spolu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3" w:after="0"/>
              <w:ind w:end="-15"/>
              <w:jc w:val="end"/>
              <w:rPr/>
            </w:pPr>
            <w:r>
              <w:rPr/>
              <w:t>2 584 167,81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2 571 983,17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656"/>
              <w:rPr/>
            </w:pPr>
            <w:r>
              <w:rPr>
                <w:sz w:val="20"/>
              </w:rPr>
              <w:t>bežné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RO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12 184,64</w:t>
            </w:r>
          </w:p>
        </w:tc>
      </w:tr>
      <w:tr>
        <w:trPr>
          <w:trHeight w:val="302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Bežné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3" w:after="0"/>
              <w:ind w:end="-15"/>
              <w:jc w:val="end"/>
              <w:rPr/>
            </w:pPr>
            <w:r>
              <w:rPr/>
              <w:t>2 301 691,18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1 340 508,77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656"/>
              <w:rPr/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961 182,41</w:t>
            </w:r>
          </w:p>
        </w:tc>
      </w:tr>
      <w:tr>
        <w:trPr>
          <w:trHeight w:val="287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before="29" w:after="0"/>
              <w:ind w:start="3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>Bežný</w:t>
            </w:r>
            <w:r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</w:rPr>
              <w:t xml:space="preserve">rozpočet 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61" w:before="6" w:after="0"/>
              <w:ind w:end="-15"/>
              <w:jc w:val="end"/>
              <w:rPr/>
            </w:pPr>
            <w:r>
              <w:rPr>
                <w:b/>
                <w:bCs/>
              </w:rPr>
              <w:t>282 476,6</w:t>
            </w:r>
            <w:r>
              <w:rPr/>
              <w:t>3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33" w:after="0"/>
              <w:ind w:start="3"/>
              <w:rPr/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1 623 825,60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1 623 825,60</w:t>
            </w:r>
          </w:p>
        </w:tc>
      </w:tr>
      <w:tr>
        <w:trPr>
          <w:trHeight w:val="301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656"/>
              <w:rPr/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before="36" w:after="0"/>
              <w:ind w:end="-15"/>
              <w:jc w:val="end"/>
              <w:rPr/>
            </w:pPr>
            <w:r>
              <w:rPr/>
              <w:t>0,00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33" w:after="0"/>
              <w:ind w:start="3"/>
              <w:rPr/>
            </w:pPr>
            <w:r>
              <w:rPr>
                <w:sz w:val="20"/>
              </w:rPr>
              <w:t>Kapitálové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8" w:before="10" w:after="0"/>
              <w:ind w:end="-15"/>
              <w:jc w:val="end"/>
              <w:rPr/>
            </w:pPr>
            <w:r>
              <w:rPr/>
              <w:t>1 772 850,91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68" w:before="10" w:after="0"/>
              <w:ind w:end="28"/>
              <w:jc w:val="end"/>
              <w:rPr/>
            </w:pPr>
            <w:r>
              <w:rPr/>
              <w:t>1 772 850,91</w:t>
            </w:r>
          </w:p>
        </w:tc>
      </w:tr>
      <w:tr>
        <w:trPr>
          <w:trHeight w:val="301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656"/>
              <w:rPr/>
            </w:pPr>
            <w:r>
              <w:rPr>
                <w:sz w:val="20"/>
              </w:rPr>
              <w:t>kapitálové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before="36" w:after="0"/>
              <w:ind w:end="-15"/>
              <w:jc w:val="end"/>
              <w:rPr/>
            </w:pPr>
            <w:r>
              <w:rPr/>
              <w:t>0,00</w:t>
            </w:r>
          </w:p>
        </w:tc>
      </w:tr>
      <w:tr>
        <w:trPr>
          <w:trHeight w:val="285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before="26" w:after="0"/>
              <w:ind w:start="3"/>
              <w:rPr/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62" w:before="3" w:after="0"/>
              <w:ind w:end="-15"/>
              <w:jc w:val="end"/>
              <w:rPr/>
            </w:pPr>
            <w:r>
              <w:rPr>
                <w:b/>
                <w:bCs/>
              </w:rPr>
              <w:t>-149 025,3</w:t>
            </w:r>
            <w:r>
              <w:rPr/>
              <w:t>1</w:t>
            </w:r>
          </w:p>
        </w:tc>
      </w:tr>
      <w:tr>
        <w:trPr>
          <w:trHeight w:val="284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26" w:after="0"/>
              <w:ind w:start="3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>Prebytok bežného</w:t>
            </w:r>
            <w:r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a</w:t>
            </w:r>
            <w:r>
              <w:rPr>
                <w:b/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kapitálového</w:t>
            </w:r>
            <w:r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</w:rPr>
              <w:t>rozpočtu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61" w:before="3" w:after="0"/>
              <w:ind w:end="-15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133 451,32</w:t>
            </w:r>
          </w:p>
        </w:tc>
      </w:tr>
      <w:tr>
        <w:trPr>
          <w:trHeight w:val="284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26" w:after="0"/>
              <w:ind w:start="3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>Vylúčenie</w:t>
            </w:r>
            <w:r>
              <w:rPr>
                <w:b/>
                <w:bCs/>
                <w:i/>
                <w:iCs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z</w:t>
            </w:r>
            <w:r>
              <w:rPr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prebytku/Úprava</w:t>
            </w:r>
            <w:r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pacing w:val="-2"/>
                <w:sz w:val="20"/>
                <w:szCs w:val="20"/>
              </w:rPr>
              <w:t>schodku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61" w:before="3" w:after="0"/>
              <w:ind w:end="-15"/>
              <w:jc w:val="end"/>
              <w:rPr/>
            </w:pPr>
            <w:r>
              <w:rPr>
                <w:b/>
                <w:bCs/>
                <w:color w:val="0070C0"/>
              </w:rPr>
              <w:t>118 014,64</w:t>
            </w:r>
          </w:p>
        </w:tc>
      </w:tr>
      <w:tr>
        <w:trPr>
          <w:trHeight w:val="284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DD9C3" w:val="clear"/>
          </w:tcPr>
          <w:p>
            <w:pPr>
              <w:pStyle w:val="TableParagraph"/>
              <w:spacing w:before="26" w:after="0"/>
              <w:ind w:start="3"/>
              <w:rPr/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61" w:before="3" w:after="0"/>
              <w:ind w:end="-15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15 436,68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Príjmové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prostriedkov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before="36" w:after="0"/>
              <w:ind w:end="-15"/>
              <w:jc w:val="end"/>
              <w:rPr/>
            </w:pPr>
            <w:r>
              <w:rPr/>
              <w:t>0,00</w:t>
            </w:r>
          </w:p>
        </w:tc>
      </w:tr>
      <w:tr>
        <w:trPr>
          <w:trHeight w:val="301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spacing w:before="36" w:after="0"/>
              <w:ind w:start="3"/>
              <w:rPr/>
            </w:pPr>
            <w:r>
              <w:rPr>
                <w:sz w:val="20"/>
              </w:rPr>
              <w:t>Výdavkové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operácie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prostriedkov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before="36" w:after="0"/>
              <w:ind w:end="-15"/>
              <w:jc w:val="end"/>
              <w:rPr/>
            </w:pPr>
            <w:r>
              <w:rPr/>
              <w:t>0,00</w:t>
            </w:r>
          </w:p>
        </w:tc>
      </w:tr>
      <w:tr>
        <w:trPr>
          <w:trHeight w:val="284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8" w:space="0" w:color="000000"/>
              <w:end w:val="single" w:sz="8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before="26" w:after="0"/>
              <w:ind w:start="3"/>
              <w:rPr/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double" w:sz="2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61" w:before="3" w:after="0"/>
              <w:ind w:end="-15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8" w:space="0" w:color="000000"/>
              <w:start w:val="doub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5"/>
              <w:rPr/>
            </w:pPr>
            <w:r>
              <w:rPr>
                <w:sz w:val="20"/>
              </w:rPr>
              <w:t>PRÍJMY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565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75"/>
              <w:ind w:end="40"/>
              <w:jc w:val="end"/>
              <w:rPr/>
            </w:pPr>
            <w:r>
              <w:rPr/>
              <w:t>4 207 993,41</w:t>
            </w:r>
          </w:p>
        </w:tc>
      </w:tr>
      <w:tr>
        <w:trPr>
          <w:trHeight w:val="299" w:hRule="atLeast"/>
        </w:trPr>
        <w:tc>
          <w:tcPr>
            <w:tcW w:w="5359" w:type="dxa"/>
            <w:tcBorders>
              <w:top w:val="single" w:sz="4" w:space="0" w:color="000000"/>
              <w:start w:val="doub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ind w:start="25"/>
              <w:rPr/>
            </w:pPr>
            <w:r>
              <w:rPr>
                <w:sz w:val="20"/>
              </w:rPr>
              <w:t>VÝDAVKY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75"/>
              <w:ind w:end="40"/>
              <w:jc w:val="end"/>
              <w:rPr/>
            </w:pPr>
            <w:r>
              <w:rPr/>
              <w:t>4 074 542,09</w:t>
            </w:r>
          </w:p>
        </w:tc>
      </w:tr>
      <w:tr>
        <w:trPr>
          <w:trHeight w:val="285" w:hRule="atLeast"/>
        </w:trPr>
        <w:tc>
          <w:tcPr>
            <w:tcW w:w="5359" w:type="dxa"/>
            <w:tcBorders>
              <w:top w:val="single" w:sz="4" w:space="0" w:color="000000"/>
              <w:start w:val="double" w:sz="2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TableParagraph"/>
              <w:ind w:start="25"/>
              <w:rPr/>
            </w:pPr>
            <w:r>
              <w:rPr>
                <w:b/>
                <w:i/>
                <w:sz w:val="20"/>
              </w:rPr>
              <w:t>Rozpočtové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2" w:space="0" w:color="000000"/>
            </w:tcBorders>
            <w:shd w:color="auto" w:fill="DDD9C3" w:val="clear"/>
          </w:tcPr>
          <w:p>
            <w:pPr>
              <w:pStyle w:val="TableParagraph"/>
              <w:spacing w:lineRule="exact" w:line="265"/>
              <w:ind w:end="40"/>
              <w:jc w:val="end"/>
              <w:rPr/>
            </w:pPr>
            <w:r>
              <w:rPr>
                <w:b/>
                <w:bCs/>
              </w:rPr>
              <w:t>133 451,3</w:t>
            </w:r>
            <w:r>
              <w:rPr/>
              <w:t>2</w:t>
            </w:r>
          </w:p>
        </w:tc>
      </w:tr>
      <w:tr>
        <w:trPr>
          <w:trHeight w:val="351" w:hRule="atLeast"/>
        </w:trPr>
        <w:tc>
          <w:tcPr>
            <w:tcW w:w="5359" w:type="dxa"/>
            <w:tcBorders>
              <w:top w:val="single" w:sz="4" w:space="0" w:color="000000"/>
              <w:start w:val="double" w:sz="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36" w:after="0"/>
              <w:ind w:start="109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Vylúčenie</w:t>
            </w:r>
            <w:r>
              <w:rPr>
                <w:b/>
                <w:bCs/>
                <w:i/>
                <w:iCs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z</w:t>
            </w:r>
            <w:r>
              <w:rPr>
                <w:b/>
                <w:bCs/>
                <w:i/>
                <w:iCs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prebytku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2" w:space="0" w:color="000000"/>
            </w:tcBorders>
          </w:tcPr>
          <w:p>
            <w:pPr>
              <w:pStyle w:val="TableParagraph"/>
              <w:spacing w:lineRule="exact" w:line="275"/>
              <w:ind w:end="40"/>
              <w:jc w:val="end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118 014,64</w:t>
            </w:r>
          </w:p>
        </w:tc>
      </w:tr>
      <w:tr>
        <w:trPr>
          <w:trHeight w:val="281" w:hRule="atLeast"/>
        </w:trPr>
        <w:tc>
          <w:tcPr>
            <w:tcW w:w="5359" w:type="dxa"/>
            <w:tcBorders>
              <w:top w:val="single" w:sz="4" w:space="0" w:color="000000"/>
              <w:start w:val="double" w:sz="2" w:space="0" w:color="000000"/>
              <w:bottom w:val="double" w:sz="2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ind w:start="25"/>
              <w:rPr/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rozpočtové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4565" w:type="dxa"/>
            <w:tcBorders>
              <w:top w:val="single" w:sz="4" w:space="0" w:color="000000"/>
              <w:start w:val="single" w:sz="4" w:space="0" w:color="000000"/>
              <w:bottom w:val="double" w:sz="2" w:space="0" w:color="000000"/>
              <w:end w:val="double" w:sz="2" w:space="0" w:color="000000"/>
            </w:tcBorders>
            <w:shd w:color="auto" w:fill="D9D9D9" w:themeFill="background1" w:themeFillShade="d9" w:val="clear"/>
          </w:tcPr>
          <w:p>
            <w:pPr>
              <w:pStyle w:val="TableParagraph"/>
              <w:spacing w:lineRule="exact" w:line="275"/>
              <w:ind w:end="4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15 436,68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360"/>
        <w:ind w:start="720"/>
        <w:jc w:val="both"/>
        <w:rPr>
          <w:b/>
          <w:color w:val="FF0000"/>
        </w:rPr>
      </w:pPr>
      <w:r>
        <w:rPr/>
        <w:tab/>
      </w:r>
    </w:p>
    <w:p>
      <w:pPr>
        <w:pStyle w:val="Normal"/>
        <w:rPr>
          <w:b/>
          <w:color w:val="FF0000"/>
        </w:rPr>
      </w:pPr>
      <w:r>
        <w:rPr>
          <w:b/>
          <w:color w:val="FF0000"/>
        </w:rPr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  <w:bCs/>
        </w:rPr>
      </w:pPr>
      <w:r>
        <w:rPr>
          <w:b/>
          <w:bCs/>
        </w:rPr>
        <w:t>Rozpočet na rok 2026 s výhľadom rozpočtu na roky 2027 - 2028</w:t>
      </w:r>
      <w:r>
        <w:rPr/>
        <w:tab/>
        <w:tab/>
      </w:r>
    </w:p>
    <w:tbl>
      <w:tblPr>
        <w:tblW w:w="931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096"/>
        <w:gridCol w:w="2313"/>
        <w:gridCol w:w="2445"/>
        <w:gridCol w:w="2457"/>
      </w:tblGrid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na rok 2026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na rok 2027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na rok 2028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b/>
              </w:rPr>
              <w:t>Príjmy celkom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2 637 012,00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2 138 354,00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2 138 354,00</w:t>
            </w:r>
          </w:p>
        </w:tc>
      </w:tr>
      <w:tr>
        <w:trPr>
          <w:trHeight w:val="300" w:hRule="atLeast"/>
        </w:trPr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Bežné príjmy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2 037 012,00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2 138 354,00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2 138 354,00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Kapitálové príjmy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Finančné príjmy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600 000,00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rPr/>
            </w:pPr>
            <w:r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231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4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</w:tbl>
    <w:p>
      <w:pPr>
        <w:pStyle w:val="Normal"/>
        <w:tabs>
          <w:tab w:val="clear" w:pos="708"/>
          <w:tab w:val="right" w:pos="8820" w:leader="none"/>
        </w:tabs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right" w:pos="8820" w:leader="none"/>
        </w:tabs>
        <w:spacing w:before="0" w:after="0"/>
        <w:jc w:val="both"/>
        <w:rPr>
          <w:b/>
          <w:bCs/>
        </w:rPr>
      </w:pPr>
      <w:r>
        <w:rPr>
          <w:b/>
          <w:bCs/>
        </w:rPr>
      </w:r>
    </w:p>
    <w:tbl>
      <w:tblPr>
        <w:tblW w:w="931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2136"/>
        <w:gridCol w:w="2274"/>
        <w:gridCol w:w="2324"/>
        <w:gridCol w:w="2576"/>
      </w:tblGrid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na rok 2026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na rok 2027</w:t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>
            <w:pPr>
              <w:pStyle w:val="Normal"/>
              <w:tabs>
                <w:tab w:val="clear" w:pos="708"/>
                <w:tab w:val="right" w:pos="8460" w:leader="none"/>
              </w:tabs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na rok 2028</w:t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b/>
              </w:rPr>
              <w:t>Výdavky celkom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1 806 678,00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2 138 354,00</w:t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2 138 354,00</w:t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z toho :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Bežné výdavky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  <w:t>1 318 020,00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  <w:t>2 138 354,00</w:t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  <w:t>2 138 354,00</w:t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Kapitálové výdavky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  <w:t>488 658,00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/>
              <w:t>Finančné výdavky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  <w:t>0,00</w:t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both"/>
              <w:rPr/>
            </w:pPr>
            <w:r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jc w:val="end"/>
              <w:rPr/>
            </w:pPr>
            <w:r>
              <w:rPr/>
            </w:r>
          </w:p>
        </w:tc>
      </w:tr>
      <w:tr>
        <w:trPr/>
        <w:tc>
          <w:tcPr>
            <w:tcW w:w="2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right" w:pos="8460" w:leader="none"/>
              </w:tabs>
              <w:snapToGrid w:val="false"/>
              <w:jc w:val="end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>
          <w:b/>
        </w:rPr>
      </w:pPr>
      <w:r>
        <w:rPr>
          <w:b/>
          <w:sz w:val="28"/>
          <w:szCs w:val="28"/>
        </w:rPr>
        <w:t>Informácia o vývoji obce z pohľadu účtovníctva za konsolidovaný celok</w:t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  <w:sz w:val="22"/>
          <w:szCs w:val="22"/>
        </w:rPr>
      </w:pPr>
      <w:r>
        <w:rPr>
          <w:b/>
        </w:rPr>
        <w:t xml:space="preserve">Majetok </w:t>
      </w:r>
    </w:p>
    <w:p>
      <w:pPr>
        <w:pStyle w:val="Normal"/>
        <w:spacing w:lineRule="auto" w:line="360"/>
        <w:ind w:start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3684"/>
        <w:gridCol w:w="2835"/>
        <w:gridCol w:w="2695"/>
      </w:tblGrid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  <w:sz w:val="22"/>
                <w:szCs w:val="22"/>
              </w:rPr>
              <w:t>2 800 637,50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4 572 222,31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1 933 705,81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3 667 456,22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20" w:hRule="atLeast"/>
        </w:trPr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99,00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1 933 606,81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3 667 357,22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7" w:hRule="atLeast"/>
        </w:trPr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861 548,56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902 134,35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208,13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89 701,64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41 980,82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67 881,06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57 459,35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703 965,86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802 486,05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Poskyt. návratné fin. výpomoci krát.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5 383,13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2 631,74</w:t>
            </w:r>
          </w:p>
        </w:tc>
      </w:tr>
    </w:tbl>
    <w:p>
      <w:pPr>
        <w:pStyle w:val="Normal"/>
        <w:spacing w:lineRule="auto" w:line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lineRule="auto" w:line="360"/>
        <w:rPr/>
      </w:pPr>
      <w:r>
        <w:rPr/>
      </w:r>
      <w:r>
        <w:br w:type="page"/>
      </w:r>
    </w:p>
    <w:p>
      <w:pPr>
        <w:pStyle w:val="ListParagraph"/>
        <w:numPr>
          <w:ilvl w:val="1"/>
          <w:numId w:val="4"/>
        </w:numPr>
        <w:spacing w:lineRule="auto" w:line="360" w:before="0" w:after="0"/>
        <w:jc w:val="both"/>
        <w:rPr>
          <w:b/>
          <w:bCs/>
          <w:sz w:val="22"/>
          <w:szCs w:val="22"/>
        </w:rPr>
      </w:pPr>
      <w:r>
        <w:rPr>
          <w:b/>
          <w:bCs/>
        </w:rPr>
        <w:t xml:space="preserve">Zdroje krytia </w:t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3684"/>
        <w:gridCol w:w="2835"/>
        <w:gridCol w:w="2695"/>
      </w:tblGrid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 31.12.2025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  <w:sz w:val="22"/>
                <w:szCs w:val="22"/>
              </w:rPr>
              <w:t>2 800 637,50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4 572 222,31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1 771 314,76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1 83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 257,30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1 771 314,76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/>
              <w:t>1 838 257,30</w:t>
            </w:r>
          </w:p>
        </w:tc>
      </w:tr>
      <w:tr>
        <w:trPr>
          <w:trHeight w:val="385" w:hRule="atLeast"/>
        </w:trPr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192 860,87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282 801,75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2 500,00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3 813,00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39 237,48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95 969,62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8 225,61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13 357,90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142 897,78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169 661,23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836 461,87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2 451 163,26</w:t>
            </w:r>
          </w:p>
        </w:tc>
      </w:tr>
    </w:tbl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rPr>
          <w:b/>
        </w:rPr>
      </w:pPr>
      <w:r>
        <w:rPr>
          <w:b/>
        </w:rPr>
        <w:t>Informácia o vývoji obce z pohľadu účtovníctva za Individuálnu účtovnú závierku</w:t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  <w:sz w:val="22"/>
          <w:szCs w:val="22"/>
        </w:rPr>
      </w:pPr>
      <w:r>
        <w:rPr>
          <w:b/>
        </w:rPr>
        <w:t xml:space="preserve">Majetok </w:t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3684"/>
        <w:gridCol w:w="2835"/>
        <w:gridCol w:w="2695"/>
      </w:tblGrid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  <w:sz w:val="22"/>
                <w:szCs w:val="22"/>
              </w:rPr>
              <w:t>2 640 069,84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4 435 273,51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1 892 074,99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3 578 562,72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99,00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1 891 975,99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3 578 463,72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743 310,71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855 443,28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208,13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43 630,82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41 980,82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67 581,06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55 738,78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632 098,83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757 515,55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4 684,14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1 267,51</w:t>
            </w:r>
          </w:p>
        </w:tc>
      </w:tr>
    </w:tbl>
    <w:p>
      <w:pPr>
        <w:pStyle w:val="Normal"/>
        <w:spacing w:lineRule="auto" w:line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br w:type="page"/>
      </w:r>
    </w:p>
    <w:p>
      <w:pPr>
        <w:pStyle w:val="Normal"/>
        <w:numPr>
          <w:ilvl w:val="1"/>
          <w:numId w:val="4"/>
        </w:numPr>
        <w:spacing w:lineRule="auto" w:line="360" w:before="0" w:after="0"/>
        <w:ind w:hanging="426" w:start="426"/>
        <w:jc w:val="both"/>
        <w:rPr>
          <w:b/>
          <w:bCs/>
          <w:sz w:val="22"/>
          <w:szCs w:val="22"/>
        </w:rPr>
      </w:pPr>
      <w:r>
        <w:rPr>
          <w:b/>
          <w:bCs/>
        </w:rPr>
        <w:t xml:space="preserve">Zdroje krytia </w:t>
      </w:r>
    </w:p>
    <w:tbl>
      <w:tblPr>
        <w:tblW w:w="921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0" w:noVBand="0" w:lastRow="0" w:firstColumn="0" w:lastColumn="0" w:noHBand="0" w:val="0000"/>
      </w:tblPr>
      <w:tblGrid>
        <w:gridCol w:w="3684"/>
        <w:gridCol w:w="2835"/>
        <w:gridCol w:w="2695"/>
      </w:tblGrid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 31.12.2025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  <w:sz w:val="22"/>
                <w:szCs w:val="22"/>
              </w:rPr>
              <w:t>2 640 069,84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4 435 273,51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1 683 852,13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1 789 363,79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1 683 852,13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1 789 363,79</w:t>
            </w:r>
          </w:p>
        </w:tc>
      </w:tr>
      <w:tr>
        <w:trPr>
          <w:trHeight w:val="452" w:hRule="atLeast"/>
        </w:trPr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121 238,60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196 110,69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2 500,00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3 075,00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39 237,48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95 969,62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6 580,99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10 671,62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72 920,13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86 394,45</w:t>
            </w:r>
          </w:p>
        </w:tc>
      </w:tr>
      <w:tr>
        <w:trPr/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</w:tr>
      <w:tr>
        <w:trPr>
          <w:trHeight w:val="499" w:hRule="atLeast"/>
        </w:trPr>
        <w:tc>
          <w:tcPr>
            <w:tcW w:w="36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sz w:val="22"/>
                <w:szCs w:val="22"/>
              </w:rPr>
              <w:t>834 979,11</w:t>
            </w:r>
          </w:p>
        </w:tc>
        <w:tc>
          <w:tcPr>
            <w:tcW w:w="26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2 449 799,03</w:t>
            </w:r>
          </w:p>
        </w:tc>
      </w:tr>
    </w:tbl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/>
      </w:pPr>
      <w:r>
        <w:rPr>
          <w:b/>
        </w:rPr>
        <w:t>Pohľadávky k IUZ</w:t>
      </w:r>
    </w:p>
    <w:tbl>
      <w:tblPr>
        <w:tblW w:w="934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102"/>
        <w:gridCol w:w="2128"/>
        <w:gridCol w:w="2115"/>
      </w:tblGrid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rPr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2024</w:t>
            </w:r>
          </w:p>
        </w:tc>
        <w:tc>
          <w:tcPr>
            <w:tcW w:w="2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2025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Pohľadávky do lehoty splatnosti  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67 581,06</w:t>
            </w:r>
          </w:p>
        </w:tc>
        <w:tc>
          <w:tcPr>
            <w:tcW w:w="2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55 738,78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Pohľadávky po lehote splatnosti  </w:t>
            </w:r>
          </w:p>
        </w:tc>
        <w:tc>
          <w:tcPr>
            <w:tcW w:w="21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21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</w:rPr>
      </w:pPr>
      <w:r>
        <w:rPr>
          <w:b/>
        </w:rPr>
        <w:t>Záväzky</w:t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101"/>
        <w:gridCol w:w="2129"/>
        <w:gridCol w:w="2126"/>
      </w:tblGrid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rPr/>
            </w:pPr>
            <w:r>
              <w:rPr>
                <w:b/>
              </w:rPr>
              <w:t>Záväzky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2024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2025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Záväzky do lehoty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72 920,13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86 394,45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Záväzky po lehote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before="0" w:after="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</w:rPr>
      </w:pPr>
      <w:r>
        <w:rPr>
          <w:b/>
        </w:rPr>
        <w:t>Pohľadávky ku KUZ</w:t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101"/>
        <w:gridCol w:w="2129"/>
        <w:gridCol w:w="2126"/>
      </w:tblGrid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rPr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2024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2025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Pohľadávky do lehoty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67 881,06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57 459,35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Pohľadávky po lehote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426" w:start="426"/>
        <w:jc w:val="both"/>
        <w:rPr>
          <w:b/>
        </w:rPr>
      </w:pPr>
      <w:r>
        <w:rPr>
          <w:b/>
        </w:rPr>
        <w:t>Záväzky</w:t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5101"/>
        <w:gridCol w:w="2129"/>
        <w:gridCol w:w="2126"/>
      </w:tblGrid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rPr/>
            </w:pPr>
            <w:r>
              <w:rPr>
                <w:b/>
              </w:rPr>
              <w:t>Záväzky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2024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0"/>
                <w:szCs w:val="20"/>
              </w:rPr>
              <w:t>k 31.12 2025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Záväzky do lehoty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142 897,78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169 661,23</w:t>
            </w:r>
          </w:p>
        </w:tc>
      </w:tr>
      <w:tr>
        <w:trPr/>
        <w:tc>
          <w:tcPr>
            <w:tcW w:w="51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 xml:space="preserve">Záväzky po lehote splatnosti  </w:t>
            </w:r>
          </w:p>
        </w:tc>
        <w:tc>
          <w:tcPr>
            <w:tcW w:w="21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0000FF"/>
        </w:rPr>
      </w:pPr>
      <w:r>
        <w:rPr>
          <w:color w:val="0000FF"/>
        </w:rPr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0000FF"/>
        </w:rPr>
      </w:pPr>
      <w:r>
        <w:rPr>
          <w:color w:val="0000FF"/>
        </w:rPr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lineRule="auto" w:line="360"/>
        <w:jc w:val="both"/>
        <w:rPr>
          <w:b/>
        </w:rPr>
      </w:pPr>
      <w:r>
        <w:rPr/>
        <w:t>Analýza významných položiek z účtovnej závierky:</w:t>
      </w:r>
    </w:p>
    <w:p>
      <w:pPr>
        <w:pStyle w:val="Normal"/>
        <w:numPr>
          <w:ilvl w:val="0"/>
          <w:numId w:val="4"/>
        </w:numPr>
        <w:ind w:hanging="426" w:start="426"/>
        <w:jc w:val="both"/>
        <w:rPr>
          <w:b/>
          <w:bCs/>
        </w:rPr>
      </w:pPr>
      <w:r>
        <w:rPr>
          <w:b/>
          <w:bCs/>
        </w:rPr>
        <w:t xml:space="preserve">Hospodársky výsledok  za 2025 - vývoj nákladov a výnosov za individuálnu účtovnú závierku </w:t>
      </w:r>
    </w:p>
    <w:p>
      <w:pPr>
        <w:pStyle w:val="Normal"/>
        <w:ind w:start="720"/>
        <w:jc w:val="both"/>
        <w:rPr>
          <w:b/>
        </w:rPr>
      </w:pPr>
      <w:r>
        <w:rPr>
          <w:b/>
        </w:rPr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686"/>
        <w:gridCol w:w="2977"/>
        <w:gridCol w:w="2693"/>
      </w:tblGrid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Názov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 31.12.2024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1 359 096,03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1 808 284,93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50 – Spotrebované nákupy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264 774,82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181 756,82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51 – Služby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367 521,82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372 582,08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52 – Osobné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610 522,92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745 858,81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53 – Dane a  poplatky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2 043,05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517,04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54 – Ostatné náklady na prevádzkovú činnosť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9 156,51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11 007,96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55 – Odpisy, rezervy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85 754,00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454 932,16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56 – Finančné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1 102,91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6 869,18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57 – Mimoriadne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58 – Náklady na transfery a náklady z odvodov príjmov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18 220,00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34 760,88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59 – Dane z príjmov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>
                <w:b/>
              </w:rPr>
              <w:t>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1 468 275,47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1 822 114,15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60 – Tržby za vlastné výkony a tovar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40 582,90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56 365,35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61 – Zmena stavu vnútroorganizačných služieb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62 – Aktivácia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63 – Daňové a colné výnosy a výnosy z poplatkov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1 045 869,16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983 285,98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64 – Ostatné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2 932,49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19 637,84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191 584,18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66 – Finančné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1 049,19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1 128,37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67 – Mimoriadne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377 841,73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570 112,43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Hospodársky výsledok</w:t>
            </w:r>
          </w:p>
          <w:p>
            <w:pPr>
              <w:pStyle w:val="Normal"/>
              <w:rPr/>
            </w:pPr>
            <w:r>
              <w:rPr>
                <w:b/>
              </w:rPr>
              <w:t>/+ kladný HV, - záporný HV/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109 023,60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13 617,52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0000FF"/>
        </w:rPr>
      </w:pPr>
      <w:r>
        <w:rPr>
          <w:color w:val="0000FF"/>
        </w:rPr>
      </w:r>
    </w:p>
    <w:p>
      <w:pPr>
        <w:pStyle w:val="Normal"/>
        <w:numPr>
          <w:ilvl w:val="0"/>
          <w:numId w:val="4"/>
        </w:numPr>
        <w:spacing w:lineRule="auto" w:line="360"/>
        <w:ind w:hanging="284" w:start="284"/>
        <w:jc w:val="both"/>
        <w:rPr/>
      </w:pPr>
      <w:r>
        <w:rPr>
          <w:b/>
          <w:bCs/>
        </w:rPr>
        <w:t>Hospodársky výsledok  za 2025 - vývoj nákladov a výnosov za konsolidovaný celok</w:t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686"/>
        <w:gridCol w:w="2977"/>
        <w:gridCol w:w="2693"/>
      </w:tblGrid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>Názov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ind w:firstLine="188" w:start="-188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 31.12.2024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DD9C3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2"/>
                <w:szCs w:val="22"/>
              </w:rPr>
              <w:t>Skutočnosť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k 31.12.2025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>
                <w:b/>
              </w:rPr>
              <w:t>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2 185 182,12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2 788 817,51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50 – Spotrebované nákupy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308 684,93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207 563,57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51 – Služby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325 767,75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392 625,76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52 – Osobné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1 431 434,07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1 689 338,19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53 – Dane a  poplatky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2 049,55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517,04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54 – Ostatné náklady na prevádzkovú činnosť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9 607,71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12 100,56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55 – Odpisy, rezervy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87 974,00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461 802,16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56 – Finančné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1 444,11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7 190,48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57 – Mimoriadne náklady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58 – Náklady na transfery a náklady z odvodov príjmov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18 220,00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17 679,75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59 – Dane z príjmov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/>
            </w:pPr>
            <w:r>
              <w:rPr>
                <w:b/>
              </w:rPr>
              <w:t>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2 385 851,83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2 760 201,43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60 – Tržby za vlastné výkony a tovar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40 582,90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56 365,35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61 – Zmena stavu vnútroorganizačných služieb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62 – Aktivácia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63 – Daňové a colné výnosy a výnosy z poplatkov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1 045 869,16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983 285,98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64 – Ostatné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9 147,82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31 822,48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65 – Zúčtovanie rezerv a OP z prevádzkovej a finančnej činnosti a zúčtovanie časového rozlíšenia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191 584,18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66 – Finančné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1 051,19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1 128,37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67 – Mimoriadne výnosy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0,00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69 – Výnosy z transferov a rozpočtových príjmov v obciach, VÚC a v RO a PO zriadených obcou alebo VÚC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1 196 577,70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1 496 015,07</w:t>
            </w:r>
          </w:p>
        </w:tc>
      </w:tr>
      <w:tr>
        <w:trPr/>
        <w:tc>
          <w:tcPr>
            <w:tcW w:w="36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Hospodársky výsledok</w:t>
            </w:r>
          </w:p>
          <w:p>
            <w:pPr>
              <w:pStyle w:val="Normal"/>
              <w:rPr/>
            </w:pPr>
            <w:r>
              <w:rPr>
                <w:b/>
              </w:rPr>
              <w:t>/+ kladný HV, - záporný HV/</w:t>
            </w:r>
          </w:p>
        </w:tc>
        <w:tc>
          <w:tcPr>
            <w:tcW w:w="29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/>
            </w:pPr>
            <w:r>
              <w:rPr>
                <w:b/>
                <w:bCs/>
              </w:rPr>
              <w:t>108 046,65</w:t>
            </w:r>
          </w:p>
        </w:tc>
        <w:tc>
          <w:tcPr>
            <w:tcW w:w="26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spacing w:lineRule="auto" w:line="36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-28 827,78</w:t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hanging="426" w:start="426"/>
        <w:rPr>
          <w:b/>
        </w:rPr>
      </w:pPr>
      <w:r>
        <w:rPr>
          <w:b/>
          <w:sz w:val="28"/>
          <w:szCs w:val="28"/>
        </w:rPr>
        <w:t xml:space="preserve">Ostatné  dôležité informácie </w:t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/>
      </w:pPr>
      <w:r>
        <w:rPr>
          <w:b/>
        </w:rPr>
        <w:t xml:space="preserve">Prijaté granty a transfery </w:t>
      </w:r>
    </w:p>
    <w:p>
      <w:pPr>
        <w:pStyle w:val="Normal"/>
        <w:spacing w:lineRule="auto" w:line="360"/>
        <w:jc w:val="both"/>
        <w:rPr/>
      </w:pPr>
      <w:r>
        <w:rPr/>
        <w:t>V roku 2025 obec prijala bežné granty a transfery vo výške 1 527 332,67</w:t>
      </w:r>
      <w:r>
        <w:rPr>
          <w:color w:themeColor="text1" w:val="000000"/>
        </w:rPr>
        <w:t xml:space="preserve"> </w:t>
      </w:r>
      <w:r>
        <w:rPr/>
        <w:t>EUR.</w:t>
      </w:r>
    </w:p>
    <w:tbl>
      <w:tblPr>
        <w:tblW w:w="5000" w:type="pct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0" w:noVBand="0" w:lastRow="0" w:firstColumn="0" w:lastColumn="0" w:noHBand="0" w:val="0000"/>
      </w:tblPr>
      <w:tblGrid>
        <w:gridCol w:w="3066"/>
        <w:gridCol w:w="3068"/>
        <w:gridCol w:w="1"/>
        <w:gridCol w:w="3068"/>
      </w:tblGrid>
      <w:tr>
        <w:trPr/>
        <w:tc>
          <w:tcPr>
            <w:tcW w:w="30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Poskytovateľ</w:t>
            </w:r>
          </w:p>
        </w:tc>
        <w:tc>
          <w:tcPr>
            <w:tcW w:w="30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Účelové určenie grantov </w:t>
            </w:r>
            <w:r>
              <w:rPr/>
              <w:br/>
            </w:r>
            <w:r>
              <w:rPr>
                <w:b/>
                <w:bCs/>
              </w:rPr>
              <w:t>a transferov</w:t>
            </w:r>
          </w:p>
        </w:tc>
        <w:tc>
          <w:tcPr>
            <w:tcW w:w="30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prijatých prostriedkov v EUR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MFSR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Dotácia - odmeny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26 211,16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ÚPSVAR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AČ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14 012,37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MV SR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Register adries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19,60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MV SR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Úsek dopravy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105,02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ÚPSVAR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Hmotná núdza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117 047,85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MIRRI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MOPS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168 000,00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RÚŠS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Normatívy a nenormatívy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1 147 312,00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MV SR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Životné prostredie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317,75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MV SR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Regob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802,23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NIVAM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NIVAM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15 702,00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ÚPSVAR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TSP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22 278,10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ÚPSVAR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Pohrebné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200,00</w:t>
            </w:r>
          </w:p>
        </w:tc>
      </w:tr>
      <w:tr>
        <w:trPr/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 xml:space="preserve">ÚPSVAR 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Rodinné prídavky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11 340,00</w:t>
            </w:r>
          </w:p>
        </w:tc>
      </w:tr>
      <w:tr>
        <w:trPr>
          <w:trHeight w:val="300" w:hRule="atLeast"/>
        </w:trPr>
        <w:tc>
          <w:tcPr>
            <w:tcW w:w="306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Ministerstvo dopravy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/>
            </w:pPr>
            <w:r>
              <w:rPr/>
              <w:t>Dotácia na SSÚ</w:t>
            </w:r>
          </w:p>
        </w:tc>
        <w:tc>
          <w:tcPr>
            <w:tcW w:w="306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/>
            </w:pPr>
            <w:r>
              <w:rPr/>
              <w:t>3 984,59</w:t>
            </w:r>
          </w:p>
        </w:tc>
      </w:tr>
      <w:tr>
        <w:trPr/>
        <w:tc>
          <w:tcPr>
            <w:tcW w:w="6134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3069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Obsahtabuky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1 527 332,67</w:t>
            </w:r>
          </w:p>
        </w:tc>
      </w:tr>
    </w:tbl>
    <w:p>
      <w:pPr>
        <w:pStyle w:val="Normal"/>
        <w:spacing w:lineRule="auto" w:line="360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>
          <w:color w:val="000000"/>
        </w:rPr>
      </w:pPr>
      <w:r>
        <w:rPr>
          <w:b/>
        </w:rPr>
        <w:t xml:space="preserve">Poskytnuté dotácie </w:t>
      </w:r>
    </w:p>
    <w:p>
      <w:pPr>
        <w:pStyle w:val="Normal"/>
        <w:spacing w:lineRule="auto" w:line="360"/>
        <w:jc w:val="both"/>
        <w:rPr>
          <w:color w:themeColor="text1" w:val="000000"/>
        </w:rPr>
      </w:pPr>
      <w:r>
        <w:rPr>
          <w:color w:themeColor="text1" w:val="000000"/>
        </w:rPr>
        <w:t>Obec v roku 2025 poskytla nasledujúce dotácie:</w:t>
      </w:r>
    </w:p>
    <w:tbl>
      <w:tblPr>
        <w:tblW w:w="9356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010"/>
        <w:gridCol w:w="3469"/>
        <w:gridCol w:w="2877"/>
      </w:tblGrid>
      <w:tr>
        <w:trPr/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prostriedkov v EUR</w:t>
            </w:r>
          </w:p>
        </w:tc>
      </w:tr>
      <w:tr>
        <w:trPr/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OZ pre lepší život Rómov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  <w:t>2 000,00</w:t>
            </w:r>
          </w:p>
        </w:tc>
      </w:tr>
      <w:tr>
        <w:trPr/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  <w:t>OZ SOM Drienovec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jc w:val="end"/>
              <w:rPr/>
            </w:pPr>
            <w:r>
              <w:rPr/>
              <w:t>2 000,00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CVC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479,49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RKF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8 000,00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Patria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480,00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  <w:t>ReSocia</w:t>
            </w:r>
          </w:p>
        </w:tc>
        <w:tc>
          <w:tcPr>
            <w:tcW w:w="3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/>
            </w:pPr>
            <w:r>
              <w:rPr/>
              <w:t>120,00</w:t>
            </w:r>
          </w:p>
        </w:tc>
      </w:tr>
      <w:tr>
        <w:trPr>
          <w:trHeight w:val="300" w:hRule="atLeast"/>
        </w:trPr>
        <w:tc>
          <w:tcPr>
            <w:tcW w:w="647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8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end"/>
              <w:rPr>
                <w:b/>
                <w:bCs/>
              </w:rPr>
            </w:pPr>
            <w:r>
              <w:rPr>
                <w:b/>
                <w:bCs/>
              </w:rPr>
              <w:t>13 079,49</w:t>
            </w:r>
          </w:p>
        </w:tc>
      </w:tr>
    </w:tbl>
    <w:p>
      <w:pPr>
        <w:pStyle w:val="Normal"/>
        <w:tabs>
          <w:tab w:val="clear" w:pos="708"/>
          <w:tab w:val="left" w:pos="2880" w:leader="none"/>
          <w:tab w:val="right" w:pos="8820" w:leader="none"/>
        </w:tabs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/>
      </w:pPr>
      <w:r>
        <w:rPr>
          <w:b/>
          <w:bCs/>
        </w:rPr>
        <w:t>Významné investičné akcie v roku 2025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FF0000"/>
        </w:rPr>
      </w:pPr>
      <w:r>
        <w:rPr/>
        <w:t>Najvýznamnejšie investičné akcie realizované v roku 2025: výstavba základnej školy.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/>
      </w:pPr>
      <w:r>
        <w:rPr>
          <w:b/>
        </w:rPr>
        <w:t xml:space="preserve">Predpokladaný budúci vývoj činnosti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/>
        <w:t xml:space="preserve">Predpokladané investičné akcie realizované v budúcich rokoch: </w:t>
      </w:r>
    </w:p>
    <w:p>
      <w:pPr>
        <w:pStyle w:val="Normal"/>
        <w:tabs>
          <w:tab w:val="clear" w:pos="708"/>
          <w:tab w:val="left" w:pos="2880" w:leader="none"/>
          <w:tab w:val="right" w:pos="8820" w:leader="none"/>
        </w:tabs>
        <w:jc w:val="both"/>
        <w:rPr>
          <w:color w:val="FF0000"/>
        </w:rPr>
      </w:pPr>
      <w:r>
        <w:rPr>
          <w:color w:val="000000"/>
        </w:rPr>
        <w:t>Výstavba základnej školy.</w:t>
      </w:r>
    </w:p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/>
      </w:pPr>
      <w:r>
        <w:rPr>
          <w:b/>
        </w:rPr>
        <w:t xml:space="preserve">Udalosti osobitného významu po skončení účtovného obdobia 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/>
        <w:t>Obec zaznamenala  udalosť osobitného významu po skončení účtovného obdobia.</w:t>
      </w:r>
      <w:r>
        <w:rPr>
          <w:color w:val="FF0000"/>
        </w:rPr>
        <w:t xml:space="preserve"> </w:t>
      </w:r>
    </w:p>
    <w:p>
      <w:pPr>
        <w:pStyle w:val="Normal"/>
        <w:spacing w:lineRule="auto" w:line="360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1"/>
          <w:numId w:val="4"/>
        </w:numPr>
        <w:spacing w:lineRule="auto" w:line="360"/>
        <w:ind w:hanging="567" w:start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center"/>
        <w:rPr/>
      </w:pPr>
      <w:r>
        <w:rPr/>
        <w:t xml:space="preserve">                                                                                      </w:t>
      </w:r>
      <w:r>
        <w:rPr/>
        <w:t>Ing. Štefan Bacsó</w:t>
      </w:r>
    </w:p>
    <w:p>
      <w:pPr>
        <w:pStyle w:val="Normal"/>
        <w:spacing w:lineRule="auto" w:line="360"/>
        <w:jc w:val="both"/>
        <w:rPr/>
      </w:pPr>
      <w:r>
        <w:rPr/>
        <w:t xml:space="preserve">                                                                                                              </w:t>
      </w:r>
      <w:r>
        <w:rPr/>
        <w:t>starosta obce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 xml:space="preserve">V Drienovci dňa,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cs="Times New Roman" w:ascii="Times New Roman" w:hAnsi="Times New Roman"/>
          <w:b/>
          <w:sz w:val="24"/>
          <w:szCs w:val="24"/>
          <w:lang w:val="sk-SK"/>
        </w:rPr>
        <w:t>Prílohy:</w:t>
      </w:r>
    </w:p>
    <w:p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cs="Times New Roman" w:ascii="Times New Roman" w:hAnsi="Times New Roman"/>
          <w:b/>
          <w:sz w:val="24"/>
          <w:szCs w:val="24"/>
          <w:lang w:val="sk-SK"/>
        </w:rPr>
      </w:r>
    </w:p>
    <w:p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cs="Times New Roman"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cs="Times New Roman" w:ascii="Times New Roman" w:hAnsi="Times New Roman"/>
          <w:sz w:val="24"/>
          <w:szCs w:val="24"/>
          <w:lang w:val="sk-SK"/>
        </w:rPr>
        <w:t>Individuálna účtovná závierka: Individuálna Súvaha, Výkaz ziskov a strát, Poznámky individuálnej účtovnej závierky</w:t>
      </w:r>
    </w:p>
    <w:p>
      <w:pPr>
        <w:pStyle w:val="NoSpacing"/>
        <w:numPr>
          <w:ilvl w:val="0"/>
          <w:numId w:val="3"/>
        </w:numPr>
        <w:rPr>
          <w:strike/>
        </w:rPr>
      </w:pPr>
      <w:r>
        <w:rPr>
          <w:rFonts w:cs="Times New Roman" w:ascii="Times New Roman" w:hAnsi="Times New Roman"/>
          <w:strike/>
          <w:sz w:val="24"/>
          <w:szCs w:val="24"/>
          <w:lang w:val="sk-SK"/>
        </w:rPr>
        <w:t>Správa audítora ku konsolidovanej účtovnej závierke  a správa audítora k individuálnej účtovnej závierke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417" w:right="1286" w:gutter="0" w:header="708" w:top="1417" w:footer="708" w:bottom="141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Wingdings">
    <w:charset w:val="ee" w:characterSet="windows-1250"/>
    <w:family w:val="roman"/>
    <w:pitch w:val="variable"/>
  </w:font>
  <w:font w:name="Symbol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5715" distL="4445" distR="0" simplePos="0" relativeHeight="38" behindDoc="1" locked="0" layoutInCell="0" allowOverlap="1" wp14:anchorId="6D1CFC8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174625"/>
              <wp:effectExtent l="0" t="635" r="0" b="0"/>
              <wp:wrapSquare wrapText="bothSides"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18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448.1pt;margin-top:0.05pt;width:11.95pt;height:13.7pt;mso-wrap-style:square;v-text-anchor:top;mso-position-horizontal:right;mso-position-horizontal-relative:margin" wp14:anchorId="6D1CFC8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18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start"/>
      <w:pPr>
        <w:tabs>
          <w:tab w:val="num" w:pos="0"/>
        </w:tabs>
        <w:ind w:start="360" w:hanging="360"/>
      </w:pPr>
      <w:rPr>
        <w:b/>
      </w:rPr>
    </w:lvl>
    <w:lvl w:ilvl="1">
      <w:start w:val="4"/>
      <w:numFmt w:val="decimal"/>
      <w:lvlText w:val="%1.%2."/>
      <w:lvlJc w:val="start"/>
      <w:pPr>
        <w:tabs>
          <w:tab w:val="num" w:pos="0"/>
        </w:tabs>
        <w:ind w:start="360" w:hanging="360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>
        <w:b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>
        <w:b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>
        <w:b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>
        <w:b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>
        <w:b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>
        <w:b/>
      </w:rPr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795"/>
        </w:tabs>
        <w:ind w:start="7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  <w:color w:val="000000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360"/>
      </w:pPr>
      <w:rPr>
        <w:b/>
      </w:rPr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1080" w:hanging="720"/>
      </w:pPr>
      <w:rPr>
        <w:b/>
      </w:rPr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720"/>
      </w:pPr>
      <w:rPr>
        <w:b/>
      </w:rPr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440" w:hanging="1080"/>
      </w:pPr>
      <w:rPr>
        <w:b/>
      </w:rPr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080"/>
      </w:pPr>
      <w:rPr>
        <w:b/>
      </w:rPr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800" w:hanging="1440"/>
      </w:pPr>
      <w:rPr>
        <w:b/>
      </w:rPr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440"/>
      </w:pPr>
      <w:rPr>
        <w:b/>
      </w:rPr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2160" w:hanging="1800"/>
      </w:pPr>
      <w:rPr>
        <w:b/>
      </w:rPr>
    </w:lvl>
  </w:abstractNum>
  <w:abstractNum w:abstractNumId="5">
    <w:lvl w:ilvl="0">
      <w:start w:val="5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360" w:hanging="360"/>
      </w:pPr>
      <w:rPr>
        <w:b/>
        <w:bCs w:val="false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b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rFonts w:ascii="Times New Roman" w:hAnsi="Times New Roman" w:eastAsia="Times New Roman" w:cs="Times New Roman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Wingdings"/>
    </w:rPr>
  </w:style>
  <w:style w:type="character" w:styleId="WW8Num4z3" w:customStyle="1">
    <w:name w:val="WW8Num4z3"/>
    <w:qFormat/>
    <w:rPr>
      <w:rFonts w:ascii="Symbol" w:hAnsi="Symbol" w:cs="Symbol"/>
    </w:rPr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b/>
    </w:rPr>
  </w:style>
  <w:style w:type="character" w:styleId="WW8Num6z0" w:customStyle="1">
    <w:name w:val="WW8Num6z0"/>
    <w:qFormat/>
    <w:rPr>
      <w:b/>
    </w:rPr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0z0" w:customStyle="1">
    <w:name w:val="WW8Num10z0"/>
    <w:qFormat/>
    <w:rPr>
      <w:rFonts w:ascii="Times New Roman" w:hAnsi="Times New Roman" w:eastAsia="Times New Roman" w:cs="Times New Roman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2z0" w:customStyle="1">
    <w:name w:val="WW8Num12z0"/>
    <w:qFormat/>
    <w:rPr/>
  </w:style>
  <w:style w:type="character" w:styleId="WW8Num13z0" w:customStyle="1">
    <w:name w:val="WW8Num13z0"/>
    <w:qFormat/>
    <w:rPr>
      <w:b/>
      <w:color w:val="000000"/>
    </w:rPr>
  </w:style>
  <w:style w:type="character" w:styleId="WW8Num13z1" w:customStyle="1">
    <w:name w:val="WW8Num13z1"/>
    <w:qFormat/>
    <w:rPr>
      <w:b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>
      <w:b/>
      <w:bCs w:val="false"/>
    </w:rPr>
  </w:style>
  <w:style w:type="character" w:styleId="WW8Num15z0" w:customStyle="1">
    <w:name w:val="WW8Num15z0"/>
    <w:qFormat/>
    <w:rPr>
      <w:color w:val="000000"/>
    </w:rPr>
  </w:style>
  <w:style w:type="character" w:styleId="Predvolenpsmoodseku1" w:customStyle="1">
    <w:name w:val="Predvolené písmo odseku1"/>
    <w:qFormat/>
    <w:rPr/>
  </w:style>
  <w:style w:type="character" w:styleId="PageNumber">
    <w:name w:val="page number"/>
    <w:basedOn w:val="Predvolenpsmoodseku1"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467886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paragraph" w:styleId="Nadpis" w:customStyle="1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Register" w:customStyle="1">
    <w:name w:val="Register"/>
    <w:basedOn w:val="Normal"/>
    <w:qFormat/>
    <w:pPr>
      <w:suppressLineNumbers/>
    </w:pPr>
    <w:rPr>
      <w:rFonts w:cs="Arial"/>
    </w:rPr>
  </w:style>
  <w:style w:type="paragraph" w:styleId="Nadpisuser" w:customStyle="1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 w:customStyle="1">
    <w:name w:val="Register (user)"/>
    <w:basedOn w:val="Normal"/>
    <w:qFormat/>
    <w:pPr>
      <w:suppressLineNumbers/>
    </w:pPr>
    <w:rPr>
      <w:rFonts w:cs="Arial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lavikaaptauser" w:customStyle="1">
    <w:name w:val="Hlavička a päta (user)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cs-CZ" w:eastAsia="zh-CN" w:bidi="ar-SA"/>
    </w:rPr>
  </w:style>
  <w:style w:type="paragraph" w:styleId="ListParagraph">
    <w:name w:val="List Paragraph"/>
    <w:basedOn w:val="Normal"/>
    <w:qFormat/>
    <w:pPr>
      <w:ind w:start="708"/>
    </w:pPr>
    <w:rPr/>
  </w:style>
  <w:style w:type="paragraph" w:styleId="Obsahtabuky" w:customStyle="1">
    <w:name w:val="Obsah tabuľky"/>
    <w:basedOn w:val="Normal"/>
    <w:qFormat/>
    <w:pPr>
      <w:widowControl w:val="false"/>
      <w:suppressLineNumbers/>
    </w:pPr>
    <w:rPr/>
  </w:style>
  <w:style w:type="paragraph" w:styleId="Zhlavietabuky" w:customStyle="1">
    <w:name w:val="Záhlavie tabuľky"/>
    <w:basedOn w:val="Obsahtabuky"/>
    <w:qFormat/>
    <w:pPr>
      <w:jc w:val="center"/>
    </w:pPr>
    <w:rPr>
      <w:b/>
      <w:bCs/>
    </w:rPr>
  </w:style>
  <w:style w:type="paragraph" w:styleId="Obsahrmca" w:customStyle="1">
    <w:name w:val="Obsah rámca"/>
    <w:basedOn w:val="Normal"/>
    <w:qFormat/>
    <w:pPr/>
    <w:rPr/>
  </w:style>
  <w:style w:type="paragraph" w:styleId="TableParagraph" w:customStyle="1">
    <w:name w:val="Table Paragraph"/>
    <w:basedOn w:val="Normal"/>
    <w:qFormat/>
    <w:pPr/>
    <w:rPr/>
  </w:style>
  <w:style w:type="paragraph" w:styleId="Obsahrmcauser" w:customStyle="1">
    <w:name w:val="Obsah rámca (user)"/>
    <w:basedOn w:val="Normal"/>
    <w:qFormat/>
    <w:pPr/>
    <w:rPr/>
  </w:style>
  <w:style w:type="paragraph" w:styleId="Obsahtabukyuser" w:customStyle="1">
    <w:name w:val="Obsah tabuľky (user)"/>
    <w:basedOn w:val="Normal"/>
    <w:qFormat/>
    <w:pPr>
      <w:widowControl w:val="false"/>
      <w:suppressLineNumbers/>
    </w:pPr>
    <w:rPr/>
  </w:style>
  <w:style w:type="paragraph" w:styleId="Zhlavietabukyuser" w:customStyle="1">
    <w:name w:val="Záhlavie tabuľky (user)"/>
    <w:basedOn w:val="Obsahtabukyuser"/>
    <w:qFormat/>
    <w:pPr>
      <w:jc w:val="center"/>
    </w:pPr>
    <w:rPr>
      <w:b/>
      <w:b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LibreOffice/25.8.6.2$Windows_X86_64 LibreOffice_project/b4b39682cd9868fa725bc664aff94278d315bd04</Application>
  <AppVersion>15.0000</AppVersion>
  <Pages>18</Pages>
  <Words>3069</Words>
  <Characters>16961</Characters>
  <CharactersWithSpaces>20719</CharactersWithSpaces>
  <Paragraphs>724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2026-06-04T12:09:00Z</dcterms:created>
  <dc:creator>Terka</dc:creator>
  <dc:description/>
  <dc:language>sk-SK</dc:language>
  <cp:lastModifiedBy/>
  <cp:lastPrinted>2022-01-11T17:11:00Z</cp:lastPrinted>
  <dcterms:modified xsi:type="dcterms:W3CDTF">2026-06-08T12:07:50Z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0x01010098B4012FB2E5BD41A5FC43D6CF702928</vt:lpwstr>
  </property>
  <property fmtid="{D5CDD505-2E9C-101B-9397-08002B2CF9AE}" pid="4" name="Order">
    <vt:lpwstr>146400.000000000</vt:lpwstr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display_urn:schemas-microsoft-com:office:office#Author">
    <vt:lpwstr>Katarína Požonská</vt:lpwstr>
  </property>
  <property fmtid="{D5CDD505-2E9C-101B-9397-08002B2CF9AE}" pid="11" name="display_urn:schemas-microsoft-com:office:office#Editor">
    <vt:lpwstr>Katarína Požonská</vt:lpwstr>
  </property>
  <property fmtid="{D5CDD505-2E9C-101B-9397-08002B2CF9AE}" pid="12" name="xd_ProgID">
    <vt:lpwstr/>
  </property>
  <property fmtid="{D5CDD505-2E9C-101B-9397-08002B2CF9AE}" pid="13" name="xd_Signature">
    <vt:lpwstr/>
  </property>
</Properties>
</file>