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ab/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</w:pPr>
    </w:p>
    <w:p>
      <w:pPr>
        <w:tabs>
          <w:tab w:val="left" w:pos="4536" w:leader="none"/>
          <w:tab w:val="left" w:pos="9072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40"/>
          <w:shd w:fill="auto" w:val="clear"/>
        </w:rPr>
      </w:pPr>
      <w:r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40"/>
          <w:shd w:fill="auto" w:val="clear"/>
        </w:rPr>
        <w:t xml:space="preserve">Poznámky k individuálnej ú</w:t>
      </w:r>
      <w:r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40"/>
          <w:shd w:fill="auto" w:val="clear"/>
        </w:rPr>
        <w:t xml:space="preserve">čtovnej </w:t>
      </w:r>
    </w:p>
    <w:p>
      <w:pPr>
        <w:tabs>
          <w:tab w:val="left" w:pos="4536" w:leader="none"/>
          <w:tab w:val="left" w:pos="9072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40"/>
          <w:shd w:fill="auto" w:val="clear"/>
        </w:rPr>
      </w:pPr>
      <w:r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40"/>
          <w:shd w:fill="auto" w:val="clear"/>
        </w:rPr>
        <w:t xml:space="preserve">závierke zostavenej k 31.12.2025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za obdobie:                                        od 1.1.2025 do 31.12.2025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za bezprostredne pred. obdobie:          od 1.1.2024 do 31.12.2024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dátum vzniku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čt. jednotky:                13.5.2008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 závierka:                               riadna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 závierka:                               zostavená  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ČO:                                                 44135467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DI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Č:                                                 2022608709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Kód SK NACE:                                71.12.9 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Obchodné meno:                                Bio&amp;Plast technology, s.r.o.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Sídlo 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čnosti:                               Botanick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 1720/13, 949 01 Nitra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u w:val="single"/>
          <w:shd w:fill="auto" w:val="clear"/>
        </w:rPr>
      </w:pPr>
    </w:p>
    <w:tbl>
      <w:tblPr/>
      <w:tblGrid>
        <w:gridCol w:w="2345"/>
        <w:gridCol w:w="2345"/>
        <w:gridCol w:w="2345"/>
        <w:gridCol w:w="2346"/>
      </w:tblGrid>
      <w:tr>
        <w:trPr>
          <w:trHeight w:val="1515" w:hRule="auto"/>
          <w:jc w:val="left"/>
        </w:trPr>
        <w:tc>
          <w:tcPr>
            <w:tcW w:w="23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Zostavená d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ňa: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14.6.2026</w:t>
            </w:r>
          </w:p>
        </w:tc>
        <w:tc>
          <w:tcPr>
            <w:tcW w:w="2345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Podpisový záznam osoby zodpovednej za vedenie 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íctva: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Marc Siracusa</w:t>
            </w:r>
          </w:p>
        </w:tc>
        <w:tc>
          <w:tcPr>
            <w:tcW w:w="2345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Podpisový záznam osoby zodpovednej za zostavenie 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čtovnej z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ávierky: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Marc Siracusa</w:t>
            </w:r>
          </w:p>
        </w:tc>
        <w:tc>
          <w:tcPr>
            <w:tcW w:w="2346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Podpisový záznam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člena štatut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árneho orgánu 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čtovnej jednotky alebo fyzickej osoby, ktor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á je 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čtovnou jednotkou: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Marc Siracusa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</w:tr>
      <w:tr>
        <w:trPr>
          <w:trHeight w:val="1015" w:hRule="auto"/>
          <w:jc w:val="left"/>
        </w:trPr>
        <w:tc>
          <w:tcPr>
            <w:tcW w:w="23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Schválená d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ňa: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14.6.2026</w:t>
            </w:r>
          </w:p>
        </w:tc>
        <w:tc>
          <w:tcPr>
            <w:tcW w:w="234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234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2346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u w:val="single"/>
          <w:shd w:fill="auto" w:val="clear"/>
        </w:rPr>
      </w:pPr>
    </w:p>
    <w:p>
      <w:pPr>
        <w:keepNext w:val="true"/>
        <w:tabs>
          <w:tab w:val="left" w:pos="567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6"/>
        </w:numPr>
        <w:tabs>
          <w:tab w:val="left" w:pos="567" w:leader="none"/>
        </w:tabs>
        <w:spacing w:before="0" w:after="0" w:line="240"/>
        <w:ind w:right="0" w:left="432" w:hanging="432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Informácie o po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čte zamestnancov </w:t>
      </w:r>
    </w:p>
    <w:p>
      <w:pPr>
        <w:tabs>
          <w:tab w:val="left" w:pos="6521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tbl>
      <w:tblPr>
        <w:tblInd w:w="108" w:type="dxa"/>
      </w:tblPr>
      <w:tblGrid>
        <w:gridCol w:w="6804"/>
        <w:gridCol w:w="2516"/>
      </w:tblGrid>
      <w:tr>
        <w:trPr>
          <w:trHeight w:val="1" w:hRule="atLeast"/>
          <w:jc w:val="left"/>
        </w:trPr>
        <w:tc>
          <w:tcPr>
            <w:tcW w:w="68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cccccc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521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 k 31.12.2025</w:t>
            </w:r>
          </w:p>
        </w:tc>
        <w:tc>
          <w:tcPr>
            <w:tcW w:w="25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521" w:leader="none"/>
              </w:tabs>
              <w:spacing w:before="0" w:after="0" w:line="240"/>
              <w:ind w:right="0" w:left="0" w:firstLine="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68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cccccc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521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čet pracovn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íkov k 31.decembru 2025</w:t>
            </w:r>
          </w:p>
        </w:tc>
        <w:tc>
          <w:tcPr>
            <w:tcW w:w="25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521" w:leader="none"/>
              </w:tabs>
              <w:spacing w:before="0" w:after="0" w:line="240"/>
              <w:ind w:right="0" w:left="0" w:firstLine="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68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cccccc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521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 toho riadiaci pracovníci</w:t>
            </w:r>
          </w:p>
        </w:tc>
        <w:tc>
          <w:tcPr>
            <w:tcW w:w="25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521" w:leader="none"/>
              </w:tabs>
              <w:spacing w:before="0" w:after="0" w:line="240"/>
              <w:ind w:right="0" w:left="0" w:firstLine="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tabs>
          <w:tab w:val="left" w:pos="6521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tbl>
      <w:tblPr>
        <w:tblInd w:w="108" w:type="dxa"/>
      </w:tblPr>
      <w:tblGrid>
        <w:gridCol w:w="6804"/>
        <w:gridCol w:w="2516"/>
      </w:tblGrid>
      <w:tr>
        <w:trPr>
          <w:trHeight w:val="1" w:hRule="atLeast"/>
          <w:jc w:val="left"/>
        </w:trPr>
        <w:tc>
          <w:tcPr>
            <w:tcW w:w="68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cccccc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521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 k 31.12.2024</w:t>
            </w:r>
          </w:p>
        </w:tc>
        <w:tc>
          <w:tcPr>
            <w:tcW w:w="25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521" w:leader="none"/>
              </w:tabs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68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cccccc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521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čet pracovn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íkov k 31.decembru 2024</w:t>
            </w:r>
          </w:p>
        </w:tc>
        <w:tc>
          <w:tcPr>
            <w:tcW w:w="25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521" w:leader="none"/>
              </w:tabs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68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cccccc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521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 toho riadiaci pracovníci</w:t>
            </w:r>
          </w:p>
        </w:tc>
        <w:tc>
          <w:tcPr>
            <w:tcW w:w="25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521" w:leader="none"/>
              </w:tabs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tabs>
          <w:tab w:val="left" w:pos="6521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521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42"/>
        </w:numPr>
        <w:tabs>
          <w:tab w:val="left" w:pos="567" w:leader="none"/>
        </w:tabs>
        <w:spacing w:before="0" w:after="0" w:line="240"/>
        <w:ind w:right="0" w:left="432" w:hanging="432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Neobmedzené ru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čenie</w:t>
      </w:r>
    </w:p>
    <w:p>
      <w:pPr>
        <w:tabs>
          <w:tab w:val="left" w:pos="6521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521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Žiadne</w:t>
      </w:r>
    </w:p>
    <w:p>
      <w:pPr>
        <w:tabs>
          <w:tab w:val="left" w:pos="6521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44"/>
        </w:numPr>
        <w:tabs>
          <w:tab w:val="left" w:pos="567" w:leader="none"/>
        </w:tabs>
        <w:spacing w:before="0" w:after="0" w:line="240"/>
        <w:ind w:right="0" w:left="432" w:hanging="432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Dôvod zostavenia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ávierky</w:t>
      </w:r>
    </w:p>
    <w:p>
      <w:pPr>
        <w:tabs>
          <w:tab w:val="left" w:pos="6521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Táto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 závierka je riadna individuálna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 závierka za Bio&amp;Plast technology, s.r.o. bola zostavená za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é obdobie od 1.1.2025 do 31.12.2025 pod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ľa slovensk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ých právnych predpisov, a to zákona o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íctve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č. 431/ 2002 Z. z. a postupov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čtovania pre podnikateľov. </w:t>
      </w:r>
    </w:p>
    <w:p>
      <w:pPr>
        <w:tabs>
          <w:tab w:val="left" w:pos="0" w:leader="none"/>
          <w:tab w:val="left" w:pos="6521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0" w:leader="none"/>
          <w:tab w:val="left" w:pos="6521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48"/>
        </w:numPr>
        <w:tabs>
          <w:tab w:val="left" w:pos="567" w:leader="none"/>
        </w:tabs>
        <w:spacing w:before="0" w:after="0" w:line="240"/>
        <w:ind w:right="0" w:left="432" w:hanging="432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Schválenie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ávierky za rok 2024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 závierka Bio&amp;Plast technology, s.r.o. za rok 2024 bola schválená na riadnom valnom zhroma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žden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í, ktoré sa konalo 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ňa 30.6.2025.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u w:val="single"/>
          <w:shd w:fill="auto" w:val="clear"/>
        </w:rPr>
        <w:t xml:space="preserve">Test ve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u w:val="single"/>
          <w:shd w:fill="auto" w:val="clear"/>
        </w:rPr>
        <w:t xml:space="preserve">ľkostnej skupiny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u w:val="single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u w:val="single"/>
          <w:shd w:fill="auto" w:val="clear"/>
        </w:rPr>
        <w:t xml:space="preserve">čtovnej jednotky (2 ZoU)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(Do ve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ľkostnej skupiny mikro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á jednotka patrí taká, ktorá za dve po sebe idúce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é obdobia sp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ĺňa aspoň dve z troch podmienok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 suma netto aktív nepresiahla 350 000 eura,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čist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ý obrat nepresiahol 700 000 eur, a priemerný prepo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č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ítaný 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čet zamestnancov počas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ého obdobia nepresiahol 10).  </w:t>
      </w: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0"/>
          <w:shd w:fill="auto" w:val="clear"/>
        </w:rPr>
      </w:pPr>
    </w:p>
    <w:tbl>
      <w:tblPr>
        <w:tblInd w:w="38" w:type="dxa"/>
      </w:tblPr>
      <w:tblGrid>
        <w:gridCol w:w="2147"/>
        <w:gridCol w:w="2683"/>
        <w:gridCol w:w="3046"/>
        <w:gridCol w:w="1692"/>
      </w:tblGrid>
      <w:tr>
        <w:trPr>
          <w:trHeight w:val="570" w:hRule="auto"/>
          <w:jc w:val="left"/>
        </w:trPr>
        <w:tc>
          <w:tcPr>
            <w:tcW w:w="21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72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83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72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 1/23-12/23</w:t>
            </w:r>
          </w:p>
        </w:tc>
        <w:tc>
          <w:tcPr>
            <w:tcW w:w="3046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72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  <w:p>
            <w:pPr>
              <w:spacing w:before="0" w:after="0" w:line="240"/>
              <w:ind w:right="0" w:left="72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1/24-12/24</w:t>
            </w:r>
          </w:p>
        </w:tc>
        <w:tc>
          <w:tcPr>
            <w:tcW w:w="1692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Áno/Nie</w:t>
            </w:r>
          </w:p>
        </w:tc>
      </w:tr>
      <w:tr>
        <w:trPr>
          <w:trHeight w:val="540" w:hRule="auto"/>
          <w:jc w:val="left"/>
        </w:trPr>
        <w:tc>
          <w:tcPr>
            <w:tcW w:w="2147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72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Netto aktíva celkom</w:t>
            </w:r>
          </w:p>
        </w:tc>
        <w:tc>
          <w:tcPr>
            <w:tcW w:w="2683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72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7 070</w:t>
            </w:r>
          </w:p>
        </w:tc>
        <w:tc>
          <w:tcPr>
            <w:tcW w:w="3046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72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8 979</w:t>
            </w:r>
          </w:p>
        </w:tc>
        <w:tc>
          <w:tcPr>
            <w:tcW w:w="1692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72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Áno</w:t>
            </w:r>
          </w:p>
        </w:tc>
      </w:tr>
      <w:tr>
        <w:trPr>
          <w:trHeight w:val="1" w:hRule="atLeast"/>
          <w:jc w:val="left"/>
        </w:trPr>
        <w:tc>
          <w:tcPr>
            <w:tcW w:w="2147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72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Čist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ý obrat celkom</w:t>
            </w:r>
          </w:p>
        </w:tc>
        <w:tc>
          <w:tcPr>
            <w:tcW w:w="2683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720" w:firstLine="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046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720" w:firstLine="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1692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72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Áno</w:t>
            </w:r>
          </w:p>
        </w:tc>
      </w:tr>
      <w:tr>
        <w:trPr>
          <w:trHeight w:val="1" w:hRule="atLeast"/>
          <w:jc w:val="left"/>
        </w:trPr>
        <w:tc>
          <w:tcPr>
            <w:tcW w:w="2147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72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683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720" w:firstLine="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046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720" w:firstLine="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0 </w:t>
            </w:r>
          </w:p>
        </w:tc>
        <w:tc>
          <w:tcPr>
            <w:tcW w:w="1692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72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Áno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0"/>
          <w:shd w:fill="auto" w:val="clear"/>
        </w:rPr>
        <w:t xml:space="preserve">UJ sp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ĺň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a ve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ľkostn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0"/>
          <w:shd w:fill="auto" w:val="clear"/>
        </w:rPr>
        <w:t xml:space="preserve">é podmienky na zatriedenie do ve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ľ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kostnej skupiny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0"/>
          <w:shd w:fill="auto" w:val="clear"/>
        </w:rPr>
        <w:t xml:space="preserve">á jednotka.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0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0"/>
          <w:shd w:fill="auto" w:val="clear"/>
        </w:rPr>
        <w:t xml:space="preserve">Informácia: Spolo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nos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ť Bio&amp;Plast technology, s.r.o. nie je subjektom verejn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0"/>
          <w:shd w:fill="auto" w:val="clear"/>
        </w:rPr>
        <w:t xml:space="preserve">ého záujmu (§ 2/14 ZoU).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425" w:leader="none"/>
          <w:tab w:val="left" w:pos="567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nformácie o 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štrukt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úre spolo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íkov, akcionárov ku d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ňu, ku ktor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ému sa zostavuje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 závierka a o 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štrukt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úre spolo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íkov, akcionárov do d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ňa jej zmeny vzniknutej v priebehu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ého obdobia </w:t>
      </w:r>
    </w:p>
    <w:p>
      <w:pPr>
        <w:tabs>
          <w:tab w:val="left" w:pos="6521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tabs>
          <w:tab w:val="left" w:pos="567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72"/>
        </w:numPr>
        <w:tabs>
          <w:tab w:val="left" w:pos="567" w:leader="none"/>
        </w:tabs>
        <w:spacing w:before="0" w:after="0" w:line="240"/>
        <w:ind w:right="0" w:left="432" w:hanging="432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Členovia org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ánov spolo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čnosti</w:t>
      </w:r>
    </w:p>
    <w:p>
      <w:pPr>
        <w:tabs>
          <w:tab w:val="left" w:pos="6521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tbl>
      <w:tblPr>
        <w:tblInd w:w="70" w:type="dxa"/>
      </w:tblPr>
      <w:tblGrid>
        <w:gridCol w:w="3025"/>
        <w:gridCol w:w="3212"/>
        <w:gridCol w:w="3123"/>
      </w:tblGrid>
      <w:tr>
        <w:trPr>
          <w:trHeight w:val="1" w:hRule="atLeast"/>
          <w:jc w:val="left"/>
        </w:trPr>
        <w:tc>
          <w:tcPr>
            <w:tcW w:w="30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cccccc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6521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Orgán</w:t>
            </w:r>
          </w:p>
        </w:tc>
        <w:tc>
          <w:tcPr>
            <w:tcW w:w="32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cccccc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6521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Funkcia</w:t>
            </w:r>
          </w:p>
        </w:tc>
        <w:tc>
          <w:tcPr>
            <w:tcW w:w="31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cccccc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6521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Meno a priezvisko</w:t>
            </w:r>
          </w:p>
        </w:tc>
      </w:tr>
      <w:tr>
        <w:trPr>
          <w:trHeight w:val="1" w:hRule="atLeast"/>
          <w:jc w:val="left"/>
        </w:trPr>
        <w:tc>
          <w:tcPr>
            <w:tcW w:w="30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cccccc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6521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Výkonné vedenie</w:t>
            </w:r>
          </w:p>
        </w:tc>
        <w:tc>
          <w:tcPr>
            <w:tcW w:w="32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6521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Konate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</w:p>
        </w:tc>
        <w:tc>
          <w:tcPr>
            <w:tcW w:w="31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6521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           Marc Thierry Siracusa</w:t>
            </w:r>
          </w:p>
        </w:tc>
      </w:tr>
    </w:tbl>
    <w:p>
      <w:pPr>
        <w:tabs>
          <w:tab w:val="left" w:pos="6521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521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81"/>
        </w:numPr>
        <w:tabs>
          <w:tab w:val="left" w:pos="567" w:leader="none"/>
        </w:tabs>
        <w:spacing w:before="0" w:after="0" w:line="240"/>
        <w:ind w:right="0" w:left="432" w:hanging="432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Štrukt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úra spolo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íkov a ich podiel na základnom imaní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tabs>
          <w:tab w:val="left" w:pos="6521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2025</w:t>
      </w:r>
    </w:p>
    <w:tbl>
      <w:tblPr>
        <w:tblInd w:w="108" w:type="dxa"/>
      </w:tblPr>
      <w:tblGrid>
        <w:gridCol w:w="2552"/>
        <w:gridCol w:w="1559"/>
        <w:gridCol w:w="1276"/>
        <w:gridCol w:w="1843"/>
        <w:gridCol w:w="2119"/>
        <w:gridCol w:w="1559"/>
      </w:tblGrid>
      <w:tr>
        <w:trPr>
          <w:trHeight w:val="1" w:hRule="atLeast"/>
          <w:jc w:val="left"/>
          <w:cantSplit w:val="1"/>
        </w:trPr>
        <w:tc>
          <w:tcPr>
            <w:tcW w:w="2552" w:type="dxa"/>
            <w:vMerge w:val="restart"/>
            <w:tcBorders>
              <w:top w:val="single" w:color="000000" w:sz="4"/>
              <w:left w:val="single" w:color="000000" w:sz="4"/>
              <w:bottom w:val="single" w:color="c0c0c0" w:sz="4"/>
              <w:right w:val="single" w:color="c0c0c0" w:sz="4"/>
            </w:tcBorders>
            <w:shd w:color="auto" w:fill="cccccc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6521" w:leader="none"/>
              </w:tabs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tabs>
                <w:tab w:val="left" w:pos="6521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Spolo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čn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íci</w:t>
            </w:r>
          </w:p>
        </w:tc>
        <w:tc>
          <w:tcPr>
            <w:tcW w:w="2835" w:type="dxa"/>
            <w:gridSpan w:val="2"/>
            <w:tcBorders>
              <w:top w:val="single" w:color="000000" w:sz="4"/>
              <w:left w:val="single" w:color="c0c0c0" w:sz="4"/>
              <w:bottom w:val="single" w:color="c0c0c0" w:sz="4"/>
              <w:right w:val="single" w:color="c0c0c0" w:sz="4"/>
            </w:tcBorders>
            <w:shd w:color="auto" w:fill="cccccc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6521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Podiel na základnom imaní</w:t>
            </w:r>
          </w:p>
        </w:tc>
        <w:tc>
          <w:tcPr>
            <w:tcW w:w="1843" w:type="dxa"/>
            <w:tcBorders>
              <w:top w:val="single" w:color="000000" w:sz="4"/>
              <w:left w:val="single" w:color="c0c0c0" w:sz="4"/>
              <w:bottom w:val="single" w:color="c0c0c0" w:sz="4"/>
              <w:right w:val="single" w:color="c0c0c0" w:sz="4"/>
            </w:tcBorders>
            <w:shd w:color="auto" w:fill="cccccc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521" w:leader="none"/>
              </w:tabs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Hlasovacie práva</w:t>
            </w:r>
          </w:p>
          <w:p>
            <w:pPr>
              <w:tabs>
                <w:tab w:val="left" w:pos="6521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v %</w:t>
            </w:r>
          </w:p>
        </w:tc>
        <w:tc>
          <w:tcPr>
            <w:tcW w:w="2119" w:type="dxa"/>
            <w:tcBorders>
              <w:top w:val="single" w:color="000000" w:sz="4"/>
              <w:left w:val="single" w:color="c0c0c0" w:sz="4"/>
              <w:bottom w:val="single" w:color="c0c0c0" w:sz="4"/>
              <w:right w:val="single" w:color="000000" w:sz="4"/>
            </w:tcBorders>
            <w:shd w:color="auto" w:fill="cccccc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6521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Podiel na ostatných polo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žk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ách vlastného imania v %</w:t>
            </w:r>
          </w:p>
        </w:tc>
      </w:tr>
      <w:tr>
        <w:trPr>
          <w:trHeight w:val="1" w:hRule="atLeast"/>
          <w:jc w:val="left"/>
        </w:trPr>
        <w:tc>
          <w:tcPr>
            <w:tcW w:w="2552" w:type="dxa"/>
            <w:vMerge/>
            <w:tcBorders>
              <w:top w:val="single" w:color="c0c0c0" w:sz="4"/>
              <w:left w:val="single" w:color="000000" w:sz="4"/>
              <w:bottom w:val="single" w:color="000000" w:sz="4"/>
              <w:right w:val="single" w:color="c0c0c0" w:sz="4"/>
            </w:tcBorders>
            <w:shd w:color="auto" w:fill="cccccc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9" w:type="dxa"/>
            <w:tcBorders>
              <w:top w:val="single" w:color="c0c0c0" w:sz="4"/>
              <w:left w:val="single" w:color="c0c0c0" w:sz="4"/>
              <w:bottom w:val="single" w:color="000000" w:sz="4"/>
              <w:right w:val="single" w:color="c0c0c0" w:sz="4"/>
            </w:tcBorders>
            <w:shd w:color="auto" w:fill="cccccc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6521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v Eur</w:t>
            </w:r>
          </w:p>
        </w:tc>
        <w:tc>
          <w:tcPr>
            <w:tcW w:w="1276" w:type="dxa"/>
            <w:tcBorders>
              <w:top w:val="single" w:color="c0c0c0" w:sz="4"/>
              <w:left w:val="single" w:color="c0c0c0" w:sz="4"/>
              <w:bottom w:val="single" w:color="000000" w:sz="4"/>
              <w:right w:val="single" w:color="c0c0c0" w:sz="4"/>
            </w:tcBorders>
            <w:shd w:color="auto" w:fill="cccccc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521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v %</w:t>
            </w:r>
          </w:p>
        </w:tc>
        <w:tc>
          <w:tcPr>
            <w:tcW w:w="1843" w:type="dxa"/>
            <w:tcBorders>
              <w:top w:val="single" w:color="c0c0c0" w:sz="4"/>
              <w:left w:val="single" w:color="c0c0c0" w:sz="4"/>
              <w:bottom w:val="single" w:color="000000" w:sz="4"/>
              <w:right w:val="single" w:color="c0c0c0" w:sz="4"/>
            </w:tcBorders>
            <w:shd w:color="auto" w:fill="cccccc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6521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78" w:type="dxa"/>
            <w:gridSpan w:val="2"/>
            <w:tcBorders>
              <w:top w:val="single" w:color="c0c0c0" w:sz="4"/>
              <w:left w:val="single" w:color="c0c0c0" w:sz="4"/>
              <w:bottom w:val="single" w:color="000000" w:sz="4"/>
              <w:right w:val="single" w:color="000000" w:sz="4"/>
            </w:tcBorders>
            <w:shd w:color="auto" w:fill="cccccc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6521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521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Marc Thierry Siracusa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521" w:leader="none"/>
              </w:tabs>
              <w:spacing w:before="0" w:after="0" w:line="240"/>
              <w:ind w:right="459" w:left="0" w:firstLine="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6 639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521" w:leader="none"/>
              </w:tabs>
              <w:spacing w:before="0" w:after="0" w:line="240"/>
              <w:ind w:right="601" w:left="0" w:firstLine="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100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521" w:leader="none"/>
              </w:tabs>
              <w:spacing w:before="0" w:after="0" w:line="240"/>
              <w:ind w:right="851" w:left="0" w:firstLine="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100</w:t>
            </w:r>
          </w:p>
        </w:tc>
        <w:tc>
          <w:tcPr>
            <w:tcW w:w="3678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521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100</w:t>
            </w:r>
          </w:p>
        </w:tc>
      </w:tr>
      <w:tr>
        <w:trPr>
          <w:trHeight w:val="1" w:hRule="atLeast"/>
          <w:jc w:val="left"/>
        </w:trPr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521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Celkom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84" w:leader="none"/>
                <w:tab w:val="left" w:pos="6521" w:leader="none"/>
              </w:tabs>
              <w:spacing w:before="0" w:after="0" w:line="240"/>
              <w:ind w:right="459" w:left="0" w:firstLine="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6.639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521" w:leader="none"/>
              </w:tabs>
              <w:spacing w:before="0" w:after="0" w:line="240"/>
              <w:ind w:right="601" w:left="0" w:firstLine="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100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521" w:leader="none"/>
              </w:tabs>
              <w:spacing w:before="0" w:after="0" w:line="240"/>
              <w:ind w:right="851" w:left="0" w:firstLine="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100</w:t>
            </w:r>
          </w:p>
        </w:tc>
        <w:tc>
          <w:tcPr>
            <w:tcW w:w="3678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521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100</w:t>
            </w:r>
          </w:p>
        </w:tc>
      </w:tr>
    </w:tbl>
    <w:p>
      <w:pPr>
        <w:tabs>
          <w:tab w:val="left" w:pos="6521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521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2024</w:t>
      </w:r>
    </w:p>
    <w:tbl>
      <w:tblPr>
        <w:tblInd w:w="108" w:type="dxa"/>
      </w:tblPr>
      <w:tblGrid>
        <w:gridCol w:w="2552"/>
        <w:gridCol w:w="1559"/>
        <w:gridCol w:w="1276"/>
        <w:gridCol w:w="1843"/>
        <w:gridCol w:w="2119"/>
        <w:gridCol w:w="1559"/>
      </w:tblGrid>
      <w:tr>
        <w:trPr>
          <w:trHeight w:val="1" w:hRule="atLeast"/>
          <w:jc w:val="left"/>
          <w:cantSplit w:val="1"/>
        </w:trPr>
        <w:tc>
          <w:tcPr>
            <w:tcW w:w="2552" w:type="dxa"/>
            <w:vMerge w:val="restart"/>
            <w:tcBorders>
              <w:top w:val="single" w:color="000000" w:sz="4"/>
              <w:left w:val="single" w:color="000000" w:sz="4"/>
              <w:bottom w:val="single" w:color="c0c0c0" w:sz="4"/>
              <w:right w:val="single" w:color="c0c0c0" w:sz="4"/>
            </w:tcBorders>
            <w:shd w:color="auto" w:fill="cccccc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6521" w:leader="none"/>
              </w:tabs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tabs>
                <w:tab w:val="left" w:pos="6521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Spolo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čn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íci</w:t>
            </w:r>
          </w:p>
        </w:tc>
        <w:tc>
          <w:tcPr>
            <w:tcW w:w="2835" w:type="dxa"/>
            <w:gridSpan w:val="2"/>
            <w:tcBorders>
              <w:top w:val="single" w:color="000000" w:sz="4"/>
              <w:left w:val="single" w:color="c0c0c0" w:sz="4"/>
              <w:bottom w:val="single" w:color="c0c0c0" w:sz="4"/>
              <w:right w:val="single" w:color="c0c0c0" w:sz="4"/>
            </w:tcBorders>
            <w:shd w:color="auto" w:fill="cccccc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6521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Podiel na základnom imaní</w:t>
            </w:r>
          </w:p>
        </w:tc>
        <w:tc>
          <w:tcPr>
            <w:tcW w:w="1843" w:type="dxa"/>
            <w:tcBorders>
              <w:top w:val="single" w:color="000000" w:sz="4"/>
              <w:left w:val="single" w:color="c0c0c0" w:sz="4"/>
              <w:bottom w:val="single" w:color="c0c0c0" w:sz="4"/>
              <w:right w:val="single" w:color="c0c0c0" w:sz="4"/>
            </w:tcBorders>
            <w:shd w:color="auto" w:fill="cccccc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521" w:leader="none"/>
              </w:tabs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Hlasovacie práva</w:t>
            </w:r>
          </w:p>
          <w:p>
            <w:pPr>
              <w:tabs>
                <w:tab w:val="left" w:pos="6521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v %</w:t>
            </w:r>
          </w:p>
        </w:tc>
        <w:tc>
          <w:tcPr>
            <w:tcW w:w="2119" w:type="dxa"/>
            <w:tcBorders>
              <w:top w:val="single" w:color="000000" w:sz="4"/>
              <w:left w:val="single" w:color="c0c0c0" w:sz="4"/>
              <w:bottom w:val="single" w:color="c0c0c0" w:sz="4"/>
              <w:right w:val="single" w:color="000000" w:sz="4"/>
            </w:tcBorders>
            <w:shd w:color="auto" w:fill="cccccc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6521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Podiel na ostatných polo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žk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ách vlastného imania v %</w:t>
            </w:r>
          </w:p>
        </w:tc>
      </w:tr>
      <w:tr>
        <w:trPr>
          <w:trHeight w:val="1" w:hRule="atLeast"/>
          <w:jc w:val="left"/>
        </w:trPr>
        <w:tc>
          <w:tcPr>
            <w:tcW w:w="2552" w:type="dxa"/>
            <w:vMerge/>
            <w:tcBorders>
              <w:top w:val="single" w:color="c0c0c0" w:sz="4"/>
              <w:left w:val="single" w:color="000000" w:sz="4"/>
              <w:bottom w:val="single" w:color="000000" w:sz="4"/>
              <w:right w:val="single" w:color="c0c0c0" w:sz="4"/>
            </w:tcBorders>
            <w:shd w:color="auto" w:fill="cccccc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9" w:type="dxa"/>
            <w:tcBorders>
              <w:top w:val="single" w:color="c0c0c0" w:sz="4"/>
              <w:left w:val="single" w:color="c0c0c0" w:sz="4"/>
              <w:bottom w:val="single" w:color="000000" w:sz="4"/>
              <w:right w:val="single" w:color="c0c0c0" w:sz="4"/>
            </w:tcBorders>
            <w:shd w:color="auto" w:fill="cccccc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6521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v  EUR</w:t>
            </w:r>
          </w:p>
        </w:tc>
        <w:tc>
          <w:tcPr>
            <w:tcW w:w="1276" w:type="dxa"/>
            <w:tcBorders>
              <w:top w:val="single" w:color="c0c0c0" w:sz="4"/>
              <w:left w:val="single" w:color="c0c0c0" w:sz="4"/>
              <w:bottom w:val="single" w:color="000000" w:sz="4"/>
              <w:right w:val="single" w:color="c0c0c0" w:sz="4"/>
            </w:tcBorders>
            <w:shd w:color="auto" w:fill="cccccc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521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v %</w:t>
            </w:r>
          </w:p>
        </w:tc>
        <w:tc>
          <w:tcPr>
            <w:tcW w:w="1843" w:type="dxa"/>
            <w:tcBorders>
              <w:top w:val="single" w:color="c0c0c0" w:sz="4"/>
              <w:left w:val="single" w:color="c0c0c0" w:sz="4"/>
              <w:bottom w:val="single" w:color="000000" w:sz="4"/>
              <w:right w:val="single" w:color="c0c0c0" w:sz="4"/>
            </w:tcBorders>
            <w:shd w:color="auto" w:fill="cccccc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6521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78" w:type="dxa"/>
            <w:gridSpan w:val="2"/>
            <w:tcBorders>
              <w:top w:val="single" w:color="c0c0c0" w:sz="4"/>
              <w:left w:val="single" w:color="c0c0c0" w:sz="4"/>
              <w:bottom w:val="single" w:color="000000" w:sz="4"/>
              <w:right w:val="single" w:color="000000" w:sz="4"/>
            </w:tcBorders>
            <w:shd w:color="auto" w:fill="cccccc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6521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521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Marc Thierry Siracusa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521" w:leader="none"/>
              </w:tabs>
              <w:spacing w:before="0" w:after="0" w:line="240"/>
              <w:ind w:right="459" w:left="0" w:firstLine="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6 639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521" w:leader="none"/>
              </w:tabs>
              <w:spacing w:before="0" w:after="0" w:line="240"/>
              <w:ind w:right="601" w:left="0" w:firstLine="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100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521" w:leader="none"/>
              </w:tabs>
              <w:spacing w:before="0" w:after="0" w:line="240"/>
              <w:ind w:right="851" w:left="0" w:firstLine="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100</w:t>
            </w:r>
          </w:p>
        </w:tc>
        <w:tc>
          <w:tcPr>
            <w:tcW w:w="3678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521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100</w:t>
            </w:r>
          </w:p>
        </w:tc>
      </w:tr>
      <w:tr>
        <w:trPr>
          <w:trHeight w:val="1" w:hRule="atLeast"/>
          <w:jc w:val="left"/>
        </w:trPr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521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Celkom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84" w:leader="none"/>
                <w:tab w:val="left" w:pos="6521" w:leader="none"/>
              </w:tabs>
              <w:spacing w:before="0" w:after="0" w:line="240"/>
              <w:ind w:right="459" w:left="0" w:firstLine="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6.639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521" w:leader="none"/>
              </w:tabs>
              <w:spacing w:before="0" w:after="0" w:line="240"/>
              <w:ind w:right="601" w:left="0" w:firstLine="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100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521" w:leader="none"/>
              </w:tabs>
              <w:spacing w:before="0" w:after="0" w:line="240"/>
              <w:ind w:right="851" w:left="0" w:firstLine="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100</w:t>
            </w:r>
          </w:p>
        </w:tc>
        <w:tc>
          <w:tcPr>
            <w:tcW w:w="3678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521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100</w:t>
            </w:r>
          </w:p>
        </w:tc>
      </w:tr>
    </w:tbl>
    <w:p>
      <w:pPr>
        <w:tabs>
          <w:tab w:val="left" w:pos="425" w:leader="none"/>
          <w:tab w:val="left" w:pos="567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22"/>
          <w:u w:val="single"/>
          <w:shd w:fill="auto" w:val="clear"/>
        </w:rPr>
      </w:pPr>
    </w:p>
    <w:p>
      <w:pPr>
        <w:tabs>
          <w:tab w:val="left" w:pos="425" w:leader="none"/>
          <w:tab w:val="left" w:pos="567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22"/>
          <w:u w:val="single"/>
          <w:shd w:fill="auto" w:val="clear"/>
        </w:rPr>
        <w:t xml:space="preserve">INFORMÁCIE O Ú</w:t>
      </w:r>
      <w:r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22"/>
          <w:u w:val="single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22"/>
          <w:u w:val="single"/>
          <w:shd w:fill="auto" w:val="clear"/>
        </w:rPr>
        <w:t xml:space="preserve">ÝCH METÓDACH A V</w:t>
      </w:r>
      <w:r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22"/>
          <w:u w:val="single"/>
          <w:shd w:fill="auto" w:val="clear"/>
        </w:rPr>
        <w:t xml:space="preserve">ŠEOBECN</w:t>
      </w:r>
      <w:r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22"/>
          <w:u w:val="single"/>
          <w:shd w:fill="auto" w:val="clear"/>
        </w:rPr>
        <w:t xml:space="preserve">ÝCH Ú</w:t>
      </w:r>
      <w:r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22"/>
          <w:u w:val="single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22"/>
          <w:u w:val="single"/>
          <w:shd w:fill="auto" w:val="clear"/>
        </w:rPr>
        <w:t xml:space="preserve">ÝCH ZÁSADÁCH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27"/>
        </w:numPr>
        <w:tabs>
          <w:tab w:val="left" w:pos="360" w:leader="none"/>
        </w:tabs>
        <w:spacing w:before="0" w:after="0" w:line="240"/>
        <w:ind w:right="0" w:left="36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čnosť uplatňuje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é princípy a postupy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čtovania v 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úlade so zákonom o 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íctve a s postupmi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čtovania pre podnikateľov, ktor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é platia v Slovenskej republike.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íctvo sa vedie v pe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ňažn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ých jednotkách €, t. j. v eurách. </w:t>
      </w:r>
    </w:p>
    <w:p>
      <w:pPr>
        <w:tabs>
          <w:tab w:val="left" w:pos="425" w:leader="none"/>
        </w:tabs>
        <w:spacing w:before="0" w:after="0" w:line="240"/>
        <w:ind w:right="0" w:left="567" w:hanging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29"/>
        </w:numPr>
        <w:tabs>
          <w:tab w:val="left" w:pos="360" w:leader="none"/>
        </w:tabs>
        <w:spacing w:before="0" w:after="0" w:line="240"/>
        <w:ind w:right="0" w:left="36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íctvo sa vedie na základe dodr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žania časovej a vecnej 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úvislosti nákladov a výnosov. Za základ sa berú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šetky 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áklady a výnosy, ktoré sa vz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ťahuj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ú na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é obdobie bez oh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ľadu na 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átum ich platenia. </w:t>
      </w:r>
    </w:p>
    <w:p>
      <w:pPr>
        <w:tabs>
          <w:tab w:val="left" w:pos="425" w:leader="none"/>
        </w:tabs>
        <w:spacing w:before="0" w:after="0" w:line="240"/>
        <w:ind w:right="0" w:left="567" w:hanging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31"/>
        </w:numPr>
        <w:tabs>
          <w:tab w:val="left" w:pos="360" w:leader="none"/>
        </w:tabs>
        <w:spacing w:before="0" w:after="0" w:line="240"/>
        <w:ind w:right="0" w:left="36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Pri oce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ňovan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í majetku a záväzkov sa uplat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ňuje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ásada opatrnosti, t. j. berú sa za základ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šetky rizik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á, straty a zní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ženia hodnoty, ktor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é sa týkajú majetku a záväzkov a sú známe ku 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ňu, ku ktor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ému sa zostavuje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 závierka.</w:t>
      </w:r>
    </w:p>
    <w:p>
      <w:pPr>
        <w:tabs>
          <w:tab w:val="left" w:pos="425" w:leader="none"/>
        </w:tabs>
        <w:spacing w:before="0" w:after="0" w:line="240"/>
        <w:ind w:right="0" w:left="567" w:hanging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33"/>
        </w:numPr>
        <w:tabs>
          <w:tab w:val="left" w:pos="360" w:leader="none"/>
        </w:tabs>
        <w:spacing w:before="0" w:after="0" w:line="240"/>
        <w:ind w:right="0" w:left="36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Moment zaú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čtovania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ýnosov. Výnosy sa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ú pri splnení dodacích podmienok, nako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ľko v tomto okamihu prech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ádzajú na odberate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ľa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ýznamné riziká a vlastnícke práva.</w:t>
      </w:r>
    </w:p>
    <w:p>
      <w:pPr>
        <w:tabs>
          <w:tab w:val="left" w:pos="425" w:leader="none"/>
        </w:tabs>
        <w:spacing w:before="0" w:after="0" w:line="240"/>
        <w:ind w:right="0" w:left="567" w:hanging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35"/>
        </w:numPr>
        <w:tabs>
          <w:tab w:val="left" w:pos="360" w:leader="none"/>
        </w:tabs>
        <w:spacing w:before="0" w:after="0" w:line="240"/>
        <w:ind w:right="0" w:left="36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Dlhodobé a krátkodobé poh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ľad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ávky, záväzky, úvery a pô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žičky. Pohľad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ávky a záväzky sa v súvahe vykazujú ako dlhodobé alebo krátkodobé pod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ľa zostatkovej doby splatnosti ku dňu, ku ktor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ému sa zostavuje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 závierka.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Časť dlhodobej pohľad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ávky a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časť dlhodob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ého záväzku, ktorých splatnos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ť nie je dlhšia ako jeden rok odo dňa, ku ktor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ému sa zostavuje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 závierka, sa vykazuje v súvahe ako krátkodobá poh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ľad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ávka alebo krátkodobý záväzok.</w:t>
      </w:r>
    </w:p>
    <w:p>
      <w:pPr>
        <w:tabs>
          <w:tab w:val="left" w:pos="425" w:leader="none"/>
        </w:tabs>
        <w:spacing w:before="0" w:after="0" w:line="240"/>
        <w:ind w:right="0" w:left="567" w:hanging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37"/>
        </w:numPr>
        <w:tabs>
          <w:tab w:val="left" w:pos="360" w:leader="none"/>
        </w:tabs>
        <w:spacing w:before="0" w:after="0" w:line="240"/>
        <w:ind w:right="0" w:left="36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žitie odhadov. Zostavenie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ávierky si vy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žaduje, aby vedenie podniku vypracovalo odhady a predpoklady, ktor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é majú vplyv na vykazované sumy aktív a pasív, uvedenie mo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ých budúcich aktív a pasív k dátumu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ávierky, ako aj na vykazovanú vý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šku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ýnosov a nákladov 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čas roka. Skutočn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é výsledky sa mô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žu od tak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ýchto odhadov lí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šiť.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39"/>
        </w:numPr>
        <w:tabs>
          <w:tab w:val="left" w:pos="360" w:leader="none"/>
        </w:tabs>
        <w:spacing w:before="0" w:after="0" w:line="240"/>
        <w:ind w:right="0" w:left="36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Spôsob ocenenia jednotlivých zlo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žiek majetku a 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áväzkov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prvé ocenenie</w:t>
      </w:r>
    </w:p>
    <w:p>
      <w:pPr>
        <w:tabs>
          <w:tab w:val="left" w:pos="284" w:leader="none"/>
        </w:tabs>
        <w:spacing w:before="0" w:after="0" w:line="240"/>
        <w:ind w:right="0" w:left="284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36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Pri obstaraní majetku sa uplat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ňuje princ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íp obstarávacích cien (t. j. historických cien). Ocenenie jednotlivých 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žiek majetku a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áväzkov je takéto:</w:t>
      </w:r>
    </w:p>
    <w:p>
      <w:pPr>
        <w:tabs>
          <w:tab w:val="left" w:pos="284" w:leader="none"/>
        </w:tabs>
        <w:spacing w:before="0" w:after="0" w:line="240"/>
        <w:ind w:right="0" w:left="284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43"/>
        </w:numPr>
        <w:tabs>
          <w:tab w:val="left" w:pos="1440" w:leader="none"/>
        </w:tabs>
        <w:spacing w:before="0" w:after="0" w:line="240"/>
        <w:ind w:right="0" w:left="144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dlhodobý hmotný a nehmotný majetok obstaraný kúpou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obstarávacou cenou; obstarávacia cena je cena, za ktorú sa majetok obstaral, a náklady súvisiace s jeho obstaraním (prepravné a clo),</w:t>
      </w:r>
    </w:p>
    <w:p>
      <w:pPr>
        <w:spacing w:before="0" w:after="0" w:line="240"/>
        <w:ind w:right="0" w:left="709" w:hanging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709" w:hanging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45"/>
        </w:numPr>
        <w:tabs>
          <w:tab w:val="left" w:pos="1440" w:leader="none"/>
        </w:tabs>
        <w:spacing w:before="0" w:after="0" w:line="240"/>
        <w:ind w:right="0" w:left="144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dlhodobý hmotný majetok vytvorený vlastnou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činnosťou - vlastn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ými nákladmi; vlastné náklady zah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ŕňaj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ú priame náklady vynalo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é na výrobu alebo inú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činnosť, a nepriame 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áklady, ktoré sa vz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ťahuj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ú na výrobu alebo inú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činnosť,</w:t>
      </w:r>
    </w:p>
    <w:p>
      <w:pPr>
        <w:spacing w:before="0" w:after="0" w:line="240"/>
        <w:ind w:right="0" w:left="709" w:hanging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47"/>
        </w:numPr>
        <w:tabs>
          <w:tab w:val="left" w:pos="1440" w:leader="none"/>
        </w:tabs>
        <w:spacing w:before="0" w:after="0" w:line="240"/>
        <w:ind w:right="0" w:left="144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dlhodobý nehmotný a hmotný majetok obstaraný iným spôsobom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reproduk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čnou obstar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ávacou cenou v prípade bezodplatného nadobudnutia majetku alebo majetku novo zisteného pri inventarizácii; t. j. cenou, za ktorú by sa majetok obstaral v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čase, keď sa o ňom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čtuje,</w:t>
      </w:r>
    </w:p>
    <w:p>
      <w:pPr>
        <w:spacing w:before="0" w:after="0" w:line="240"/>
        <w:ind w:right="0" w:left="709" w:hanging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49"/>
        </w:numPr>
        <w:tabs>
          <w:tab w:val="left" w:pos="1440" w:leader="none"/>
        </w:tabs>
        <w:spacing w:before="0" w:after="0" w:line="240"/>
        <w:ind w:right="0" w:left="144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dlhodobý finan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ý majetok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obstarávacou cenou; obstarávacia cena predstavuje cenu, za ktorú sa majetok obstaral, a náklady súvisiace s jeho obstaraním (poplatky a provízie maklérom, poradcom, burzám),</w:t>
      </w:r>
    </w:p>
    <w:p>
      <w:pPr>
        <w:tabs>
          <w:tab w:val="left" w:pos="530" w:leader="none"/>
        </w:tabs>
        <w:spacing w:before="0" w:after="0" w:line="240"/>
        <w:ind w:right="0" w:left="709" w:hanging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51"/>
        </w:numPr>
        <w:tabs>
          <w:tab w:val="left" w:pos="1440" w:leader="none"/>
        </w:tabs>
        <w:spacing w:before="0" w:after="0" w:line="240"/>
        <w:ind w:right="0" w:left="144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zásoby obstarané kúpou:</w:t>
      </w:r>
    </w:p>
    <w:p>
      <w:pPr>
        <w:tabs>
          <w:tab w:val="left" w:pos="709" w:leader="none"/>
        </w:tabs>
        <w:spacing w:before="0" w:after="0" w:line="240"/>
        <w:ind w:right="0" w:left="1701" w:hanging="283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nakupovaný materiál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obstarávacou cenou; pri úbytku rovnakého druhu zásob sa pou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íva metóda FIFO,</w:t>
      </w:r>
    </w:p>
    <w:p>
      <w:pPr>
        <w:tabs>
          <w:tab w:val="left" w:pos="709" w:leader="none"/>
        </w:tabs>
        <w:spacing w:before="0" w:after="0" w:line="240"/>
        <w:ind w:right="0" w:left="1701" w:hanging="26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nakupovaný tovar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obstarávacou cenou; pri úbytku rovnakého druhu zásob sa pou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íva metóda FIFO,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55"/>
        </w:numPr>
        <w:tabs>
          <w:tab w:val="left" w:pos="1440" w:leader="none"/>
        </w:tabs>
        <w:spacing w:before="0" w:after="0" w:line="240"/>
        <w:ind w:right="0" w:left="144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zásoby vytvorené vlastnou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činnosťou:</w:t>
      </w:r>
    </w:p>
    <w:p>
      <w:pPr>
        <w:tabs>
          <w:tab w:val="left" w:pos="709" w:leader="none"/>
        </w:tabs>
        <w:spacing w:before="0" w:after="0" w:line="240"/>
        <w:ind w:right="0" w:left="1701" w:hanging="283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nedokon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 výroba, polotovary a výrobky sa oce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ňuj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ú vlastnými nákladmi, ktoré zah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ŕňaj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ú priame náklady vynalo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é na výrobu alebo inú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činnosť, pr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ípadne aj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časť nepriamych 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ákladov, ktoré sa vz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ťahuj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ú na výrobu alebo na inú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činnosť, </w:t>
      </w:r>
    </w:p>
    <w:p>
      <w:pPr>
        <w:spacing w:before="0" w:after="0" w:line="240"/>
        <w:ind w:right="0" w:left="284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58"/>
        </w:numPr>
        <w:tabs>
          <w:tab w:val="left" w:pos="1440" w:leader="none"/>
        </w:tabs>
        <w:spacing w:before="0" w:after="0" w:line="240"/>
        <w:ind w:right="0" w:left="144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zásoby obstarané iným spôsobom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reproduk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čnou obstar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ávacou cenou v prípade bezodplatného nadobudnutia zásob alebo zásob novo zistených pri inventarizácii; t. j. cenou, za ktorú by sa majetok obstaral v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čase, keď sa o ňom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čtuje,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60"/>
        </w:numPr>
        <w:tabs>
          <w:tab w:val="left" w:pos="1440" w:leader="none"/>
        </w:tabs>
        <w:spacing w:before="0" w:after="0" w:line="240"/>
        <w:ind w:right="0" w:left="144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poh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ľad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ávky:</w:t>
      </w:r>
    </w:p>
    <w:p>
      <w:pPr>
        <w:spacing w:before="0" w:after="0" w:line="240"/>
        <w:ind w:right="0" w:left="144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pri ich vzniku alebo bezodplatnom nadobudnutí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menovitou hodnotou. Hodnota pochybn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ých a nevymo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žiteľn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ých poh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ľad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ávok sa zni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žuje opravnou položkou,</w:t>
      </w:r>
    </w:p>
    <w:p>
      <w:pPr>
        <w:spacing w:before="0" w:after="0" w:line="240"/>
        <w:ind w:right="0" w:left="144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pri odplatnom nadobudnutí (postúpení) alebo nadobudnutí vkladom do základného imania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obstarávacou cenou,</w:t>
      </w:r>
    </w:p>
    <w:p>
      <w:pPr>
        <w:spacing w:before="0" w:after="0" w:line="240"/>
        <w:ind w:right="0" w:left="709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63"/>
        </w:numPr>
        <w:tabs>
          <w:tab w:val="left" w:pos="1440" w:leader="none"/>
        </w:tabs>
        <w:spacing w:before="0" w:after="0" w:line="240"/>
        <w:ind w:right="0" w:left="144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krátkodobý finan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ý majetok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obstarávacou cenou; obstarávacia cena je cena, za ktorú sa majetok obstaral, a náklady súvisiace s jeho obstaraním (poplatky a provízie maklérom, poradcom, burzám),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65"/>
        </w:numPr>
        <w:tabs>
          <w:tab w:val="left" w:pos="1440" w:leader="none"/>
        </w:tabs>
        <w:spacing w:before="0" w:after="0" w:line="240"/>
        <w:ind w:right="0" w:left="144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časov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é rozlí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šenie na strane akt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ív súvahy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menovitou hodnotou,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67"/>
        </w:numPr>
        <w:tabs>
          <w:tab w:val="left" w:pos="1440" w:leader="none"/>
        </w:tabs>
        <w:spacing w:before="0" w:after="0" w:line="240"/>
        <w:ind w:right="0" w:left="144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záväzky:</w:t>
      </w:r>
    </w:p>
    <w:p>
      <w:pPr>
        <w:spacing w:before="0" w:after="0" w:line="240"/>
        <w:ind w:right="0" w:left="144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pri ich vzniku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menovitou hodnotou, ak sa pri inventariz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ácii zistí,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že suma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áväzkov je iná ako ich vý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ška v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íctve, uvedú sa záväzky v 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íctve a v 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ávierke v tomto zistenom ocenení, pri prevzatí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obstarávacou cenou,</w:t>
      </w:r>
    </w:p>
    <w:p>
      <w:pPr>
        <w:tabs>
          <w:tab w:val="left" w:pos="4536" w:leader="none"/>
          <w:tab w:val="left" w:pos="9072" w:leader="none"/>
          <w:tab w:val="left" w:pos="709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70"/>
        </w:numPr>
        <w:tabs>
          <w:tab w:val="left" w:pos="1440" w:leader="none"/>
        </w:tabs>
        <w:spacing w:before="0" w:after="0" w:line="240"/>
        <w:ind w:right="0" w:left="144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rezervy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v 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čak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ávanej vý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ške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áväzku,</w:t>
      </w:r>
    </w:p>
    <w:p>
      <w:pPr>
        <w:spacing w:before="0" w:after="0" w:line="240"/>
        <w:ind w:right="0" w:left="284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72"/>
        </w:numPr>
        <w:tabs>
          <w:tab w:val="left" w:pos="1440" w:leader="none"/>
        </w:tabs>
        <w:spacing w:before="0" w:after="0" w:line="240"/>
        <w:ind w:right="0" w:left="144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žičky,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úvery: </w:t>
      </w:r>
    </w:p>
    <w:p>
      <w:pPr>
        <w:spacing w:before="0" w:after="0" w:line="240"/>
        <w:ind w:right="0" w:left="144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pri ich vzniku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menovitou hodnotou,</w:t>
      </w:r>
    </w:p>
    <w:p>
      <w:pPr>
        <w:spacing w:before="0" w:after="0" w:line="240"/>
        <w:ind w:right="0" w:left="144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pri prevzatí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obstarávacou cenou,</w:t>
      </w:r>
    </w:p>
    <w:p>
      <w:pPr>
        <w:spacing w:before="0" w:after="0" w:line="240"/>
        <w:ind w:right="0" w:left="709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144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Úroky z dlhopisov, pô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žičiek a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úverov sa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ú do obdobia, s ktorým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časovo a vecne 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úvisia.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77"/>
        </w:numPr>
        <w:tabs>
          <w:tab w:val="left" w:pos="1440" w:leader="none"/>
        </w:tabs>
        <w:spacing w:before="0" w:after="0" w:line="240"/>
        <w:ind w:right="0" w:left="144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časov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é rozlí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šenie na strane pas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ív súvahy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menovitou hodnotou,</w:t>
      </w:r>
    </w:p>
    <w:p>
      <w:pPr>
        <w:spacing w:before="0" w:after="0" w:line="240"/>
        <w:ind w:right="0" w:left="426" w:hanging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79"/>
        </w:numPr>
        <w:tabs>
          <w:tab w:val="left" w:pos="1440" w:leader="none"/>
        </w:tabs>
        <w:spacing w:before="0" w:after="0" w:line="240"/>
        <w:ind w:right="0" w:left="144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majetok obstaraný formou finan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ého lízingu, t.j. nájom s dohodnutým právom kúpy prenajatej veci, pri ktorom majetok nájomca 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íva za dohodnuté platby uhrádzané 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čas dohodnutej doby, je aktivovan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ý v de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ň prijatia predmetu 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ízingu v ocenení rovnajúcom sa istine. Lízingové splátky sú rozdelené medzi finan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ý náklad a zní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ženie nesplaten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ého záväzku, t.j. istinu. Finan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ý náklad sa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čtuje priamo cez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ýkaz ziskov a strát. 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čnosť si uplatňuje na tento majetok odpisy.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82"/>
        </w:numPr>
        <w:tabs>
          <w:tab w:val="left" w:pos="1440" w:leader="none"/>
        </w:tabs>
        <w:spacing w:before="0" w:after="0" w:line="240"/>
        <w:ind w:right="0" w:left="144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da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ň z pr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íjmov splatná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pod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ľa slovensk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ého zákona o daniach z príjmov sa splatné dane z príjmov ur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ú z 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ého zisku pri sadzbe 21 %, po úpravách o niektoré 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žky na daňov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é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čely,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85"/>
        </w:numPr>
        <w:tabs>
          <w:tab w:val="left" w:pos="1440" w:leader="none"/>
        </w:tabs>
        <w:spacing w:before="0" w:after="0" w:line="240"/>
        <w:ind w:right="0" w:left="144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da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ň z pr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íjmov odlo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čtuje sa pri dočasn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ých rozdieloch medzi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čtovnou hodnotou majetku a 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áväzkov vykázanou v súvahe a ich da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ňovou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áklad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ňou, pri možnosti umorovať daňov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ú stratu v budúcnosti a pri mo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žnosti previesť nevyužit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é da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é odpo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čty do bud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úcich období; pri ur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í vý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šky odloženej dane z pr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íjmov sa pou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žila sadzba dane z pr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íjmov platná v nasledujúcom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čtovnom obdob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í, t. j. 21 %,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87"/>
        </w:numPr>
        <w:tabs>
          <w:tab w:val="left" w:pos="360" w:leader="none"/>
        </w:tabs>
        <w:spacing w:before="0" w:after="0" w:line="240"/>
        <w:ind w:right="0" w:left="36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Spôsob ocenenia jednotlivých zlo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žiek majetku a 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áväzkov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nasledujúce ocenenie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89"/>
        </w:numPr>
        <w:tabs>
          <w:tab w:val="left" w:pos="1440" w:leader="none"/>
        </w:tabs>
        <w:spacing w:before="0" w:after="0" w:line="240"/>
        <w:ind w:right="0" w:left="144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Predpokladané riziká, straty a zní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ženia hodnoty, ktor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é sa týkajú majetku a záväzkov, sa vyjadrujú prostredníctvom rezerv, opravných 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žiek a odpisov: </w:t>
      </w:r>
    </w:p>
    <w:p>
      <w:pPr>
        <w:spacing w:before="0" w:after="0" w:line="240"/>
        <w:ind w:right="0" w:left="108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144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Rezervy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sa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ú v 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čak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ávanej vý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ške,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áväzku. </w:t>
      </w:r>
    </w:p>
    <w:p>
      <w:pPr>
        <w:spacing w:before="0" w:after="0" w:line="240"/>
        <w:ind w:right="0" w:left="655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93"/>
        </w:numPr>
        <w:tabs>
          <w:tab w:val="left" w:pos="1440" w:leader="none"/>
        </w:tabs>
        <w:spacing w:before="0" w:after="0" w:line="240"/>
        <w:ind w:right="0" w:left="144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Podiely na základnom imaní v obchodných 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čnostiach sa ponech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ávajú v pôvodnom ocenení. Ocenenie je zní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é opravnou 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žkou.</w:t>
      </w:r>
    </w:p>
    <w:p>
      <w:pPr>
        <w:spacing w:before="0" w:after="0" w:line="240"/>
        <w:ind w:right="0" w:left="108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tabs>
          <w:tab w:val="left" w:pos="709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96"/>
        </w:numPr>
        <w:tabs>
          <w:tab w:val="left" w:pos="360" w:leader="none"/>
        </w:tabs>
        <w:spacing w:before="0" w:after="0" w:line="240"/>
        <w:ind w:right="0" w:left="36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Prepo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čet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údajov v cudzích menách na € - Majetok a záväzky vyjadrené v cudzej mene sa prepo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ítavajú na € menu kurzom ur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ým v kurzovom lístku ECB ku 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ňu uskutočnenia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ého prípadu a v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ávierke ku 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ňu jej zostavenia. Pri 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úpe a predaji cudzej meny za euro menu sa pou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žil kurz, za ktor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ý boli tieto hodnoty nakúpené alebo predané.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</w:pPr>
    </w:p>
    <w:p>
      <w:pPr>
        <w:tabs>
          <w:tab w:val="left" w:pos="425" w:leader="none"/>
          <w:tab w:val="left" w:pos="567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22"/>
          <w:u w:val="single"/>
          <w:shd w:fill="auto" w:val="clear"/>
        </w:rPr>
      </w:pPr>
    </w:p>
    <w:p>
      <w:pPr>
        <w:tabs>
          <w:tab w:val="left" w:pos="425" w:leader="none"/>
          <w:tab w:val="left" w:pos="567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22"/>
          <w:u w:val="single"/>
          <w:shd w:fill="auto" w:val="clear"/>
        </w:rPr>
      </w:pPr>
    </w:p>
    <w:p>
      <w:pPr>
        <w:tabs>
          <w:tab w:val="left" w:pos="426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Informácie o dlhodobom nehmotnom majetku</w:t>
      </w:r>
    </w:p>
    <w:p>
      <w:pPr>
        <w:tabs>
          <w:tab w:val="left" w:pos="426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426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žiadne</w:t>
      </w:r>
    </w:p>
    <w:p>
      <w:pPr>
        <w:tabs>
          <w:tab w:val="left" w:pos="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Informácie o dlhodobom hmotnom majetku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žiadne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Informácie o dlhodobom finan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čnom majetku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Žiadne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Informácie o opravných polo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žk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ách k zásobám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žiadne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Informácie o zásobách, na ktoré je zriadené zálo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é právo a o zásobách, pri ktorých má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á jednotka obmedzené právo s nimi naklada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ť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žiadne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Informácie o vekovej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štrukt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úre poh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ľad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ávok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Poh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ľad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ávky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žiadne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Informácie  o vývoji opravnej polo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žky k pohľad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ávkam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žiadne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Informácie o poh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ľad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ávkach zabezpe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ých zálo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ým právom alebo inou formou zabezpe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čenia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u w:val="single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žiadne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Informácie o krátkodobom finan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čnom majetku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Finan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é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čty (r. 21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ávierky)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čnosť 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 finan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ý majetok v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štrukt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úre (v €)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tbl>
      <w:tblPr>
        <w:tblInd w:w="70" w:type="dxa"/>
      </w:tblPr>
      <w:tblGrid>
        <w:gridCol w:w="5387"/>
        <w:gridCol w:w="1984"/>
        <w:gridCol w:w="1984"/>
      </w:tblGrid>
      <w:tr>
        <w:trPr>
          <w:trHeight w:val="210" w:hRule="auto"/>
          <w:jc w:val="left"/>
          <w:cantSplit w:val="1"/>
        </w:trPr>
        <w:tc>
          <w:tcPr>
            <w:tcW w:w="53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cccccc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Polo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žka 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cccccc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2025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cccccc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2024</w:t>
            </w:r>
          </w:p>
        </w:tc>
      </w:tr>
      <w:tr>
        <w:trPr>
          <w:trHeight w:val="1" w:hRule="atLeast"/>
          <w:jc w:val="left"/>
        </w:trPr>
        <w:tc>
          <w:tcPr>
            <w:tcW w:w="53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cccccc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ňažn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prostriedky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3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cccccc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Peniaze a 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čty v bank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ách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8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535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8 979</w:t>
            </w:r>
          </w:p>
        </w:tc>
      </w:tr>
      <w:tr>
        <w:trPr>
          <w:trHeight w:val="1" w:hRule="atLeast"/>
          <w:jc w:val="left"/>
        </w:trPr>
        <w:tc>
          <w:tcPr>
            <w:tcW w:w="53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cccccc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8 535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8 979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ab/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Informácie o krátkodobom finan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čnom majetku, na ktor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ý bolo zriadené zálo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é právo a o krátkodobom finan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čnom majetku, pri ktorom m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á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á jednotka obmedzené právo s ním naklada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ť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Žiadne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Informácie  o významných polo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žk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ách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časov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ého rozlí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šenia na strane akt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ív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Žiadne</w:t>
      </w:r>
    </w:p>
    <w:p>
      <w:pPr>
        <w:tabs>
          <w:tab w:val="left" w:pos="425" w:leader="none"/>
          <w:tab w:val="left" w:pos="567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u w:val="single"/>
          <w:shd w:fill="auto" w:val="clear"/>
        </w:rPr>
      </w:pPr>
    </w:p>
    <w:p>
      <w:pPr>
        <w:tabs>
          <w:tab w:val="left" w:pos="425" w:leader="none"/>
          <w:tab w:val="left" w:pos="567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Informácie o majetku prenajatom formou finan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ého prenájmu</w:t>
      </w:r>
    </w:p>
    <w:p>
      <w:pPr>
        <w:tabs>
          <w:tab w:val="left" w:pos="425" w:leader="none"/>
          <w:tab w:val="left" w:pos="567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</w:pPr>
    </w:p>
    <w:p>
      <w:pPr>
        <w:tabs>
          <w:tab w:val="left" w:pos="425" w:leader="none"/>
          <w:tab w:val="left" w:pos="567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Žiadne</w:t>
      </w:r>
    </w:p>
    <w:p>
      <w:pPr>
        <w:tabs>
          <w:tab w:val="left" w:pos="425" w:leader="none"/>
          <w:tab w:val="left" w:pos="567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u w:val="single"/>
          <w:shd w:fill="auto" w:val="clear"/>
        </w:rPr>
      </w:pPr>
    </w:p>
    <w:p>
      <w:pPr>
        <w:tabs>
          <w:tab w:val="left" w:pos="425" w:leader="none"/>
          <w:tab w:val="left" w:pos="567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u w:val="single"/>
          <w:shd w:fill="auto" w:val="clear"/>
        </w:rPr>
      </w:pPr>
    </w:p>
    <w:p>
      <w:pPr>
        <w:tabs>
          <w:tab w:val="left" w:pos="425" w:leader="none"/>
          <w:tab w:val="left" w:pos="567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u w:val="single"/>
          <w:shd w:fill="auto" w:val="clear"/>
        </w:rPr>
      </w:pPr>
    </w:p>
    <w:p>
      <w:pPr>
        <w:tabs>
          <w:tab w:val="left" w:pos="425" w:leader="none"/>
          <w:tab w:val="left" w:pos="567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u w:val="single"/>
          <w:shd w:fill="auto" w:val="clear"/>
        </w:rPr>
      </w:pPr>
    </w:p>
    <w:p>
      <w:pPr>
        <w:tabs>
          <w:tab w:val="left" w:pos="425" w:leader="none"/>
          <w:tab w:val="left" w:pos="567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22"/>
          <w:u w:val="single"/>
          <w:shd w:fill="auto" w:val="clear"/>
        </w:rPr>
        <w:t xml:space="preserve">Údaje vykázané na strane PasÍv súvahy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Vlastné imanie </w:t>
      </w: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Informácie o vlastnom imaní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Základné imanie 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čnosti pozost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áva z vkladu 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íka Marc Thierry Siracusa vo vý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ške 6638,78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€.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Informácie o rozdelení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ého zisku alebo o vysporiadaní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čtovnej straty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Rozdelenie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ého zisku  alebo vyrovnanie straty za rok 2024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tbl>
      <w:tblPr>
        <w:tblInd w:w="108" w:type="dxa"/>
      </w:tblPr>
      <w:tblGrid>
        <w:gridCol w:w="6804"/>
        <w:gridCol w:w="2268"/>
      </w:tblGrid>
      <w:tr>
        <w:trPr>
          <w:trHeight w:val="1" w:hRule="atLeast"/>
          <w:jc w:val="left"/>
        </w:trPr>
        <w:tc>
          <w:tcPr>
            <w:tcW w:w="68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cccccc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Druh prídelu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cccccc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Schválené vysporiadanie VH  za  rok  2024</w:t>
            </w:r>
          </w:p>
        </w:tc>
      </w:tr>
      <w:tr>
        <w:trPr>
          <w:trHeight w:val="1" w:hRule="atLeast"/>
          <w:jc w:val="left"/>
        </w:trPr>
        <w:tc>
          <w:tcPr>
            <w:tcW w:w="68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cccccc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42" w:hanging="142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zákonného rezervného fondu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68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cccccc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42" w:hanging="142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na zvý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šenie z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ákladného imania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68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cccccc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42" w:hanging="142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árnych fondov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68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cccccc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42" w:hanging="142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ostatných fondov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68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cccccc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42" w:hanging="142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Pou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žitie na vyrovnanie straty z minul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ých rokov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68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cccccc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42" w:hanging="142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Dividendy 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68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cccccc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42" w:hanging="142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 569</w:t>
            </w:r>
          </w:p>
        </w:tc>
      </w:tr>
      <w:tr>
        <w:trPr>
          <w:trHeight w:val="1" w:hRule="atLeast"/>
          <w:jc w:val="left"/>
        </w:trPr>
        <w:tc>
          <w:tcPr>
            <w:tcW w:w="68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cccccc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42" w:hanging="142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sociálneho fondu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68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cccccc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42" w:hanging="142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 minulých období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68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cccccc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42" w:hanging="142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VH na rozdelenie spolu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1 569</w:t>
            </w:r>
          </w:p>
        </w:tc>
      </w:tr>
      <w:tr>
        <w:trPr>
          <w:trHeight w:val="1" w:hRule="atLeast"/>
          <w:jc w:val="left"/>
        </w:trPr>
        <w:tc>
          <w:tcPr>
            <w:tcW w:w="68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cccccc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42" w:hanging="142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Informácie o rezervách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žiadne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Informácie o záväzkoch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Záväzky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Vý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ška kr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átkodobých záväzkov do lehoty a po lehote splatnosti vrátane skupiny: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žiadne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Dlhodobé záväzky pod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ľa zostatkovej doby splatnosti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žiadne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Informácie o odlo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ženej daňovej pohľad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ávke alebo odlo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ženom daňovom z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áväzku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žiadne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Informácie  o bankových úveroch, pô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ách a krátkodobých finan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ých výpomociach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žiadne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Informácie o významných polo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žk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ách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časov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ého rozlí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šenia na strane pas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ív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žiadne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Informácie o významných polo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žk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ách derivátov za be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é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é obdobie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Deriváty</w:t>
      </w:r>
    </w:p>
    <w:p>
      <w:pPr>
        <w:tabs>
          <w:tab w:val="left" w:pos="425" w:leader="none"/>
          <w:tab w:val="left" w:pos="567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2"/>
          <w:u w:val="single"/>
          <w:shd w:fill="auto" w:val="clear"/>
        </w:rPr>
      </w:pPr>
    </w:p>
    <w:p>
      <w:pPr>
        <w:tabs>
          <w:tab w:val="left" w:pos="425" w:leader="none"/>
          <w:tab w:val="left" w:pos="567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žiadne</w:t>
      </w:r>
    </w:p>
    <w:p>
      <w:pPr>
        <w:tabs>
          <w:tab w:val="left" w:pos="425" w:leader="none"/>
          <w:tab w:val="left" w:pos="567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u w:val="single"/>
          <w:shd w:fill="auto" w:val="clear"/>
        </w:rPr>
      </w:pPr>
    </w:p>
    <w:p>
      <w:pPr>
        <w:tabs>
          <w:tab w:val="left" w:pos="425" w:leader="none"/>
          <w:tab w:val="left" w:pos="567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Informácie o tr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žb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ách</w:t>
      </w:r>
    </w:p>
    <w:p>
      <w:pPr>
        <w:tabs>
          <w:tab w:val="left" w:pos="425" w:leader="none"/>
          <w:tab w:val="left" w:pos="567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aps w:val="true"/>
          <w:color w:val="auto"/>
          <w:spacing w:val="0"/>
          <w:position w:val="0"/>
          <w:sz w:val="22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tr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žby z predaja tovaru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Informácie o zmene stavu vnútroorganiza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ých zásob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žiadne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Ostatné výnosy z hospodárskej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činnosti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žiadne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Výnosy z finan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čnej činnosti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žiadne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Informácie o nákladoch</w:t>
      </w:r>
    </w:p>
    <w:p>
      <w:pPr>
        <w:tabs>
          <w:tab w:val="left" w:pos="425" w:leader="none"/>
          <w:tab w:val="left" w:pos="567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22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Náklady z hospodárskej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činnosti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žiadne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Ostatné náklady z hospodárskej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činnosti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žiadne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Finan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é náklady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tbl>
      <w:tblPr>
        <w:tblInd w:w="108" w:type="dxa"/>
      </w:tblPr>
      <w:tblGrid>
        <w:gridCol w:w="4820"/>
        <w:gridCol w:w="1701"/>
        <w:gridCol w:w="1701"/>
      </w:tblGrid>
      <w:tr>
        <w:trPr>
          <w:trHeight w:val="1" w:hRule="atLeast"/>
          <w:jc w:val="left"/>
        </w:trPr>
        <w:tc>
          <w:tcPr>
            <w:tcW w:w="482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auto" w:fill="cccccc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Polo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žka</w:t>
            </w:r>
          </w:p>
        </w:tc>
        <w:tc>
          <w:tcPr>
            <w:tcW w:w="1701" w:type="dxa"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4"/>
            </w:tcBorders>
            <w:shd w:color="auto" w:fill="cccccc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2025</w:t>
            </w:r>
          </w:p>
        </w:tc>
        <w:tc>
          <w:tcPr>
            <w:tcW w:w="1701" w:type="dxa"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4"/>
            </w:tcBorders>
            <w:shd w:color="auto" w:fill="cccccc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2024</w:t>
            </w:r>
          </w:p>
        </w:tc>
      </w:tr>
      <w:tr>
        <w:trPr>
          <w:trHeight w:val="1" w:hRule="atLeast"/>
          <w:jc w:val="left"/>
        </w:trPr>
        <w:tc>
          <w:tcPr>
            <w:tcW w:w="482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cccccc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náklady na finan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ú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318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104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318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86</w:t>
            </w:r>
          </w:p>
        </w:tc>
      </w:tr>
      <w:tr>
        <w:trPr>
          <w:trHeight w:val="1" w:hRule="atLeast"/>
          <w:jc w:val="left"/>
        </w:trPr>
        <w:tc>
          <w:tcPr>
            <w:tcW w:w="4820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4"/>
            </w:tcBorders>
            <w:shd w:color="auto" w:fill="cccccc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104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86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425" w:leader="none"/>
          <w:tab w:val="left" w:pos="567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nformácia o daniach z príjmov</w:t>
      </w:r>
    </w:p>
    <w:p>
      <w:pPr>
        <w:tabs>
          <w:tab w:val="left" w:pos="9071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u w:val="single"/>
          <w:shd w:fill="auto" w:val="clear"/>
        </w:rPr>
      </w:pPr>
    </w:p>
    <w:tbl>
      <w:tblPr>
        <w:tblInd w:w="108" w:type="dxa"/>
      </w:tblPr>
      <w:tblGrid>
        <w:gridCol w:w="4253"/>
        <w:gridCol w:w="1701"/>
        <w:gridCol w:w="1701"/>
      </w:tblGrid>
      <w:tr>
        <w:trPr>
          <w:trHeight w:val="1" w:hRule="atLeast"/>
          <w:jc w:val="left"/>
        </w:trPr>
        <w:tc>
          <w:tcPr>
            <w:tcW w:w="42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auto" w:fill="cccccc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Polo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žka</w:t>
            </w:r>
          </w:p>
        </w:tc>
        <w:tc>
          <w:tcPr>
            <w:tcW w:w="1701" w:type="dxa"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4"/>
            </w:tcBorders>
            <w:shd w:color="auto" w:fill="cccccc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2025</w:t>
            </w:r>
          </w:p>
        </w:tc>
        <w:tc>
          <w:tcPr>
            <w:tcW w:w="1701" w:type="dxa"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4"/>
            </w:tcBorders>
            <w:shd w:color="auto" w:fill="cccccc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202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4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253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4"/>
            </w:tcBorders>
            <w:shd w:color="auto" w:fill="cccccc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42" w:hanging="142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 z pr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íjmov celkom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340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40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u w:val="single"/>
          <w:shd w:fill="auto" w:val="clear"/>
        </w:rPr>
      </w:pPr>
    </w:p>
    <w:tbl>
      <w:tblPr>
        <w:tblInd w:w="108" w:type="dxa"/>
      </w:tblPr>
      <w:tblGrid>
        <w:gridCol w:w="5670"/>
        <w:gridCol w:w="1701"/>
        <w:gridCol w:w="1701"/>
      </w:tblGrid>
      <w:tr>
        <w:trPr>
          <w:trHeight w:val="1" w:hRule="atLeast"/>
          <w:jc w:val="left"/>
        </w:trPr>
        <w:tc>
          <w:tcPr>
            <w:tcW w:w="56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auto" w:fill="cccccc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Polo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žka</w:t>
            </w:r>
          </w:p>
        </w:tc>
        <w:tc>
          <w:tcPr>
            <w:tcW w:w="1701" w:type="dxa"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4"/>
            </w:tcBorders>
            <w:shd w:color="auto" w:fill="cccccc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2025</w:t>
            </w:r>
          </w:p>
        </w:tc>
        <w:tc>
          <w:tcPr>
            <w:tcW w:w="1701" w:type="dxa"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4"/>
            </w:tcBorders>
            <w:shd w:color="auto" w:fill="cccccc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202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4</w:t>
            </w:r>
          </w:p>
        </w:tc>
      </w:tr>
      <w:tr>
        <w:trPr>
          <w:trHeight w:val="1" w:hRule="atLeast"/>
          <w:jc w:val="left"/>
        </w:trPr>
        <w:tc>
          <w:tcPr>
            <w:tcW w:w="5670" w:type="dxa"/>
            <w:tcBorders>
              <w:top w:val="single" w:color="000000" w:sz="8"/>
              <w:left w:val="single" w:color="000000" w:sz="8"/>
              <w:bottom w:val="single" w:color="000000" w:sz="4"/>
              <w:right w:val="single" w:color="000000" w:sz="4"/>
            </w:tcBorders>
            <w:shd w:color="auto" w:fill="cccccc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42" w:hanging="142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VH pred zdanením</w:t>
            </w:r>
          </w:p>
        </w:tc>
        <w:tc>
          <w:tcPr>
            <w:tcW w:w="1701" w:type="dxa"/>
            <w:tcBorders>
              <w:top w:val="single" w:color="000000" w:sz="8"/>
              <w:left w:val="single" w:color="000000" w:sz="4"/>
              <w:bottom w:val="single" w:color="000000" w:sz="4"/>
              <w:right w:val="single" w:color="000000" w:sz="4"/>
            </w:tcBorders>
            <w:shd w:color="c0c0c0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-104</w:t>
            </w:r>
          </w:p>
        </w:tc>
        <w:tc>
          <w:tcPr>
            <w:tcW w:w="1701" w:type="dxa"/>
            <w:tcBorders>
              <w:top w:val="single" w:color="000000" w:sz="8"/>
              <w:left w:val="single" w:color="000000" w:sz="4"/>
              <w:bottom w:val="single" w:color="000000" w:sz="4"/>
              <w:right w:val="single" w:color="000000" w:sz="4"/>
            </w:tcBorders>
            <w:shd w:color="c0c0c0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1 909</w:t>
            </w:r>
          </w:p>
        </w:tc>
      </w:tr>
      <w:tr>
        <w:trPr>
          <w:trHeight w:val="1" w:hRule="atLeast"/>
          <w:jc w:val="left"/>
        </w:trPr>
        <w:tc>
          <w:tcPr>
            <w:tcW w:w="567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cccccc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42" w:hanging="142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ň z pr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íjmov 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c0c0c0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c0c0c0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67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cccccc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42" w:hanging="142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Minimálna da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c0c0c0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         340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c0c0c0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340</w:t>
            </w:r>
          </w:p>
        </w:tc>
      </w:tr>
      <w:tr>
        <w:trPr>
          <w:trHeight w:val="1" w:hRule="atLeast"/>
          <w:jc w:val="left"/>
        </w:trPr>
        <w:tc>
          <w:tcPr>
            <w:tcW w:w="567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cccccc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42" w:hanging="142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Vplyv upravujúcich polo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žiek: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c0c0c0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c0c0c0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67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cccccc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176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odpo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ítate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é polo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žky 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c0c0c0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c0c0c0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67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cccccc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176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pripo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čitateľn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é polo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žky 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c0c0c0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c0c0c0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00" w:hRule="auto"/>
          <w:jc w:val="left"/>
        </w:trPr>
        <w:tc>
          <w:tcPr>
            <w:tcW w:w="567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cccccc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42" w:hanging="142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Vplyv zmeny sadzby dane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c0c0c0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c0c0c0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00" w:hRule="auto"/>
          <w:jc w:val="left"/>
        </w:trPr>
        <w:tc>
          <w:tcPr>
            <w:tcW w:w="5670" w:type="dxa"/>
            <w:tcBorders>
              <w:top w:val="single" w:color="000000" w:sz="4"/>
              <w:left w:val="single" w:color="000000" w:sz="4"/>
              <w:bottom w:val="single" w:color="000000" w:sz="8"/>
              <w:right w:val="single" w:color="000000" w:sz="4"/>
            </w:tcBorders>
            <w:shd w:color="auto" w:fill="cccccc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42" w:hanging="142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Umorenie straty 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8"/>
              <w:right w:val="single" w:color="000000" w:sz="4"/>
            </w:tcBorders>
            <w:shd w:color="c0c0c0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8"/>
              <w:right w:val="single" w:color="000000" w:sz="4"/>
            </w:tcBorders>
            <w:shd w:color="c0c0c0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670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4"/>
            </w:tcBorders>
            <w:shd w:color="auto" w:fill="cccccc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42" w:hanging="142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 z pr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íjmov celkom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8"/>
              <w:right w:val="single" w:color="000000" w:sz="4"/>
            </w:tcBorders>
            <w:shd w:color="c0c0c0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340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8"/>
              <w:right w:val="single" w:color="000000" w:sz="4"/>
            </w:tcBorders>
            <w:shd w:color="c0c0c0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340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425" w:leader="none"/>
          <w:tab w:val="left" w:pos="567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</w:pPr>
    </w:p>
    <w:p>
      <w:pPr>
        <w:tabs>
          <w:tab w:val="left" w:pos="425" w:leader="none"/>
          <w:tab w:val="left" w:pos="567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</w:pPr>
    </w:p>
    <w:p>
      <w:pPr>
        <w:tabs>
          <w:tab w:val="left" w:pos="425" w:leader="none"/>
          <w:tab w:val="left" w:pos="567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Informácie o podsúvahových polo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žk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ách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žiadne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Informácie o podmienených záväzkoch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žiadne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726" w:leader="none"/>
          <w:tab w:val="left" w:pos="1425" w:leader="none"/>
          <w:tab w:val="left" w:pos="2159" w:leader="none"/>
          <w:tab w:val="left" w:pos="2892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Informácie o príjmoch a výhodách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členov štatut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árnych orgánov, dozorných orgánov a iných orgánov</w:t>
      </w:r>
    </w:p>
    <w:p>
      <w:pPr>
        <w:tabs>
          <w:tab w:val="left" w:pos="726" w:leader="none"/>
          <w:tab w:val="left" w:pos="1425" w:leader="none"/>
          <w:tab w:val="left" w:pos="2159" w:leader="none"/>
          <w:tab w:val="left" w:pos="2892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žiadne</w:t>
      </w:r>
    </w:p>
    <w:p>
      <w:pPr>
        <w:tabs>
          <w:tab w:val="left" w:pos="425" w:leader="none"/>
          <w:tab w:val="left" w:pos="567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22"/>
          <w:u w:val="single"/>
          <w:shd w:fill="auto" w:val="clear"/>
        </w:rPr>
      </w:pPr>
    </w:p>
    <w:p>
      <w:pPr>
        <w:tabs>
          <w:tab w:val="left" w:pos="425" w:leader="none"/>
          <w:tab w:val="left" w:pos="567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22"/>
          <w:u w:val="single"/>
          <w:shd w:fill="auto" w:val="clear"/>
        </w:rPr>
      </w:pPr>
    </w:p>
    <w:p>
      <w:pPr>
        <w:tabs>
          <w:tab w:val="left" w:pos="425" w:leader="none"/>
          <w:tab w:val="left" w:pos="567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SKUTO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ČNOSTI, KTOR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É NASTALI PO DNI, KU KTORÉMU SA ZOSTAVUJE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 ZÁVIERKA A DO D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ŇA ZOSTAVENIA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ČTOVNEJ Z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ÁVIERKY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žiadne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abstractNum w:abstractNumId="78">
    <w:lvl w:ilvl="0">
      <w:start w:val="1"/>
      <w:numFmt w:val="bullet"/>
      <w:lvlText w:val="•"/>
    </w:lvl>
  </w:abstractNum>
  <w:abstractNum w:abstractNumId="84">
    <w:lvl w:ilvl="0">
      <w:start w:val="1"/>
      <w:numFmt w:val="bullet"/>
      <w:lvlText w:val="•"/>
    </w:lvl>
  </w:abstractNum>
  <w:abstractNum w:abstractNumId="90">
    <w:lvl w:ilvl="0">
      <w:start w:val="1"/>
      <w:numFmt w:val="bullet"/>
      <w:lvlText w:val="•"/>
    </w:lvl>
  </w:abstractNum>
  <w:abstractNum w:abstractNumId="96">
    <w:lvl w:ilvl="0">
      <w:start w:val="1"/>
      <w:numFmt w:val="bullet"/>
      <w:lvlText w:val="•"/>
    </w:lvl>
  </w:abstractNum>
  <w:abstractNum w:abstractNumId="102">
    <w:lvl w:ilvl="0">
      <w:start w:val="1"/>
      <w:numFmt w:val="bullet"/>
      <w:lvlText w:val="•"/>
    </w:lvl>
  </w:abstractNum>
  <w:abstractNum w:abstractNumId="108">
    <w:lvl w:ilvl="0">
      <w:start w:val="1"/>
      <w:numFmt w:val="bullet"/>
      <w:lvlText w:val="•"/>
    </w:lvl>
  </w:abstractNum>
  <w:abstractNum w:abstractNumId="114">
    <w:lvl w:ilvl="0">
      <w:start w:val="1"/>
      <w:numFmt w:val="bullet"/>
      <w:lvlText w:val="•"/>
    </w:lvl>
  </w:abstractNum>
  <w:abstractNum w:abstractNumId="120">
    <w:lvl w:ilvl="0">
      <w:start w:val="1"/>
      <w:numFmt w:val="bullet"/>
      <w:lvlText w:val="•"/>
    </w:lvl>
  </w:abstractNum>
  <w:abstractNum w:abstractNumId="126">
    <w:lvl w:ilvl="0">
      <w:start w:val="1"/>
      <w:numFmt w:val="bullet"/>
      <w:lvlText w:val="•"/>
    </w:lvl>
  </w:abstractNum>
  <w:abstractNum w:abstractNumId="132">
    <w:lvl w:ilvl="0">
      <w:start w:val="1"/>
      <w:numFmt w:val="bullet"/>
      <w:lvlText w:val="•"/>
    </w:lvl>
  </w:abstractNum>
  <w:abstractNum w:abstractNumId="138">
    <w:lvl w:ilvl="0">
      <w:start w:val="1"/>
      <w:numFmt w:val="bullet"/>
      <w:lvlText w:val="•"/>
    </w:lvl>
  </w:abstractNum>
  <w:abstractNum w:abstractNumId="144">
    <w:lvl w:ilvl="0">
      <w:start w:val="1"/>
      <w:numFmt w:val="bullet"/>
      <w:lvlText w:val="•"/>
    </w:lvl>
  </w:abstractNum>
  <w:abstractNum w:abstractNumId="150">
    <w:lvl w:ilvl="0">
      <w:start w:val="1"/>
      <w:numFmt w:val="bullet"/>
      <w:lvlText w:val="•"/>
    </w:lvl>
  </w:abstractNum>
  <w:abstractNum w:abstractNumId="156">
    <w:lvl w:ilvl="0">
      <w:start w:val="1"/>
      <w:numFmt w:val="bullet"/>
      <w:lvlText w:val="•"/>
    </w:lvl>
  </w:abstractNum>
  <w:abstractNum w:abstractNumId="162">
    <w:lvl w:ilvl="0">
      <w:start w:val="1"/>
      <w:numFmt w:val="bullet"/>
      <w:lvlText w:val="•"/>
    </w:lvl>
  </w:abstractNum>
  <w:abstractNum w:abstractNumId="168">
    <w:lvl w:ilvl="0">
      <w:start w:val="1"/>
      <w:numFmt w:val="bullet"/>
      <w:lvlText w:val="•"/>
    </w:lvl>
  </w:abstractNum>
  <w:abstractNum w:abstractNumId="174">
    <w:lvl w:ilvl="0">
      <w:start w:val="1"/>
      <w:numFmt w:val="bullet"/>
      <w:lvlText w:val="•"/>
    </w:lvl>
  </w:abstractNum>
  <w:abstractNum w:abstractNumId="180">
    <w:lvl w:ilvl="0">
      <w:start w:val="1"/>
      <w:numFmt w:val="bullet"/>
      <w:lvlText w:val="•"/>
    </w:lvl>
  </w:abstractNum>
  <w:abstractNum w:abstractNumId="186">
    <w:lvl w:ilvl="0">
      <w:start w:val="1"/>
      <w:numFmt w:val="bullet"/>
      <w:lvlText w:val="•"/>
    </w:lvl>
  </w:abstractNum>
  <w:abstractNum w:abstractNumId="192">
    <w:lvl w:ilvl="0">
      <w:start w:val="1"/>
      <w:numFmt w:val="bullet"/>
      <w:lvlText w:val="•"/>
    </w:lvl>
  </w:abstractNum>
  <w:abstractNum w:abstractNumId="198">
    <w:lvl w:ilvl="0">
      <w:start w:val="1"/>
      <w:numFmt w:val="bullet"/>
      <w:lvlText w:val="•"/>
    </w:lvl>
  </w:abstractNum>
  <w:num w:numId="16">
    <w:abstractNumId w:val="198"/>
  </w:num>
  <w:num w:numId="42">
    <w:abstractNumId w:val="192"/>
  </w:num>
  <w:num w:numId="44">
    <w:abstractNumId w:val="186"/>
  </w:num>
  <w:num w:numId="48">
    <w:abstractNumId w:val="180"/>
  </w:num>
  <w:num w:numId="72">
    <w:abstractNumId w:val="174"/>
  </w:num>
  <w:num w:numId="81">
    <w:abstractNumId w:val="168"/>
  </w:num>
  <w:num w:numId="127">
    <w:abstractNumId w:val="162"/>
  </w:num>
  <w:num w:numId="129">
    <w:abstractNumId w:val="156"/>
  </w:num>
  <w:num w:numId="131">
    <w:abstractNumId w:val="150"/>
  </w:num>
  <w:num w:numId="133">
    <w:abstractNumId w:val="144"/>
  </w:num>
  <w:num w:numId="135">
    <w:abstractNumId w:val="138"/>
  </w:num>
  <w:num w:numId="137">
    <w:abstractNumId w:val="132"/>
  </w:num>
  <w:num w:numId="139">
    <w:abstractNumId w:val="126"/>
  </w:num>
  <w:num w:numId="143">
    <w:abstractNumId w:val="120"/>
  </w:num>
  <w:num w:numId="145">
    <w:abstractNumId w:val="114"/>
  </w:num>
  <w:num w:numId="147">
    <w:abstractNumId w:val="108"/>
  </w:num>
  <w:num w:numId="149">
    <w:abstractNumId w:val="102"/>
  </w:num>
  <w:num w:numId="151">
    <w:abstractNumId w:val="96"/>
  </w:num>
  <w:num w:numId="155">
    <w:abstractNumId w:val="90"/>
  </w:num>
  <w:num w:numId="158">
    <w:abstractNumId w:val="84"/>
  </w:num>
  <w:num w:numId="160">
    <w:abstractNumId w:val="78"/>
  </w:num>
  <w:num w:numId="163">
    <w:abstractNumId w:val="72"/>
  </w:num>
  <w:num w:numId="165">
    <w:abstractNumId w:val="66"/>
  </w:num>
  <w:num w:numId="167">
    <w:abstractNumId w:val="60"/>
  </w:num>
  <w:num w:numId="170">
    <w:abstractNumId w:val="54"/>
  </w:num>
  <w:num w:numId="172">
    <w:abstractNumId w:val="48"/>
  </w:num>
  <w:num w:numId="177">
    <w:abstractNumId w:val="42"/>
  </w:num>
  <w:num w:numId="179">
    <w:abstractNumId w:val="36"/>
  </w:num>
  <w:num w:numId="182">
    <w:abstractNumId w:val="30"/>
  </w:num>
  <w:num w:numId="185">
    <w:abstractNumId w:val="24"/>
  </w:num>
  <w:num w:numId="187">
    <w:abstractNumId w:val="18"/>
  </w:num>
  <w:num w:numId="189">
    <w:abstractNumId w:val="12"/>
  </w:num>
  <w:num w:numId="193">
    <w:abstractNumId w:val="6"/>
  </w:num>
  <w:num w:numId="196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