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exact" w:line="240" w:before="0" w:after="0"/>
        <w:ind w:hanging="0" w:left="72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r>
    </w:p>
    <w:p>
      <w:pPr>
        <w:pStyle w:val="Normal"/>
        <w:bidi w:val="0"/>
        <w:spacing w:lineRule="exact" w:line="240" w:before="0" w:after="0"/>
        <w:ind w:hanging="0" w:left="72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Poznámky k UZ spoločnosti Spolro, s.r.o.   k 31.12.2025                                </w:t>
      </w:r>
    </w:p>
    <w:p>
      <w:pPr>
        <w:pStyle w:val="Normal"/>
        <w:bidi w:val="0"/>
        <w:spacing w:lineRule="exact" w:line="240" w:before="0" w:after="0"/>
        <w:ind w:hanging="0" w:left="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ab/>
      </w:r>
    </w:p>
    <w:p>
      <w:pPr>
        <w:pStyle w:val="Normal"/>
        <w:bidi w:val="0"/>
        <w:spacing w:lineRule="exact" w:line="240" w:before="0" w:after="0"/>
        <w:ind w:hanging="0" w:left="0" w:right="71"/>
        <w:jc w:val="both"/>
        <w:rPr>
          <w:rFonts w:ascii="Times New Roman" w:hAnsi="Times New Roman" w:eastAsia="Times New Roman" w:cs="Times New Roman"/>
          <w:color w:val="auto"/>
          <w:spacing w:val="0"/>
          <w:sz w:val="22"/>
          <w:shd w:fill="auto" w:val="clear"/>
        </w:rPr>
      </w:pPr>
      <w:r>
        <w:rPr>
          <w:rFonts w:eastAsia="Arial Narrow" w:cs="Arial Narrow" w:ascii="Arial Narrow" w:hAnsi="Arial Narrow"/>
          <w:b/>
          <w:color w:val="000000"/>
          <w:spacing w:val="0"/>
          <w:sz w:val="22"/>
          <w:shd w:fill="auto" w:val="clear"/>
        </w:rPr>
        <w:t>Čl.I  Všeobecné údaje</w:t>
      </w:r>
    </w:p>
    <w:p>
      <w:pPr>
        <w:pStyle w:val="Normal"/>
        <w:numPr>
          <w:ilvl w:val="0"/>
          <w:numId w:val="1"/>
        </w:numPr>
        <w:bidi w:val="0"/>
        <w:spacing w:lineRule="exact" w:line="240" w:before="0" w:after="0"/>
        <w:ind w:hanging="360" w:left="720" w:right="71"/>
        <w:jc w:val="left"/>
        <w:rPr>
          <w:rFonts w:ascii="Times New Roman" w:hAnsi="Times New Roman" w:eastAsia="Times New Roman" w:cs="Times New Roman"/>
          <w:color w:val="auto"/>
          <w:spacing w:val="0"/>
          <w:sz w:val="22"/>
          <w:shd w:fill="auto" w:val="clear"/>
        </w:rPr>
      </w:pPr>
      <w:r>
        <w:rPr>
          <w:rFonts w:eastAsia="Times New Roman" w:cs="Times New Roman" w:ascii="Times New Roman" w:hAnsi="Times New Roman"/>
          <w:color w:val="000000"/>
          <w:spacing w:val="0"/>
          <w:sz w:val="22"/>
          <w:shd w:fill="auto" w:val="clear"/>
        </w:rPr>
        <w:t>Spoločnosť Spolro, spol. s r.o. , Hlavná 283, 98012 Hrnčiarske Zalužany, IČO 36027677, DIČ 2020074749,  bola založená dňa 22.12.1997 a do obchodného registra Okresného súdu Banská Bystrica bola zapísaná  dňa 22.12.1997 v oddiele Sro, vložka číslo 5140/P</w:t>
      </w:r>
    </w:p>
    <w:p>
      <w:pPr>
        <w:pStyle w:val="Normal"/>
        <w:numPr>
          <w:ilvl w:val="0"/>
          <w:numId w:val="1"/>
        </w:numPr>
        <w:bidi w:val="0"/>
        <w:spacing w:lineRule="exact" w:line="240" w:before="0" w:after="0"/>
        <w:ind w:hanging="360" w:left="72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Hlavné činnosti obchodnej spoločnosti sú:</w:t>
      </w:r>
    </w:p>
    <w:p>
      <w:pPr>
        <w:pStyle w:val="Normal"/>
        <w:numPr>
          <w:ilvl w:val="0"/>
          <w:numId w:val="1"/>
        </w:numPr>
        <w:tabs>
          <w:tab w:val="clear" w:pos="709"/>
          <w:tab w:val="left" w:pos="1440" w:leader="none"/>
        </w:tabs>
        <w:bidi w:val="0"/>
        <w:spacing w:lineRule="exact" w:line="240" w:before="0" w:after="0"/>
        <w:ind w:hanging="360" w:left="144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Poľnohospodárska výroba</w:t>
      </w:r>
    </w:p>
    <w:p>
      <w:pPr>
        <w:pStyle w:val="Normal"/>
        <w:numPr>
          <w:ilvl w:val="0"/>
          <w:numId w:val="1"/>
        </w:numPr>
        <w:tabs>
          <w:tab w:val="clear" w:pos="709"/>
          <w:tab w:val="left" w:pos="1440" w:leader="none"/>
        </w:tabs>
        <w:bidi w:val="0"/>
        <w:spacing w:lineRule="exact" w:line="240" w:before="0" w:after="0"/>
        <w:ind w:hanging="360" w:left="144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Poskytovanie služieb</w:t>
      </w:r>
    </w:p>
    <w:p>
      <w:pPr>
        <w:pStyle w:val="Normal"/>
        <w:numPr>
          <w:ilvl w:val="0"/>
          <w:numId w:val="1"/>
        </w:numPr>
        <w:tabs>
          <w:tab w:val="clear" w:pos="709"/>
          <w:tab w:val="left" w:pos="1440" w:leader="none"/>
        </w:tabs>
        <w:bidi w:val="0"/>
        <w:spacing w:lineRule="exact" w:line="240" w:before="0" w:after="0"/>
        <w:ind w:hanging="360" w:left="144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Sprostredkovanie obchodu a služieb</w:t>
      </w:r>
    </w:p>
    <w:p>
      <w:pPr>
        <w:pStyle w:val="Normal"/>
        <w:keepNext w:val="true"/>
        <w:bidi w:val="0"/>
        <w:spacing w:lineRule="exact" w:line="240" w:before="0" w:after="60"/>
        <w:ind w:hanging="0" w:left="0" w:right="0"/>
        <w:jc w:val="left"/>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1.  Informácie k časti A. písm. c) prílohy č. 3 o počte zamestnancov</w:t>
      </w:r>
    </w:p>
    <w:tbl>
      <w:tblPr>
        <w:tblW w:w="9043" w:type="dxa"/>
        <w:jc w:val="center"/>
        <w:tblInd w:w="0" w:type="dxa"/>
        <w:tblLayout w:type="fixed"/>
        <w:tblCellMar>
          <w:top w:w="0" w:type="dxa"/>
          <w:left w:w="70" w:type="dxa"/>
          <w:bottom w:w="0" w:type="dxa"/>
          <w:right w:w="70" w:type="dxa"/>
        </w:tblCellMar>
      </w:tblPr>
      <w:tblGrid>
        <w:gridCol w:w="3625"/>
        <w:gridCol w:w="2594"/>
        <w:gridCol w:w="2824"/>
      </w:tblGrid>
      <w:tr>
        <w:trPr>
          <w:trHeight w:val="1" w:hRule="atLeast"/>
        </w:trPr>
        <w:tc>
          <w:tcPr>
            <w:tcW w:w="3625"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Názov položky</w:t>
            </w:r>
          </w:p>
        </w:tc>
        <w:tc>
          <w:tcPr>
            <w:tcW w:w="259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Bežné účtovné obdobie</w:t>
            </w:r>
          </w:p>
        </w:tc>
        <w:tc>
          <w:tcPr>
            <w:tcW w:w="282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Bezprostredne predchádzajúce účtovné obdobie</w:t>
            </w:r>
          </w:p>
        </w:tc>
      </w:tr>
      <w:tr>
        <w:trPr>
          <w:trHeight w:val="1" w:hRule="atLeast"/>
        </w:trPr>
        <w:tc>
          <w:tcPr>
            <w:tcW w:w="3625"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Priemerný prepočítaný počet zamestnancov</w:t>
            </w:r>
          </w:p>
        </w:tc>
        <w:tc>
          <w:tcPr>
            <w:tcW w:w="259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1</w:t>
            </w:r>
          </w:p>
        </w:tc>
        <w:tc>
          <w:tcPr>
            <w:tcW w:w="282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285" w:hRule="atLeast"/>
        </w:trPr>
        <w:tc>
          <w:tcPr>
            <w:tcW w:w="3625"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Stav zamestnancov ku dňu, ku ktorému sa zostavuje účtovná závierka, z toho:</w:t>
            </w:r>
          </w:p>
        </w:tc>
        <w:tc>
          <w:tcPr>
            <w:tcW w:w="259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1</w:t>
            </w:r>
          </w:p>
        </w:tc>
        <w:tc>
          <w:tcPr>
            <w:tcW w:w="282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360" w:hRule="atLeast"/>
        </w:trPr>
        <w:tc>
          <w:tcPr>
            <w:tcW w:w="3625"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počet vedúcich zamestnancov</w:t>
            </w:r>
          </w:p>
        </w:tc>
        <w:tc>
          <w:tcPr>
            <w:tcW w:w="259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1</w:t>
            </w:r>
          </w:p>
        </w:tc>
        <w:tc>
          <w:tcPr>
            <w:tcW w:w="282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bl>
    <w:p>
      <w:pPr>
        <w:pStyle w:val="Normal"/>
        <w:numPr>
          <w:ilvl w:val="0"/>
          <w:numId w:val="2"/>
        </w:numPr>
        <w:bidi w:val="0"/>
        <w:spacing w:lineRule="exact" w:line="240" w:before="0" w:after="0"/>
        <w:ind w:hanging="360" w:left="720" w:right="0"/>
        <w:jc w:val="left"/>
        <w:rPr>
          <w:rFonts w:ascii="Arial Narrow" w:hAnsi="Arial Narrow" w:eastAsia="Arial Narrow" w:cs="Arial Narrow"/>
          <w:color w:val="auto"/>
          <w:spacing w:val="0"/>
          <w:sz w:val="22"/>
          <w:u w:val="single"/>
          <w:shd w:fill="auto" w:val="clear"/>
        </w:rPr>
      </w:pPr>
      <w:r>
        <w:rPr>
          <w:rFonts w:eastAsia="Arial Narrow" w:cs="Arial Narrow" w:ascii="Arial Narrow" w:hAnsi="Arial Narrow"/>
          <w:color w:val="000000"/>
          <w:spacing w:val="0"/>
          <w:sz w:val="22"/>
          <w:shd w:fill="auto" w:val="clear"/>
        </w:rPr>
        <w:t>Obchodná spoločnosť nie je neobmedzene ručiacim spoločníkom v žiadnej spoločnosti.</w:t>
      </w:r>
    </w:p>
    <w:p>
      <w:pPr>
        <w:pStyle w:val="Normal"/>
        <w:numPr>
          <w:ilvl w:val="0"/>
          <w:numId w:val="2"/>
        </w:numPr>
        <w:bidi w:val="0"/>
        <w:spacing w:lineRule="exact" w:line="240" w:before="0" w:after="0"/>
        <w:ind w:hanging="360" w:left="720" w:right="0"/>
        <w:jc w:val="left"/>
        <w:rPr>
          <w:rFonts w:ascii="Arial Narrow" w:hAnsi="Arial Narrow" w:eastAsia="Arial Narrow" w:cs="Arial Narrow"/>
          <w:color w:val="auto"/>
          <w:spacing w:val="0"/>
          <w:sz w:val="22"/>
          <w:u w:val="single"/>
          <w:shd w:fill="auto" w:val="clear"/>
        </w:rPr>
      </w:pPr>
      <w:r>
        <w:rPr>
          <w:rFonts w:eastAsia="Arial Narrow" w:cs="Arial Narrow" w:ascii="Arial Narrow" w:hAnsi="Arial Narrow"/>
          <w:color w:val="000000"/>
          <w:spacing w:val="0"/>
          <w:sz w:val="22"/>
          <w:shd w:fill="auto" w:val="clear"/>
        </w:rPr>
        <w:t>Účtovná závierka obchodnej spoločnosti zostavená k 31. decembru 2024 je zostavená ako riadna účtovná závierka podľa § 17 ods. 6 zákona č. 431/2002 Z. z. o účtovníctve v znení neskorších predpisov.</w:t>
      </w:r>
    </w:p>
    <w:p>
      <w:pPr>
        <w:pStyle w:val="Normal"/>
        <w:numPr>
          <w:ilvl w:val="0"/>
          <w:numId w:val="2"/>
        </w:numPr>
        <w:bidi w:val="0"/>
        <w:spacing w:lineRule="exact" w:line="240" w:before="0" w:after="0"/>
        <w:ind w:hanging="360" w:left="720" w:right="0"/>
        <w:jc w:val="left"/>
        <w:rPr>
          <w:rFonts w:ascii="Arial Narrow" w:hAnsi="Arial Narrow" w:eastAsia="Arial Narrow" w:cs="Arial Narrow"/>
          <w:color w:val="auto"/>
          <w:spacing w:val="0"/>
          <w:sz w:val="22"/>
          <w:u w:val="single"/>
          <w:shd w:fill="auto" w:val="clear"/>
        </w:rPr>
      </w:pPr>
      <w:r>
        <w:rPr>
          <w:rFonts w:eastAsia="Arial Narrow" w:cs="Arial Narrow" w:ascii="Arial Narrow" w:hAnsi="Arial Narrow"/>
          <w:color w:val="000000"/>
          <w:spacing w:val="0"/>
          <w:sz w:val="22"/>
          <w:shd w:fill="auto" w:val="clear"/>
        </w:rPr>
        <w:t>Účtovná závierka obchodnej spoločnosti k 31. 12. 202</w:t>
      </w:r>
      <w:r>
        <w:rPr>
          <w:rFonts w:eastAsia="Arial Narrow" w:cs="Arial Narrow" w:ascii="Arial Narrow" w:hAnsi="Arial Narrow"/>
          <w:color w:val="000000"/>
          <w:spacing w:val="0"/>
          <w:sz w:val="22"/>
          <w:shd w:fill="auto" w:val="clear"/>
        </w:rPr>
        <w:t>4</w:t>
      </w:r>
      <w:r>
        <w:rPr>
          <w:rFonts w:eastAsia="Arial Narrow" w:cs="Arial Narrow" w:ascii="Arial Narrow" w:hAnsi="Arial Narrow"/>
          <w:color w:val="000000"/>
          <w:spacing w:val="0"/>
          <w:sz w:val="22"/>
          <w:shd w:fill="auto" w:val="clear"/>
        </w:rPr>
        <w:t xml:space="preserve"> bola  schválená za predchádzajúce účtovné obdobie   valným zhromaždením obchodnej spoločnosti dňa </w:t>
      </w:r>
      <w:r>
        <w:rPr>
          <w:rFonts w:eastAsia="Arial Narrow" w:cs="Arial Narrow" w:ascii="Arial Narrow" w:hAnsi="Arial Narrow"/>
          <w:color w:val="000000"/>
          <w:spacing w:val="0"/>
          <w:sz w:val="22"/>
          <w:shd w:fill="auto" w:val="clear"/>
        </w:rPr>
        <w:t>17.2.</w:t>
      </w:r>
      <w:r>
        <w:rPr>
          <w:rFonts w:eastAsia="Arial Narrow" w:cs="Arial Narrow" w:ascii="Arial Narrow" w:hAnsi="Arial Narrow"/>
          <w:color w:val="000000"/>
          <w:spacing w:val="0"/>
          <w:sz w:val="22"/>
          <w:shd w:fill="auto" w:val="clear"/>
        </w:rPr>
        <w:t>202</w:t>
      </w:r>
      <w:r>
        <w:rPr>
          <w:rFonts w:eastAsia="Arial Narrow" w:cs="Arial Narrow" w:ascii="Arial Narrow" w:hAnsi="Arial Narrow"/>
          <w:color w:val="000000"/>
          <w:spacing w:val="0"/>
          <w:sz w:val="22"/>
          <w:shd w:fill="auto" w:val="clear"/>
        </w:rPr>
        <w:t>5</w:t>
      </w:r>
      <w:r>
        <w:rPr>
          <w:rFonts w:eastAsia="Arial Narrow" w:cs="Arial Narrow" w:ascii="Arial Narrow" w:hAnsi="Arial Narrow"/>
          <w:color w:val="000000"/>
          <w:spacing w:val="0"/>
          <w:sz w:val="22"/>
          <w:shd w:fill="auto" w:val="clear"/>
        </w:rPr>
        <w:t xml:space="preserve">. </w:t>
      </w:r>
    </w:p>
    <w:p>
      <w:pPr>
        <w:pStyle w:val="Normal"/>
        <w:bidi w:val="0"/>
        <w:spacing w:lineRule="exact" w:line="240" w:before="0" w:after="0"/>
        <w:ind w:hanging="360" w:left="360" w:right="71"/>
        <w:jc w:val="both"/>
        <w:rPr>
          <w:rFonts w:ascii="Times New Roman" w:hAnsi="Times New Roman" w:eastAsia="Times New Roman" w:cs="Times New Roman"/>
          <w:b/>
          <w:color w:val="auto"/>
          <w:spacing w:val="0"/>
          <w:sz w:val="22"/>
          <w:shd w:fill="auto" w:val="clear"/>
        </w:rPr>
      </w:pPr>
      <w:r>
        <w:rPr>
          <w:rFonts w:eastAsia="Arial Narrow" w:cs="Arial Narrow" w:ascii="Arial Narrow" w:hAnsi="Arial Narrow"/>
          <w:b/>
          <w:color w:val="000000"/>
          <w:spacing w:val="0"/>
          <w:sz w:val="22"/>
          <w:shd w:fill="auto" w:val="clear"/>
        </w:rPr>
        <w:t>B. I</w:t>
      </w:r>
      <w:r>
        <w:rPr>
          <w:rFonts w:eastAsia="Times New Roman" w:cs="Times New Roman" w:ascii="Times New Roman" w:hAnsi="Times New Roman"/>
          <w:b/>
          <w:color w:val="000000"/>
          <w:spacing w:val="0"/>
          <w:sz w:val="22"/>
          <w:shd w:fill="auto" w:val="clear"/>
        </w:rPr>
        <w:t>nformácie o členoch štatutárnych orgánov</w:t>
      </w:r>
    </w:p>
    <w:p>
      <w:pPr>
        <w:pStyle w:val="Normal"/>
        <w:numPr>
          <w:ilvl w:val="0"/>
          <w:numId w:val="3"/>
        </w:numPr>
        <w:bidi w:val="0"/>
        <w:spacing w:lineRule="exact" w:line="240" w:before="0" w:after="0"/>
        <w:ind w:hanging="360" w:left="1494"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Ing. Anna Harmaniaková konateľ od 22.12.1997</w:t>
      </w:r>
    </w:p>
    <w:p>
      <w:pPr>
        <w:pStyle w:val="Normal"/>
        <w:numPr>
          <w:ilvl w:val="0"/>
          <w:numId w:val="3"/>
        </w:numPr>
        <w:bidi w:val="0"/>
        <w:spacing w:lineRule="exact" w:line="240" w:before="0" w:after="0"/>
        <w:ind w:hanging="360" w:left="1494"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Pavol Križo konateľ od 22.12.1997</w:t>
      </w:r>
    </w:p>
    <w:p>
      <w:pPr>
        <w:pStyle w:val="Normal"/>
        <w:bidi w:val="0"/>
        <w:spacing w:lineRule="exact" w:line="240" w:before="0" w:after="0"/>
        <w:ind w:firstLine="708"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V priebehu účtovného obdobia sa zloženie orgánov nemenilo. </w:t>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Times New Roman" w:cs="Times New Roman" w:ascii="Times New Roman" w:hAnsi="Times New Roman"/>
          <w:color w:val="000000"/>
          <w:spacing w:val="0"/>
          <w:sz w:val="22"/>
          <w:shd w:fill="auto" w:val="clear"/>
        </w:rPr>
        <w:t xml:space="preserve">Čl. II.  </w:t>
      </w:r>
      <w:r>
        <w:rPr>
          <w:rFonts w:eastAsia="Arial Narrow" w:cs="Arial Narrow" w:ascii="Arial Narrow" w:hAnsi="Arial Narrow"/>
          <w:b/>
          <w:i/>
          <w:color w:val="000000"/>
          <w:spacing w:val="0"/>
          <w:sz w:val="22"/>
          <w:u w:val="single"/>
          <w:shd w:fill="auto" w:val="clear"/>
        </w:rPr>
        <w:t>Informácie o prijatých postupoch</w:t>
      </w:r>
    </w:p>
    <w:p>
      <w:pPr>
        <w:pStyle w:val="Normal"/>
        <w:bidi w:val="0"/>
        <w:spacing w:lineRule="exact" w:line="240" w:before="0" w:after="0"/>
        <w:ind w:firstLine="36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Základné účtovné metódy použité pri zostavovaní  tejto individuálnej účtovnej závierky sú opísané nižšie. Tieto metódy sa uplatňujú konzistentne počas  všetkých účtovných období ak nie je uvedené inak., pričom </w:t>
      </w:r>
      <w:r>
        <w:rPr>
          <w:rFonts w:eastAsia="Times New Roman" w:cs="Times New Roman" w:ascii="Times New Roman" w:hAnsi="Times New Roman"/>
          <w:color w:val="000000"/>
          <w:spacing w:val="0"/>
          <w:sz w:val="22"/>
          <w:shd w:fill="auto" w:val="clear"/>
        </w:rPr>
        <w:t>spoločnosť   predpoklad, že účtovná jednotka bude nepretržite  pokračovať vo svojej činnosti i v nasledujúcom období</w:t>
      </w:r>
    </w:p>
    <w:p>
      <w:pPr>
        <w:pStyle w:val="Normal"/>
        <w:bidi w:val="0"/>
        <w:spacing w:lineRule="exact" w:line="240" w:before="0" w:after="0"/>
        <w:ind w:firstLine="360"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Dlhodobý nehmotný majetok</w:t>
      </w:r>
    </w:p>
    <w:p>
      <w:pPr>
        <w:pStyle w:val="Normal"/>
        <w:numPr>
          <w:ilvl w:val="0"/>
          <w:numId w:val="4"/>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Dlhodobý nehmotný majetok nakupovaný sa oceňuje obstarávacou cenou, ktorá zahŕňa cenu obstarania a náklady súvisiace s obstaraním (clo, prepravu, montáž, poistné a pod.) </w:t>
      </w:r>
    </w:p>
    <w:p>
      <w:pPr>
        <w:pStyle w:val="Normal"/>
        <w:numPr>
          <w:ilvl w:val="0"/>
          <w:numId w:val="4"/>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w:t>
      </w:r>
    </w:p>
    <w:p>
      <w:pPr>
        <w:pStyle w:val="Normal"/>
        <w:numPr>
          <w:ilvl w:val="0"/>
          <w:numId w:val="4"/>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Vypracovávajú sa prehľady podľa jednotlivého dlhodobého nehmotného majetku, so stanovenou  metódou odpisovania, ročnou odpisovou sadzbou.</w:t>
      </w:r>
    </w:p>
    <w:p>
      <w:pPr>
        <w:pStyle w:val="Normal"/>
        <w:bidi w:val="0"/>
        <w:spacing w:lineRule="exact" w:line="240" w:before="0" w:after="0"/>
        <w:ind w:firstLine="360"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b/>
          <w:color w:val="000000"/>
          <w:spacing w:val="0"/>
          <w:sz w:val="22"/>
          <w:shd w:fill="auto" w:val="clear"/>
        </w:rPr>
        <w:t>Dlhodobý hmotný majetok</w:t>
      </w:r>
    </w:p>
    <w:p>
      <w:pPr>
        <w:pStyle w:val="Normal"/>
        <w:numPr>
          <w:ilvl w:val="0"/>
          <w:numId w:val="5"/>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Dlhodobý hmotný majetok  nakupovaný sa oceňuje obstarávacou cenou, ktorá zahŕňa cenu obstarania a náklady súvisiace s obstaraním (clo, prepravu, montáž, poistné a pod.) </w:t>
      </w:r>
    </w:p>
    <w:p>
      <w:pPr>
        <w:pStyle w:val="Normal"/>
        <w:numPr>
          <w:ilvl w:val="0"/>
          <w:numId w:val="5"/>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Do dlhodobého hmotného majetku patrí majetok, ku ktorému má účtovná jednotka vlastnícke právo. </w:t>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Times New Roman" w:hAnsi="Times New Roman" w:eastAsia="Times New Roman" w:cs="Times New Roman"/>
          <w:color w:val="auto"/>
          <w:spacing w:val="0"/>
          <w:sz w:val="22"/>
          <w:shd w:fill="auto" w:val="clear"/>
        </w:rPr>
      </w:pPr>
      <w:r>
        <w:rPr>
          <w:rFonts w:eastAsia="Times New Roman" w:cs="Times New Roman" w:ascii="Times New Roman" w:hAnsi="Times New Roman"/>
          <w:color w:val="000000"/>
          <w:spacing w:val="0"/>
          <w:sz w:val="22"/>
          <w:shd w:fill="auto" w:val="clear"/>
        </w:rPr>
        <w:t>Spoločnosť Spolro, spol. s r.o. , Hlavná 283, 98012 Hrnčiarske Zalužany, IČO 36027677, DIČ 2020074749</w:t>
      </w:r>
    </w:p>
    <w:p>
      <w:pPr>
        <w:pStyle w:val="Normal"/>
        <w:bidi w:val="0"/>
        <w:spacing w:lineRule="exact" w:line="240" w:before="0" w:after="0"/>
        <w:ind w:hanging="0" w:left="0" w:right="71"/>
        <w:jc w:val="both"/>
        <w:rPr>
          <w:rFonts w:ascii="Times New Roman" w:hAnsi="Times New Roman" w:eastAsia="Times New Roman" w:cs="Times New Roman"/>
          <w:color w:val="auto"/>
          <w:spacing w:val="0"/>
          <w:sz w:val="22"/>
          <w:shd w:fill="auto" w:val="clear"/>
        </w:rPr>
      </w:pPr>
      <w:r>
        <w:rPr>
          <w:rFonts w:eastAsia="Times New Roman" w:cs="Times New Roman" w:ascii="Times New Roman" w:hAnsi="Times New Roman"/>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numPr>
          <w:ilvl w:val="0"/>
          <w:numId w:val="6"/>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nižšia ako 1700 eur a zároveň s dobou použiteľnosti dlhšou ako jeden rok, sa účtuje ako o zásobách.  </w:t>
      </w:r>
    </w:p>
    <w:p>
      <w:pPr>
        <w:pStyle w:val="Normal"/>
        <w:numPr>
          <w:ilvl w:val="0"/>
          <w:numId w:val="6"/>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Pozemky, umelecké diela a zbierky sa neodpisujú.</w:t>
      </w:r>
    </w:p>
    <w:p>
      <w:pPr>
        <w:pStyle w:val="Normal"/>
        <w:numPr>
          <w:ilvl w:val="0"/>
          <w:numId w:val="6"/>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Vypracovávajú sa prehľady podľa jednotlivého dlhodobého hmotného majetku,  so stanovenou metódou odpisovania, ročnou odpisovou sadzbou.</w:t>
      </w:r>
    </w:p>
    <w:p>
      <w:pPr>
        <w:pStyle w:val="Normal"/>
        <w:numPr>
          <w:ilvl w:val="0"/>
          <w:numId w:val="6"/>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pPr>
        <w:pStyle w:val="Normal"/>
        <w:numPr>
          <w:ilvl w:val="0"/>
          <w:numId w:val="6"/>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Technické zhodnotenie dlhodobého hmotného majetku nie je technickým zhodnotením, ak neprevyšuje  úhrne za účtovné obdobie sumu 1700 eur.</w:t>
      </w:r>
    </w:p>
    <w:p>
      <w:pPr>
        <w:pStyle w:val="Normal"/>
        <w:bidi w:val="0"/>
        <w:spacing w:lineRule="exact" w:line="240" w:before="0" w:after="0"/>
        <w:ind w:firstLine="360"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Cenné papiere a podiely</w:t>
      </w:r>
    </w:p>
    <w:p>
      <w:pPr>
        <w:pStyle w:val="Normal"/>
        <w:numPr>
          <w:ilvl w:val="0"/>
          <w:numId w:val="7"/>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Cenné papiere a podiely sa oceňujú pri nadobudnutí obstarávacou cenou, vrátane nákladov súvisiacich s obstaraním.</w:t>
      </w:r>
    </w:p>
    <w:p>
      <w:pPr>
        <w:pStyle w:val="Normal"/>
        <w:numPr>
          <w:ilvl w:val="0"/>
          <w:numId w:val="7"/>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Ku dňu, ku ktorému sa zostavuje účtovná závierka, sú cenné papiere a podiely ocenené:</w:t>
      </w:r>
    </w:p>
    <w:p>
      <w:pPr>
        <w:pStyle w:val="Normal"/>
        <w:numPr>
          <w:ilvl w:val="0"/>
          <w:numId w:val="7"/>
        </w:numPr>
        <w:bidi w:val="0"/>
        <w:spacing w:lineRule="exact" w:line="240" w:before="0" w:after="0"/>
        <w:ind w:hanging="360" w:left="108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Podielové cenné papiere a podiely v dcérskej účtovnej jednotke a podiely s podstatným vplyvom, sú ocenené metódou vlastného imania.</w:t>
      </w:r>
    </w:p>
    <w:p>
      <w:pPr>
        <w:pStyle w:val="Normal"/>
        <w:numPr>
          <w:ilvl w:val="0"/>
          <w:numId w:val="7"/>
        </w:numPr>
        <w:bidi w:val="0"/>
        <w:spacing w:lineRule="exact" w:line="240" w:before="0" w:after="0"/>
        <w:ind w:hanging="360" w:left="108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Majetkové CP určené na obchodovanie  sa účtujú ako náklad alebo výnos.</w:t>
      </w:r>
    </w:p>
    <w:p>
      <w:pPr>
        <w:pStyle w:val="Normal"/>
        <w:numPr>
          <w:ilvl w:val="0"/>
          <w:numId w:val="7"/>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Iný druh dlhodobého finančného majetku obchodná spoločnosť ku dňu, ku ktorému sa zostavuje účtovná závierka, neeviduje.</w:t>
      </w:r>
    </w:p>
    <w:p>
      <w:pPr>
        <w:pStyle w:val="Normal"/>
        <w:bidi w:val="0"/>
        <w:spacing w:lineRule="exact" w:line="240" w:before="0" w:after="0"/>
        <w:ind w:hanging="0" w:left="36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Zásoby</w:t>
      </w:r>
    </w:p>
    <w:p>
      <w:pPr>
        <w:pStyle w:val="Normal"/>
        <w:numPr>
          <w:ilvl w:val="0"/>
          <w:numId w:val="8"/>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Materiál a tovar sa  prvotne oceňujú obstarávacou cenou, ktorú tvorí cena obstarania a náklady súvisiace s obstaraním (prepravné, poistné, provízie, skonto). </w:t>
      </w:r>
    </w:p>
    <w:p>
      <w:pPr>
        <w:pStyle w:val="Normal"/>
        <w:numPr>
          <w:ilvl w:val="0"/>
          <w:numId w:val="8"/>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Nakupované zásoby sa vyskladňujú metódou FIFO z obstarávacích cien </w:t>
      </w:r>
    </w:p>
    <w:p>
      <w:pPr>
        <w:pStyle w:val="Normal"/>
        <w:numPr>
          <w:ilvl w:val="0"/>
          <w:numId w:val="8"/>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Neskladovateľnými zásobami (účtujú sa priamo do spotreby) sú:</w:t>
      </w:r>
    </w:p>
    <w:p>
      <w:pPr>
        <w:pStyle w:val="Normal"/>
        <w:numPr>
          <w:ilvl w:val="0"/>
          <w:numId w:val="8"/>
        </w:numPr>
        <w:bidi w:val="0"/>
        <w:spacing w:lineRule="exact" w:line="240" w:before="0" w:after="0"/>
        <w:ind w:hanging="360" w:left="144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 Tovar dovezený priamo odberateľovi, bez uloženia do skladu.</w:t>
      </w:r>
    </w:p>
    <w:p>
      <w:pPr>
        <w:pStyle w:val="Normal"/>
        <w:numPr>
          <w:ilvl w:val="0"/>
          <w:numId w:val="8"/>
        </w:numPr>
        <w:bidi w:val="0"/>
        <w:spacing w:lineRule="exact" w:line="240" w:before="0" w:after="0"/>
        <w:ind w:hanging="360" w:left="144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kancelárske potreby, hygienické čistiaci materiál, knihy, odborné časopisy, noviny a iné publikácie vrátane novín a periodík</w:t>
      </w:r>
    </w:p>
    <w:p>
      <w:pPr>
        <w:pStyle w:val="Normal"/>
        <w:numPr>
          <w:ilvl w:val="0"/>
          <w:numId w:val="8"/>
        </w:numPr>
        <w:bidi w:val="0"/>
        <w:spacing w:lineRule="exact" w:line="240" w:before="0" w:after="0"/>
        <w:ind w:hanging="360" w:left="144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ochranné prospekty, plagáty, samolepky, obalové štítky a podobne</w:t>
      </w:r>
    </w:p>
    <w:p>
      <w:pPr>
        <w:pStyle w:val="Normal"/>
        <w:numPr>
          <w:ilvl w:val="0"/>
          <w:numId w:val="8"/>
        </w:numPr>
        <w:bidi w:val="0"/>
        <w:spacing w:lineRule="exact" w:line="240" w:before="0" w:after="0"/>
        <w:ind w:hanging="36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Opravné položky k zásobám sa tvoria, ak je opodstatnené predpokladať, že budúce ekonomické úžitky z tohto majetku sú nižšie ako ich ocenenie v účtovníctve. </w:t>
      </w:r>
    </w:p>
    <w:p>
      <w:pPr>
        <w:pStyle w:val="Normal"/>
        <w:bidi w:val="0"/>
        <w:spacing w:lineRule="exact" w:line="240" w:before="0" w:after="0"/>
        <w:ind w:firstLine="360"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Pohľadávky</w:t>
      </w:r>
    </w:p>
    <w:p>
      <w:pPr>
        <w:pStyle w:val="Normal"/>
        <w:numPr>
          <w:ilvl w:val="0"/>
          <w:numId w:val="9"/>
        </w:numPr>
        <w:bidi w:val="0"/>
        <w:spacing w:lineRule="exact" w:line="240" w:before="0" w:after="0"/>
        <w:ind w:hanging="360" w:left="1068"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Times New Roman" w:cs="Times New Roman" w:ascii="Times New Roman" w:hAnsi="Times New Roman"/>
          <w:color w:val="000000"/>
          <w:spacing w:val="0"/>
          <w:sz w:val="22"/>
          <w:shd w:fill="auto" w:val="clear"/>
        </w:rPr>
        <w:t>Spoločnosť Spolro, spol. s r.o. , Hlavná 283, 98012 Hrnčiarske Zalužany, IČO 36027677, DIČ 2020074749</w:t>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numPr>
          <w:ilvl w:val="0"/>
          <w:numId w:val="10"/>
        </w:numPr>
        <w:bidi w:val="0"/>
        <w:spacing w:lineRule="exact" w:line="240" w:before="0" w:after="0"/>
        <w:ind w:hanging="360" w:left="1068"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Pohľadávky s dobou splatnosti od dňa,  ktorému sa zostavuje účtovná závierka viac ako 12 mesiacov sú dlhodobé a pohľadávky s dobou splatnosti odo dňa ku ktorému sa zostavuje účtovná závierka menej ako 12 mesiacov sa vykazujú ako krátkodobé.</w:t>
      </w:r>
    </w:p>
    <w:p>
      <w:pPr>
        <w:pStyle w:val="Normal"/>
        <w:numPr>
          <w:ilvl w:val="0"/>
          <w:numId w:val="10"/>
        </w:numPr>
        <w:bidi w:val="0"/>
        <w:spacing w:lineRule="exact" w:line="240" w:before="0" w:after="0"/>
        <w:ind w:hanging="360" w:left="1068"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firstLine="708"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Peňažné prostriedky, ekvivalenty peňažných prostriedkov  a peňažné ekvivalenty</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Peňažné prostriedky a ceniny sa oceňujú ich menovitou hodnotou. Zníženie ich hodnoty sa vyjadruje opravnou položkou.</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Peňažné prostriedky a peňažné ekvivalenty zahŕňajú peňažnú hotovosť, termínované vklady v bankách. </w:t>
      </w:r>
    </w:p>
    <w:p>
      <w:pPr>
        <w:pStyle w:val="Normal"/>
        <w:bidi w:val="0"/>
        <w:spacing w:lineRule="exact" w:line="240" w:before="0" w:after="0"/>
        <w:ind w:hanging="0"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b/>
          <w:color w:val="000000"/>
          <w:spacing w:val="0"/>
          <w:sz w:val="22"/>
          <w:shd w:fill="auto" w:val="clear"/>
        </w:rPr>
        <w:tab/>
        <w:t xml:space="preserve"> Náklady budúcich období  a príjmy budúcich období</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Náklady  budúcich období a príjmy budúcich období sa vykazujú vo výške, ktorá je potrebná na dodržanie zásady vecnej a časovej súvislosti s účtovným obdobím.</w:t>
      </w:r>
    </w:p>
    <w:p>
      <w:pPr>
        <w:pStyle w:val="Normal"/>
        <w:bidi w:val="0"/>
        <w:spacing w:lineRule="exact" w:line="240" w:before="0" w:after="0"/>
        <w:ind w:firstLine="708"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r>
    </w:p>
    <w:p>
      <w:pPr>
        <w:pStyle w:val="Normal"/>
        <w:bidi w:val="0"/>
        <w:spacing w:lineRule="exact" w:line="240" w:before="0" w:after="0"/>
        <w:ind w:firstLine="708" w:left="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b/>
          <w:color w:val="000000"/>
          <w:spacing w:val="0"/>
          <w:sz w:val="22"/>
          <w:shd w:fill="auto" w:val="clear"/>
        </w:rPr>
        <w:t>Rezervy</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Rezervy sú záväzky s neurčitým časovým vymedzením alebo výškou, tvoria sa na krytie známych rizík alebo strát z podnikania. Oceňujú sa v očakávanej výške záväzku.</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Rezervy sa oceňujú odhadom v sume dostatočnej  na splnenie existujúcej povinnosti ku dňu, ku ktorému sa zostavuje  účtovná závierka pri zohľadnení rizík a neistôt.</w:t>
      </w:r>
    </w:p>
    <w:p>
      <w:pPr>
        <w:pStyle w:val="Normal"/>
        <w:bidi w:val="0"/>
        <w:spacing w:lineRule="exact" w:line="240" w:before="0" w:after="0"/>
        <w:ind w:hanging="0" w:left="720" w:right="71"/>
        <w:jc w:val="both"/>
        <w:rPr>
          <w:rFonts w:ascii="Arial Narrow" w:hAnsi="Arial Narrow" w:eastAsia="Arial Narrow" w:cs="Arial Narrow"/>
          <w:color w:val="auto"/>
          <w:spacing w:val="0"/>
          <w:sz w:val="22"/>
          <w:u w:val="single"/>
          <w:shd w:fill="auto" w:val="clear"/>
        </w:rPr>
      </w:pPr>
      <w:r>
        <w:rPr>
          <w:rFonts w:eastAsia="Arial Narrow" w:cs="Arial Narrow" w:ascii="Arial Narrow" w:hAnsi="Arial Narrow"/>
          <w:color w:val="000000"/>
          <w:spacing w:val="0"/>
          <w:sz w:val="22"/>
          <w:u w:val="single"/>
          <w:shd w:fill="auto" w:val="clear"/>
        </w:rPr>
        <w:t>Rezerva na nevyčerpané dovolenky vrátane sociálneho poistenia</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Rezerva na mzdy a platy za dovolenku sa vytvára ku dňu, ku ktorému sa zostavuje účtovná závierka na náhradu mzdy za nevyčerpanú dovolenku zamestnancami za uplynulé účtovné obdobie. Od budúceho účtovného obdobia sa nepredpokladá zvyšovanie miezd a preto sa rezerva vypočíta na základe priemernej mzdy zamestnanca a počtu dní nevyčerpanej dovolenky.</w:t>
      </w:r>
    </w:p>
    <w:p>
      <w:pPr>
        <w:pStyle w:val="Normal"/>
        <w:bidi w:val="0"/>
        <w:spacing w:lineRule="exact" w:line="240" w:before="0" w:after="0"/>
        <w:ind w:hanging="0" w:left="720" w:right="71"/>
        <w:jc w:val="both"/>
        <w:rPr>
          <w:rFonts w:ascii="Arial Narrow" w:hAnsi="Arial Narrow" w:eastAsia="Arial Narrow" w:cs="Arial Narrow"/>
          <w:color w:val="auto"/>
          <w:spacing w:val="0"/>
          <w:sz w:val="22"/>
          <w:u w:val="single"/>
          <w:shd w:fill="auto" w:val="clear"/>
        </w:rPr>
      </w:pPr>
      <w:r>
        <w:rPr>
          <w:rFonts w:eastAsia="Arial Narrow" w:cs="Arial Narrow" w:ascii="Arial Narrow" w:hAnsi="Arial Narrow"/>
          <w:color w:val="000000"/>
          <w:spacing w:val="0"/>
          <w:sz w:val="22"/>
          <w:u w:val="single"/>
          <w:shd w:fill="auto" w:val="clear"/>
        </w:rPr>
        <w:t>Rezerva na služby</w:t>
      </w:r>
    </w:p>
    <w:p>
      <w:pPr>
        <w:pStyle w:val="Normal"/>
        <w:bidi w:val="0"/>
        <w:spacing w:lineRule="exact" w:line="240" w:before="0" w:after="0"/>
        <w:ind w:hanging="0" w:left="72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Záväzky</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pPr>
        <w:pStyle w:val="Normal"/>
        <w:bidi w:val="0"/>
        <w:spacing w:lineRule="exact" w:line="240" w:before="0" w:after="0"/>
        <w:ind w:hanging="0" w:left="72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Dotácie</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Dotácie sa účtujú na základe podpísanej zmluvy (nie na základe žiadosti) – vznik pohľadávky. Dotácie sa oceňujú v nominálnej hodnote. Prijatá úhrada dotácií na bankový účet znamená zníženie pohľadávky.</w:t>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both"/>
        <w:rPr>
          <w:rFonts w:ascii="Arial Narrow" w:hAnsi="Arial Narrow" w:eastAsia="Arial Narrow" w:cs="Arial Narrow"/>
          <w:color w:val="auto"/>
          <w:spacing w:val="0"/>
          <w:sz w:val="22"/>
          <w:shd w:fill="auto" w:val="clear"/>
        </w:rPr>
      </w:pPr>
      <w:r>
        <w:rPr>
          <w:rFonts w:eastAsia="Times New Roman" w:cs="Times New Roman" w:ascii="Times New Roman" w:hAnsi="Times New Roman"/>
          <w:color w:val="000000"/>
          <w:spacing w:val="0"/>
          <w:sz w:val="22"/>
          <w:shd w:fill="auto" w:val="clear"/>
        </w:rPr>
        <w:t>Spoločnosť Spolro, spol. s r.o. , Hlavná 283, 98012 Hrnčiarske Zalužany, IČO 36027677, DIČ 2020074749</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72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Výdavky budúcich období a výnosy budúcich období</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Výdavky budúcich období a výnosy budúcich období sa vykazujú vo výške, ktorá je potrebná na dodržanie zásady vecnej a časovej súvislosti v účtovným obdobím.</w:t>
      </w:r>
    </w:p>
    <w:p>
      <w:pPr>
        <w:pStyle w:val="Normal"/>
        <w:bidi w:val="0"/>
        <w:spacing w:lineRule="exact" w:line="240" w:before="0" w:after="0"/>
        <w:ind w:hanging="0" w:left="72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r>
    </w:p>
    <w:p>
      <w:pPr>
        <w:pStyle w:val="Normal"/>
        <w:bidi w:val="0"/>
        <w:spacing w:lineRule="exact" w:line="240" w:before="0" w:after="0"/>
        <w:ind w:hanging="0" w:left="720" w:right="71"/>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Výnosy</w:t>
      </w:r>
    </w:p>
    <w:p>
      <w:pPr>
        <w:pStyle w:val="Normal"/>
        <w:bidi w:val="0"/>
        <w:spacing w:lineRule="exact" w:line="240" w:before="0" w:after="0"/>
        <w:ind w:hanging="0" w:left="720" w:right="71"/>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Tržba za vlastné výkony a tovar neobsahuje daň z pridanej hodnoty. Sú tiež znížené o zľavy a zrážky (rabaty, bonusy, skontá, dobropisy a pod.) bez ohľadu na to, či zákazník mal vopred nárok, alebo či ide o dodatočne uznanú zľavu.</w:t>
      </w:r>
    </w:p>
    <w:p>
      <w:pPr>
        <w:pStyle w:val="Normal"/>
        <w:bidi w:val="0"/>
        <w:spacing w:lineRule="exact" w:line="240" w:before="0" w:after="0"/>
        <w:ind w:hanging="0" w:left="0" w:right="71"/>
        <w:jc w:val="both"/>
        <w:rPr>
          <w:rFonts w:ascii="Times New Roman" w:hAnsi="Times New Roman" w:eastAsia="Times New Roman" w:cs="Times New Roman"/>
          <w:b/>
          <w:color w:val="auto"/>
          <w:spacing w:val="0"/>
          <w:sz w:val="22"/>
          <w:shd w:fill="auto" w:val="clear"/>
        </w:rPr>
      </w:pPr>
      <w:r>
        <w:rPr>
          <w:rFonts w:eastAsia="Times New Roman" w:cs="Times New Roman" w:ascii="Times New Roman" w:hAnsi="Times New Roman"/>
          <w:b/>
          <w:color w:val="000000"/>
          <w:spacing w:val="0"/>
          <w:sz w:val="22"/>
          <w:shd w:fill="auto" w:val="clear"/>
        </w:rPr>
      </w:r>
    </w:p>
    <w:p>
      <w:pPr>
        <w:pStyle w:val="Normal"/>
        <w:bidi w:val="0"/>
        <w:spacing w:lineRule="exact" w:line="240" w:before="0" w:after="0"/>
        <w:ind w:hanging="0" w:left="0" w:right="71"/>
        <w:jc w:val="both"/>
        <w:rPr>
          <w:rFonts w:ascii="Times New Roman" w:hAnsi="Times New Roman" w:eastAsia="Times New Roman" w:cs="Times New Roman"/>
          <w:b/>
          <w:color w:val="auto"/>
          <w:spacing w:val="0"/>
          <w:sz w:val="22"/>
          <w:shd w:fill="auto" w:val="clear"/>
        </w:rPr>
      </w:pPr>
      <w:r>
        <w:rPr>
          <w:rFonts w:eastAsia="Times New Roman" w:cs="Times New Roman" w:ascii="Times New Roman" w:hAnsi="Times New Roman"/>
          <w:b/>
          <w:color w:val="000000"/>
          <w:spacing w:val="0"/>
          <w:sz w:val="22"/>
          <w:shd w:fill="auto" w:val="clear"/>
        </w:rPr>
      </w:r>
    </w:p>
    <w:p>
      <w:pPr>
        <w:pStyle w:val="Normal"/>
        <w:bidi w:val="0"/>
        <w:spacing w:lineRule="exact" w:line="240" w:before="0" w:after="0"/>
        <w:ind w:hanging="0" w:left="0" w:right="71"/>
        <w:jc w:val="both"/>
        <w:rPr>
          <w:rFonts w:ascii="Times New Roman" w:hAnsi="Times New Roman" w:eastAsia="Times New Roman" w:cs="Times New Roman"/>
          <w:color w:val="auto"/>
          <w:spacing w:val="0"/>
          <w:sz w:val="22"/>
          <w:shd w:fill="auto" w:val="clear"/>
        </w:rPr>
      </w:pPr>
      <w:r>
        <w:rPr>
          <w:rFonts w:eastAsia="Times New Roman" w:cs="Times New Roman" w:ascii="Times New Roman" w:hAnsi="Times New Roman"/>
          <w:color w:val="000000"/>
          <w:spacing w:val="0"/>
          <w:sz w:val="22"/>
          <w:shd w:fill="auto" w:val="clear"/>
        </w:rPr>
        <w:t>Čl. III Informácie, ktoré vysvetľujú  súvahu a výkaz ziskov a strát</w:t>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numPr>
          <w:ilvl w:val="0"/>
          <w:numId w:val="11"/>
        </w:numPr>
        <w:bidi w:val="0"/>
        <w:spacing w:lineRule="exact" w:line="240" w:before="0" w:after="0"/>
        <w:ind w:hanging="360" w:left="72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FFFFFF" w:val="clear"/>
        </w:rPr>
        <w:t xml:space="preserve">Dlhodobý hmotný majetok je poistený pre prípad škôd spôsobených živelnou udalosťou alebo vodou z vodovodných zariadení. </w:t>
      </w:r>
    </w:p>
    <w:p>
      <w:pPr>
        <w:pStyle w:val="Normal"/>
        <w:numPr>
          <w:ilvl w:val="0"/>
          <w:numId w:val="11"/>
        </w:numPr>
        <w:bidi w:val="0"/>
        <w:spacing w:lineRule="exact" w:line="240" w:before="0" w:after="0"/>
        <w:ind w:hanging="360" w:left="72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FFFFFF" w:val="clear"/>
        </w:rPr>
        <w:t>Spoločnosť  poistila  hlavný predmet činnosti pre prípad živelnej pohromy a suchu.</w:t>
      </w:r>
    </w:p>
    <w:p>
      <w:pPr>
        <w:pStyle w:val="Normal"/>
        <w:bidi w:val="0"/>
        <w:spacing w:lineRule="exact" w:line="240" w:before="0" w:after="0"/>
        <w:ind w:hanging="0" w:left="0" w:right="0"/>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keepNext w:val="true"/>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color w:val="000000"/>
          <w:spacing w:val="0"/>
          <w:sz w:val="22"/>
          <w:shd w:fill="auto" w:val="clear"/>
        </w:rPr>
        <w:t xml:space="preserve">2. Informácie o pohľadávkach </w:t>
      </w:r>
    </w:p>
    <w:p>
      <w:pPr>
        <w:pStyle w:val="Normal"/>
        <w:bidi w:val="0"/>
        <w:spacing w:lineRule="exact" w:line="240" w:before="0" w:after="0"/>
        <w:ind w:hanging="0" w:left="0" w:right="0"/>
        <w:jc w:val="both"/>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 xml:space="preserve">. </w:t>
      </w:r>
    </w:p>
    <w:p>
      <w:pPr>
        <w:pStyle w:val="Normal"/>
        <w:keepNext w:val="true"/>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Tabuľka č. 1</w:t>
      </w:r>
    </w:p>
    <w:tbl>
      <w:tblPr>
        <w:tblW w:w="9043" w:type="dxa"/>
        <w:jc w:val="center"/>
        <w:tblInd w:w="0" w:type="dxa"/>
        <w:tblLayout w:type="fixed"/>
        <w:tblCellMar>
          <w:top w:w="0" w:type="dxa"/>
          <w:left w:w="70" w:type="dxa"/>
          <w:bottom w:w="0" w:type="dxa"/>
          <w:right w:w="70" w:type="dxa"/>
        </w:tblCellMar>
      </w:tblPr>
      <w:tblGrid>
        <w:gridCol w:w="3600"/>
        <w:gridCol w:w="2721"/>
        <w:gridCol w:w="2722"/>
      </w:tblGrid>
      <w:tr>
        <w:trPr>
          <w:trHeight w:val="1" w:hRule="atLeast"/>
        </w:trPr>
        <w:tc>
          <w:tcPr>
            <w:tcW w:w="3600"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Pohľadávky podľa zostatkovej</w:t>
            </w:r>
          </w:p>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doby splatnosti</w:t>
            </w:r>
          </w:p>
        </w:tc>
        <w:tc>
          <w:tcPr>
            <w:tcW w:w="2721"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Bežné účtovné obdobie</w:t>
            </w:r>
          </w:p>
        </w:tc>
        <w:tc>
          <w:tcPr>
            <w:tcW w:w="272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Bezprostredne predchádzajúce účtovné obdobie</w:t>
            </w:r>
          </w:p>
        </w:tc>
      </w:tr>
      <w:tr>
        <w:trPr>
          <w:trHeight w:val="86" w:hRule="atLeast"/>
        </w:trPr>
        <w:tc>
          <w:tcPr>
            <w:tcW w:w="3600"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A</w:t>
            </w:r>
          </w:p>
        </w:tc>
        <w:tc>
          <w:tcPr>
            <w:tcW w:w="2721"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B</w:t>
            </w:r>
          </w:p>
        </w:tc>
        <w:tc>
          <w:tcPr>
            <w:tcW w:w="272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c</w:t>
            </w:r>
          </w:p>
        </w:tc>
      </w:tr>
      <w:tr>
        <w:trPr>
          <w:trHeight w:val="1" w:hRule="atLeast"/>
        </w:trPr>
        <w:tc>
          <w:tcPr>
            <w:tcW w:w="3600" w:type="dxa"/>
            <w:tcBorders>
              <w:top w:val="single" w:sz="12" w:space="0" w:color="000000"/>
              <w:left w:val="single" w:sz="12" w:space="0" w:color="000000"/>
              <w:bottom w:val="single" w:sz="6"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Pohľadávky po lehote splatnosti</w:t>
            </w:r>
          </w:p>
        </w:tc>
        <w:tc>
          <w:tcPr>
            <w:tcW w:w="2721" w:type="dxa"/>
            <w:tcBorders>
              <w:top w:val="single" w:sz="12" w:space="0" w:color="000000"/>
              <w:left w:val="single" w:sz="12" w:space="0" w:color="000000"/>
              <w:bottom w:val="single" w:sz="6"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0</w:t>
            </w:r>
          </w:p>
        </w:tc>
        <w:tc>
          <w:tcPr>
            <w:tcW w:w="2722" w:type="dxa"/>
            <w:tcBorders>
              <w:top w:val="single" w:sz="12" w:space="0" w:color="000000"/>
              <w:left w:val="single" w:sz="12" w:space="0" w:color="000000"/>
              <w:bottom w:val="single" w:sz="6"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0</w:t>
            </w:r>
          </w:p>
        </w:tc>
      </w:tr>
      <w:tr>
        <w:trPr>
          <w:trHeight w:val="340" w:hRule="atLeast"/>
        </w:trPr>
        <w:tc>
          <w:tcPr>
            <w:tcW w:w="3600"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Pohľadávky spolu</w:t>
            </w:r>
          </w:p>
        </w:tc>
        <w:tc>
          <w:tcPr>
            <w:tcW w:w="2721"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b/>
                <w:color w:val="000000"/>
                <w:spacing w:val="0"/>
                <w:sz w:val="22"/>
                <w:shd w:fill="auto" w:val="clear"/>
              </w:rPr>
              <w:t>1415,19</w:t>
            </w:r>
          </w:p>
        </w:tc>
        <w:tc>
          <w:tcPr>
            <w:tcW w:w="272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360" w:before="0" w:after="0"/>
              <w:ind w:hanging="0" w:left="0" w:right="0"/>
              <w:jc w:val="right"/>
              <w:rPr>
                <w:color w:val="auto"/>
                <w:spacing w:val="0"/>
                <w:sz w:val="22"/>
              </w:rPr>
            </w:pPr>
            <w:r>
              <w:rPr>
                <w:rFonts w:eastAsia="Arial Narrow" w:cs="Arial Narrow" w:ascii="Arial Narrow" w:hAnsi="Arial Narrow"/>
                <w:b/>
                <w:color w:val="000000"/>
                <w:spacing w:val="0"/>
                <w:sz w:val="22"/>
                <w:shd w:fill="auto" w:val="clear"/>
              </w:rPr>
              <w:t>1870</w:t>
            </w:r>
          </w:p>
        </w:tc>
      </w:tr>
    </w:tbl>
    <w:p>
      <w:pPr>
        <w:pStyle w:val="Normal"/>
        <w:keepNext w:val="true"/>
        <w:bidi w:val="0"/>
        <w:spacing w:lineRule="exact" w:line="240" w:before="0" w:after="60"/>
        <w:ind w:hanging="0" w:left="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Spoločnosť  vykazuje pohľadávky z </w:t>
      </w:r>
      <w:r>
        <w:rPr>
          <w:rFonts w:eastAsia="Arial Narrow" w:cs="Arial Narrow" w:ascii="Arial Narrow" w:hAnsi="Arial Narrow"/>
          <w:b/>
          <w:color w:val="000000"/>
          <w:spacing w:val="0"/>
          <w:sz w:val="22"/>
          <w:shd w:fill="auto" w:val="clear"/>
        </w:rPr>
        <w:t xml:space="preserve">preplatkov,  nadmerného  </w:t>
      </w:r>
      <w:r>
        <w:rPr>
          <w:rFonts w:eastAsia="Arial Narrow" w:cs="Arial Narrow" w:ascii="Arial Narrow" w:hAnsi="Arial Narrow"/>
          <w:b/>
          <w:color w:val="000000"/>
          <w:spacing w:val="0"/>
          <w:sz w:val="22"/>
          <w:shd w:fill="auto" w:val="clear"/>
        </w:rPr>
        <w:t>odpočtu DPH, poskytnutej prevádzkovej zálohy  </w:t>
      </w:r>
    </w:p>
    <w:p>
      <w:pPr>
        <w:pStyle w:val="Normal"/>
        <w:keepNext w:val="true"/>
        <w:bidi w:val="0"/>
        <w:spacing w:lineRule="exact" w:line="240" w:before="0" w:after="60"/>
        <w:ind w:hanging="0" w:left="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r>
    </w:p>
    <w:p>
      <w:pPr>
        <w:pStyle w:val="Normal"/>
        <w:keepNext w:val="true"/>
        <w:bidi w:val="0"/>
        <w:spacing w:lineRule="exact" w:line="240" w:before="0" w:after="60"/>
        <w:ind w:hanging="0" w:left="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3. Informácie o rozdelení účtovného zisku alebo o vysporiadaní účtovnej straty  z precháczejúceho roka</w:t>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Tabuľka č. 1</w:t>
      </w:r>
    </w:p>
    <w:tbl>
      <w:tblPr>
        <w:tblW w:w="9043" w:type="dxa"/>
        <w:jc w:val="center"/>
        <w:tblInd w:w="0" w:type="dxa"/>
        <w:tblLayout w:type="fixed"/>
        <w:tblCellMar>
          <w:top w:w="0" w:type="dxa"/>
          <w:left w:w="108" w:type="dxa"/>
          <w:bottom w:w="0" w:type="dxa"/>
          <w:right w:w="108" w:type="dxa"/>
        </w:tblCellMar>
      </w:tblPr>
      <w:tblGrid>
        <w:gridCol w:w="6759"/>
        <w:gridCol w:w="2283"/>
      </w:tblGrid>
      <w:tr>
        <w:trPr>
          <w:trHeight w:val="765" w:hRule="atLeast"/>
        </w:trPr>
        <w:tc>
          <w:tcPr>
            <w:tcW w:w="6759"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Názov položky</w:t>
            </w:r>
          </w:p>
        </w:tc>
        <w:tc>
          <w:tcPr>
            <w:tcW w:w="2283"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Bezprostredne predchádzajúce účtovné obdobie</w:t>
            </w:r>
          </w:p>
        </w:tc>
      </w:tr>
      <w:tr>
        <w:trPr>
          <w:trHeight w:val="397" w:hRule="atLeast"/>
        </w:trPr>
        <w:tc>
          <w:tcPr>
            <w:tcW w:w="6759"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Účtovn</w:t>
            </w:r>
            <w:r>
              <w:rPr>
                <w:rFonts w:eastAsia="Arial Narrow" w:cs="Arial Narrow" w:ascii="Arial Narrow" w:hAnsi="Arial Narrow"/>
                <w:b/>
                <w:color w:val="000000"/>
                <w:spacing w:val="0"/>
                <w:sz w:val="22"/>
                <w:shd w:fill="auto" w:val="clear"/>
              </w:rPr>
              <w:t>ý zisk</w:t>
            </w:r>
          </w:p>
        </w:tc>
        <w:tc>
          <w:tcPr>
            <w:tcW w:w="2283"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205</w:t>
            </w:r>
          </w:p>
        </w:tc>
      </w:tr>
    </w:tbl>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Spoločníci rozhodli o dočasnom ponechaní zisku pre potreby spoločnosti.</w:t>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Times New Roman" w:hAnsi="Times New Roman" w:eastAsia="Times New Roman" w:cs="Times New Roman"/>
          <w:color w:val="auto"/>
          <w:spacing w:val="0"/>
          <w:sz w:val="22"/>
          <w:shd w:fill="auto" w:val="clear"/>
        </w:rPr>
      </w:pPr>
      <w:r>
        <w:rPr>
          <w:rFonts w:eastAsia="Times New Roman" w:cs="Times New Roman" w:ascii="Times New Roman" w:hAnsi="Times New Roman"/>
          <w:color w:val="000000"/>
          <w:spacing w:val="0"/>
          <w:sz w:val="22"/>
          <w:shd w:fill="auto" w:val="clear"/>
        </w:rPr>
        <w:t>Spoločnosť Spolro, spol. s r.o. , Hlavná 283, 98012 Hrnčiarske Zalužany, IČO 36027677, DIČ 2020074749</w:t>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4.Informácie o prijatých pôžičkách a finančných výpomociach, úveroch</w:t>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tbl>
      <w:tblPr>
        <w:tblW w:w="9043" w:type="dxa"/>
        <w:jc w:val="center"/>
        <w:tblInd w:w="0" w:type="dxa"/>
        <w:tblLayout w:type="fixed"/>
        <w:tblCellMar>
          <w:top w:w="0" w:type="dxa"/>
          <w:left w:w="108" w:type="dxa"/>
          <w:bottom w:w="0" w:type="dxa"/>
          <w:right w:w="108" w:type="dxa"/>
        </w:tblCellMar>
      </w:tblPr>
      <w:tblGrid>
        <w:gridCol w:w="2932"/>
        <w:gridCol w:w="772"/>
        <w:gridCol w:w="893"/>
        <w:gridCol w:w="1057"/>
        <w:gridCol w:w="1642"/>
        <w:gridCol w:w="1746"/>
      </w:tblGrid>
      <w:tr>
        <w:trPr>
          <w:trHeight w:val="990" w:hRule="atLeast"/>
        </w:trPr>
        <w:tc>
          <w:tcPr>
            <w:tcW w:w="293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Názov položky</w:t>
            </w:r>
          </w:p>
        </w:tc>
        <w:tc>
          <w:tcPr>
            <w:tcW w:w="77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Mena</w:t>
            </w:r>
          </w:p>
        </w:tc>
        <w:tc>
          <w:tcPr>
            <w:tcW w:w="893"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Úrok </w:t>
              <w:br/>
              <w:t>p. a.</w:t>
            </w:r>
          </w:p>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v %</w:t>
            </w:r>
          </w:p>
        </w:tc>
        <w:tc>
          <w:tcPr>
            <w:tcW w:w="1057"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Dátum splatnosti</w:t>
            </w:r>
          </w:p>
        </w:tc>
        <w:tc>
          <w:tcPr>
            <w:tcW w:w="164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Suma istiny v príslušnej mene za bežné účtovné obdobie</w:t>
            </w:r>
          </w:p>
        </w:tc>
        <w:tc>
          <w:tcPr>
            <w:tcW w:w="1746"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Suma istiny v príslušnej mene za bezprostredne predchádzajúce účtovné obdobie</w:t>
            </w:r>
          </w:p>
        </w:tc>
      </w:tr>
      <w:tr>
        <w:trPr>
          <w:trHeight w:val="330" w:hRule="atLeast"/>
        </w:trPr>
        <w:tc>
          <w:tcPr>
            <w:tcW w:w="293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a</w:t>
            </w:r>
          </w:p>
        </w:tc>
        <w:tc>
          <w:tcPr>
            <w:tcW w:w="77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b</w:t>
            </w:r>
          </w:p>
        </w:tc>
        <w:tc>
          <w:tcPr>
            <w:tcW w:w="893"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c</w:t>
            </w:r>
          </w:p>
        </w:tc>
        <w:tc>
          <w:tcPr>
            <w:tcW w:w="1057"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d</w:t>
            </w:r>
          </w:p>
        </w:tc>
        <w:tc>
          <w:tcPr>
            <w:tcW w:w="164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e</w:t>
            </w:r>
          </w:p>
        </w:tc>
        <w:tc>
          <w:tcPr>
            <w:tcW w:w="1746"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color w:val="000000"/>
                <w:spacing w:val="0"/>
                <w:sz w:val="22"/>
                <w:shd w:fill="auto" w:val="clear"/>
              </w:rPr>
              <w:t>f</w:t>
            </w:r>
          </w:p>
        </w:tc>
      </w:tr>
      <w:tr>
        <w:trPr>
          <w:trHeight w:val="330" w:hRule="atLeast"/>
        </w:trPr>
        <w:tc>
          <w:tcPr>
            <w:tcW w:w="9042" w:type="dxa"/>
            <w:gridSpan w:val="6"/>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Dlhodobé pôžičky</w:t>
            </w:r>
          </w:p>
        </w:tc>
      </w:tr>
      <w:tr>
        <w:trPr>
          <w:trHeight w:val="330" w:hRule="atLeast"/>
        </w:trPr>
        <w:tc>
          <w:tcPr>
            <w:tcW w:w="293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77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 </w:t>
            </w:r>
            <w:r>
              <w:rPr>
                <w:rFonts w:eastAsia="Arial Narrow" w:cs="Arial Narrow" w:ascii="Arial Narrow" w:hAnsi="Arial Narrow"/>
                <w:color w:val="000000"/>
                <w:spacing w:val="0"/>
                <w:sz w:val="22"/>
                <w:shd w:fill="auto" w:val="clear"/>
              </w:rPr>
              <w:t>EUR</w:t>
            </w:r>
          </w:p>
        </w:tc>
        <w:tc>
          <w:tcPr>
            <w:tcW w:w="893"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057"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64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13716</w:t>
            </w:r>
          </w:p>
        </w:tc>
        <w:tc>
          <w:tcPr>
            <w:tcW w:w="1746"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13716</w:t>
            </w:r>
          </w:p>
        </w:tc>
      </w:tr>
      <w:tr>
        <w:trPr>
          <w:trHeight w:val="330" w:hRule="atLeast"/>
        </w:trPr>
        <w:tc>
          <w:tcPr>
            <w:tcW w:w="9042" w:type="dxa"/>
            <w:gridSpan w:val="6"/>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Krátkodobé úvery</w:t>
            </w:r>
            <w:r>
              <w:rPr>
                <w:rFonts w:eastAsia="Arial Narrow" w:cs="Arial Narrow" w:ascii="Arial Narrow" w:hAnsi="Arial Narrow"/>
                <w:color w:val="000000"/>
                <w:spacing w:val="0"/>
                <w:sz w:val="22"/>
                <w:shd w:fill="auto" w:val="clear"/>
              </w:rPr>
              <w:t> </w:t>
            </w:r>
            <w:r>
              <w:rPr>
                <w:rFonts w:eastAsia="Arial Narrow" w:cs="Arial Narrow" w:ascii="Arial Narrow" w:hAnsi="Arial Narrow"/>
                <w:b/>
                <w:color w:val="000000"/>
                <w:spacing w:val="0"/>
                <w:sz w:val="22"/>
                <w:shd w:fill="auto" w:val="clear"/>
              </w:rPr>
              <w:t>a finančné výpomoci</w:t>
            </w:r>
          </w:p>
        </w:tc>
      </w:tr>
      <w:tr>
        <w:trPr>
          <w:trHeight w:val="330" w:hRule="atLeast"/>
        </w:trPr>
        <w:tc>
          <w:tcPr>
            <w:tcW w:w="293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77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EUR</w:t>
            </w:r>
          </w:p>
        </w:tc>
        <w:tc>
          <w:tcPr>
            <w:tcW w:w="893"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057" w:type="dxa"/>
            <w:tcBorders>
              <w:top w:val="single" w:sz="12" w:space="0" w:color="000000"/>
              <w:left w:val="single" w:sz="12" w:space="0" w:color="000000"/>
              <w:bottom w:val="single" w:sz="12" w:space="0" w:color="000000"/>
              <w:right w:val="single" w:sz="12" w:space="0" w:color="000000"/>
            </w:tcBorders>
            <w:shd w:color="000000" w:fill="FFFFFF" w:val="clear"/>
          </w:tcPr>
          <w:p>
            <w:pPr>
              <w:pStyle w:val="Normal"/>
              <w:bidi w:val="0"/>
              <w:spacing w:lineRule="exact" w:line="240" w:before="0" w:after="0"/>
              <w:ind w:hanging="0" w:left="0" w:right="0"/>
              <w:jc w:val="center"/>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642"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rPr>
            </w:pPr>
            <w:r>
              <w:rPr>
                <w:rFonts w:eastAsia="Calibri" w:cs="Calibri"/>
                <w:color w:val="000000"/>
                <w:spacing w:val="0"/>
                <w:sz w:val="22"/>
                <w:shd w:fill="auto" w:val="clear"/>
              </w:rPr>
              <w:t>24895</w:t>
            </w:r>
          </w:p>
        </w:tc>
        <w:tc>
          <w:tcPr>
            <w:tcW w:w="1746"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7900</w:t>
            </w:r>
          </w:p>
        </w:tc>
      </w:tr>
    </w:tbl>
    <w:p>
      <w:pPr>
        <w:pStyle w:val="Normal"/>
        <w:bidi w:val="0"/>
        <w:spacing w:lineRule="exact" w:line="240" w:before="0" w:after="0"/>
        <w:ind w:hanging="0" w:left="0" w:right="71"/>
        <w:jc w:val="left"/>
        <w:rPr>
          <w:rFonts w:ascii="Times New Roman" w:hAnsi="Times New Roman" w:eastAsia="Times New Roman" w:cs="Times New Roman"/>
          <w:b/>
          <w:color w:val="auto"/>
          <w:spacing w:val="0"/>
          <w:sz w:val="22"/>
          <w:shd w:fill="auto" w:val="clear"/>
        </w:rPr>
      </w:pPr>
      <w:r>
        <w:rPr>
          <w:rFonts w:eastAsia="Times New Roman" w:cs="Times New Roman" w:ascii="Times New Roman" w:hAnsi="Times New Roman"/>
          <w:b/>
          <w:color w:val="000000"/>
          <w:spacing w:val="0"/>
          <w:sz w:val="22"/>
          <w:shd w:fill="auto" w:val="clear"/>
        </w:rPr>
      </w:r>
    </w:p>
    <w:p>
      <w:pPr>
        <w:pStyle w:val="Normal"/>
        <w:bidi w:val="0"/>
        <w:spacing w:lineRule="exact" w:line="240" w:before="0" w:after="60"/>
        <w:ind w:hanging="0" w:left="0" w:right="0"/>
        <w:jc w:val="left"/>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b/>
          <w:color w:val="000000"/>
          <w:spacing w:val="0"/>
          <w:sz w:val="22"/>
          <w:shd w:fill="auto" w:val="clear"/>
        </w:rPr>
        <w:t>Výnosy:</w:t>
      </w:r>
    </w:p>
    <w:p>
      <w:pPr>
        <w:pStyle w:val="Normal"/>
        <w:keepNext w:val="true"/>
        <w:bidi w:val="0"/>
        <w:spacing w:lineRule="exact" w:line="240" w:before="0" w:after="60"/>
        <w:ind w:hanging="0" w:left="0" w:right="0"/>
        <w:jc w:val="both"/>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b/>
          <w:color w:val="000000"/>
          <w:spacing w:val="0"/>
          <w:sz w:val="22"/>
          <w:shd w:fill="auto" w:val="clear"/>
        </w:rPr>
        <w:t xml:space="preserve">Informácie o výnosoch pri aktivácii nákladov a o výnosoch z hospodárskej činnosti, finančnej činnosti </w:t>
      </w:r>
    </w:p>
    <w:tbl>
      <w:tblPr>
        <w:tblW w:w="9034" w:type="dxa"/>
        <w:jc w:val="center"/>
        <w:tblInd w:w="0" w:type="dxa"/>
        <w:tblLayout w:type="fixed"/>
        <w:tblCellMar>
          <w:top w:w="0" w:type="dxa"/>
          <w:left w:w="108" w:type="dxa"/>
          <w:bottom w:w="0" w:type="dxa"/>
          <w:right w:w="108" w:type="dxa"/>
        </w:tblCellMar>
      </w:tblPr>
      <w:tblGrid>
        <w:gridCol w:w="4984"/>
        <w:gridCol w:w="2321"/>
        <w:gridCol w:w="1729"/>
      </w:tblGrid>
      <w:tr>
        <w:trPr>
          <w:trHeight w:val="884" w:hRule="atLeast"/>
        </w:trPr>
        <w:tc>
          <w:tcPr>
            <w:tcW w:w="498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Názov položky</w:t>
            </w:r>
          </w:p>
        </w:tc>
        <w:tc>
          <w:tcPr>
            <w:tcW w:w="2321"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Bežné účtovné obdobie</w:t>
            </w:r>
          </w:p>
        </w:tc>
        <w:tc>
          <w:tcPr>
            <w:tcW w:w="1729"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Bezprostredne predchádzajúce účtovné obdobie</w:t>
            </w:r>
          </w:p>
        </w:tc>
      </w:tr>
      <w:tr>
        <w:trPr>
          <w:trHeight w:val="330" w:hRule="atLeast"/>
        </w:trPr>
        <w:tc>
          <w:tcPr>
            <w:tcW w:w="498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Ostatné významné položky výnosov z hospodárskej činnosti, z toho:</w:t>
            </w:r>
          </w:p>
        </w:tc>
        <w:tc>
          <w:tcPr>
            <w:tcW w:w="2321"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b/>
                <w:color w:val="000000"/>
                <w:spacing w:val="0"/>
                <w:sz w:val="22"/>
                <w:shd w:fill="auto" w:val="clear"/>
              </w:rPr>
              <w:t>37829</w:t>
            </w:r>
          </w:p>
        </w:tc>
        <w:tc>
          <w:tcPr>
            <w:tcW w:w="1729"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b/>
                <w:color w:val="000000"/>
                <w:spacing w:val="0"/>
                <w:sz w:val="22"/>
                <w:shd w:fill="auto" w:val="clear"/>
              </w:rPr>
              <w:t>42424</w:t>
            </w:r>
          </w:p>
        </w:tc>
      </w:tr>
      <w:tr>
        <w:trPr>
          <w:trHeight w:val="330" w:hRule="atLeast"/>
        </w:trPr>
        <w:tc>
          <w:tcPr>
            <w:tcW w:w="4984"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tržby z predaja výrobkov</w:t>
            </w:r>
          </w:p>
        </w:tc>
        <w:tc>
          <w:tcPr>
            <w:tcW w:w="2321"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21404</w:t>
            </w:r>
          </w:p>
        </w:tc>
        <w:tc>
          <w:tcPr>
            <w:tcW w:w="1729"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22343</w:t>
            </w:r>
          </w:p>
        </w:tc>
      </w:tr>
    </w:tbl>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0"/>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t>Nízke ha výnosy sú spôsobené  najmä suchom,  obžieraním a pošliapaním plodín lesnou zverou.  Realizačné ceny sú nizke z dôvodu prognózovanej vysokej úrody. Skutočnosť po zbere nedosahuje prognozovanú úrodu,  ale ceny sú už zdeformované. Na ceny vplýva aj možnosť nakúpiť tovar mimo EÚ, z krajín v ktorých pre používanie hnojív a prostriedkov na ochranu neplatia také prísne kritériá ako v EÚ.</w:t>
      </w:r>
    </w:p>
    <w:p>
      <w:pPr>
        <w:pStyle w:val="Normal"/>
        <w:bidi w:val="0"/>
        <w:spacing w:lineRule="exact" w:line="240" w:before="0" w:after="0"/>
        <w:ind w:hanging="0" w:left="0" w:right="71"/>
        <w:jc w:val="left"/>
        <w:rPr>
          <w:rFonts w:ascii="Arial Narrow" w:hAnsi="Arial Narrow" w:eastAsia="Arial Narrow" w:cs="Arial Narrow"/>
          <w:color w:val="auto"/>
          <w:spacing w:val="0"/>
          <w:sz w:val="22"/>
          <w:shd w:fill="auto" w:val="clear"/>
        </w:rPr>
      </w:pPr>
      <w:r>
        <w:rPr>
          <w:rFonts w:eastAsia="Arial Narrow" w:cs="Arial Narrow" w:ascii="Arial Narrow" w:hAnsi="Arial Narrow"/>
          <w:color w:val="000000"/>
          <w:spacing w:val="0"/>
          <w:sz w:val="22"/>
          <w:shd w:fill="auto" w:val="clear"/>
        </w:rPr>
      </w:r>
    </w:p>
    <w:p>
      <w:pPr>
        <w:pStyle w:val="Normal"/>
        <w:bidi w:val="0"/>
        <w:spacing w:lineRule="exact" w:line="240" w:before="0" w:after="0"/>
        <w:ind w:hanging="0" w:left="0" w:right="71"/>
        <w:jc w:val="left"/>
        <w:rPr>
          <w:rFonts w:ascii="Arial Narrow" w:hAnsi="Arial Narrow" w:eastAsia="Arial Narrow" w:cs="Arial Narrow"/>
          <w:b/>
          <w:color w:val="auto"/>
          <w:spacing w:val="0"/>
          <w:sz w:val="22"/>
          <w:shd w:fill="auto" w:val="clear"/>
        </w:rPr>
      </w:pPr>
      <w:r>
        <w:rPr>
          <w:rFonts w:eastAsia="Arial Narrow" w:cs="Arial Narrow" w:ascii="Arial Narrow" w:hAnsi="Arial Narrow"/>
          <w:b/>
          <w:color w:val="000000"/>
          <w:spacing w:val="0"/>
          <w:sz w:val="22"/>
          <w:shd w:fill="auto" w:val="clear"/>
        </w:rPr>
        <w:t xml:space="preserve"> </w:t>
      </w:r>
      <w:r>
        <w:rPr>
          <w:rFonts w:eastAsia="Arial Narrow" w:cs="Arial Narrow" w:ascii="Arial Narrow" w:hAnsi="Arial Narrow"/>
          <w:b/>
          <w:color w:val="000000"/>
          <w:spacing w:val="0"/>
          <w:sz w:val="22"/>
          <w:shd w:fill="auto" w:val="clear"/>
        </w:rPr>
        <w:t xml:space="preserve">Náklady </w:t>
      </w:r>
    </w:p>
    <w:p>
      <w:pPr>
        <w:pStyle w:val="Normal"/>
        <w:bidi w:val="0"/>
        <w:spacing w:lineRule="exact" w:line="240" w:before="0" w:after="0"/>
        <w:ind w:hanging="0" w:left="0" w:right="71"/>
        <w:jc w:val="left"/>
        <w:rPr>
          <w:rFonts w:ascii="Arial Narrow" w:hAnsi="Arial Narrow" w:eastAsia="Arial Narrow" w:cs="Arial Narrow"/>
          <w:b/>
          <w:color w:val="auto"/>
          <w:spacing w:val="0"/>
          <w:sz w:val="22"/>
          <w:shd w:fill="auto" w:val="clear"/>
        </w:rPr>
      </w:pPr>
      <w:r>
        <w:rPr>
          <w:rFonts w:eastAsia="Arial Narrow" w:cs="Arial Narrow" w:ascii="Arial Narrow" w:hAnsi="Arial Narrow"/>
          <w:color w:val="000000"/>
          <w:spacing w:val="0"/>
          <w:sz w:val="22"/>
          <w:shd w:fill="auto" w:val="clear"/>
        </w:rPr>
        <w:t xml:space="preserve">   </w:t>
      </w:r>
      <w:r>
        <w:rPr>
          <w:rFonts w:eastAsia="Arial Narrow" w:cs="Arial Narrow" w:ascii="Arial Narrow" w:hAnsi="Arial Narrow"/>
          <w:b/>
          <w:color w:val="000000"/>
          <w:spacing w:val="0"/>
          <w:sz w:val="22"/>
          <w:shd w:fill="auto" w:val="clear"/>
        </w:rPr>
        <w:t xml:space="preserve"> </w:t>
      </w:r>
    </w:p>
    <w:tbl>
      <w:tblPr>
        <w:tblW w:w="9002" w:type="dxa"/>
        <w:jc w:val="center"/>
        <w:tblInd w:w="0" w:type="dxa"/>
        <w:tblLayout w:type="fixed"/>
        <w:tblCellMar>
          <w:top w:w="0" w:type="dxa"/>
          <w:left w:w="108" w:type="dxa"/>
          <w:bottom w:w="0" w:type="dxa"/>
          <w:right w:w="108" w:type="dxa"/>
        </w:tblCellMar>
      </w:tblPr>
      <w:tblGrid>
        <w:gridCol w:w="5709"/>
        <w:gridCol w:w="1658"/>
        <w:gridCol w:w="1635"/>
      </w:tblGrid>
      <w:tr>
        <w:trPr>
          <w:trHeight w:val="968" w:hRule="atLeast"/>
        </w:trPr>
        <w:tc>
          <w:tcPr>
            <w:tcW w:w="5709"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Názov položky</w:t>
            </w:r>
          </w:p>
        </w:tc>
        <w:tc>
          <w:tcPr>
            <w:tcW w:w="1658"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Bežné účtovné obdobie</w:t>
            </w:r>
          </w:p>
        </w:tc>
        <w:tc>
          <w:tcPr>
            <w:tcW w:w="1635" w:type="dxa"/>
            <w:tcBorders>
              <w:top w:val="single" w:sz="12" w:space="0" w:color="000000"/>
              <w:left w:val="single" w:sz="12" w:space="0" w:color="000000"/>
              <w:bottom w:val="single" w:sz="12" w:space="0" w:color="000000"/>
              <w:right w:val="single" w:sz="12" w:space="0" w:color="000000"/>
            </w:tcBorders>
            <w:shd w:color="000000" w:fill="FFFFFF" w:val="clear"/>
            <w:vAlign w:val="center"/>
          </w:tcPr>
          <w:p>
            <w:pPr>
              <w:pStyle w:val="Normal"/>
              <w:bidi w:val="0"/>
              <w:spacing w:lineRule="exact" w:line="240" w:before="0" w:after="0"/>
              <w:ind w:hanging="0" w:left="0" w:right="0"/>
              <w:jc w:val="center"/>
              <w:rPr>
                <w:color w:val="auto"/>
                <w:spacing w:val="0"/>
                <w:sz w:val="22"/>
              </w:rPr>
            </w:pPr>
            <w:r>
              <w:rPr>
                <w:rFonts w:eastAsia="Arial Narrow" w:cs="Arial Narrow" w:ascii="Arial Narrow" w:hAnsi="Arial Narrow"/>
                <w:b/>
                <w:color w:val="000000"/>
                <w:spacing w:val="0"/>
                <w:sz w:val="22"/>
                <w:shd w:fill="auto" w:val="clear"/>
              </w:rPr>
              <w:t>Bezprostredne predchádzajúce účtovné obdobie</w:t>
            </w:r>
          </w:p>
        </w:tc>
      </w:tr>
      <w:tr>
        <w:trPr>
          <w:trHeight w:val="310" w:hRule="atLeast"/>
        </w:trPr>
        <w:tc>
          <w:tcPr>
            <w:tcW w:w="5709"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Náklady na hospodársku činnosť</w:t>
            </w:r>
          </w:p>
        </w:tc>
        <w:tc>
          <w:tcPr>
            <w:tcW w:w="1658"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rPr>
            </w:pPr>
            <w:r>
              <w:rPr>
                <w:rFonts w:eastAsia="Calibri" w:cs="Calibri"/>
                <w:color w:val="000000"/>
                <w:spacing w:val="0"/>
                <w:sz w:val="22"/>
                <w:shd w:fill="auto" w:val="clear"/>
              </w:rPr>
              <w:t>40863</w:t>
            </w:r>
          </w:p>
        </w:tc>
        <w:tc>
          <w:tcPr>
            <w:tcW w:w="1635"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b/>
                <w:color w:val="000000"/>
                <w:spacing w:val="0"/>
                <w:sz w:val="22"/>
                <w:shd w:fill="auto" w:val="clear"/>
              </w:rPr>
              <w:t>40596</w:t>
            </w:r>
          </w:p>
        </w:tc>
      </w:tr>
      <w:tr>
        <w:trPr>
          <w:trHeight w:val="317" w:hRule="atLeast"/>
        </w:trPr>
        <w:tc>
          <w:tcPr>
            <w:tcW w:w="5709"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Spotreba materiálu a energie</w:t>
            </w:r>
          </w:p>
        </w:tc>
        <w:tc>
          <w:tcPr>
            <w:tcW w:w="1658"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rPr>
            </w:pPr>
            <w:r>
              <w:rPr>
                <w:rFonts w:eastAsia="Calibri" w:cs="Calibri"/>
                <w:color w:val="000000"/>
                <w:spacing w:val="0"/>
                <w:sz w:val="22"/>
                <w:shd w:fill="auto" w:val="clear"/>
              </w:rPr>
              <w:t>24061</w:t>
            </w:r>
          </w:p>
        </w:tc>
        <w:tc>
          <w:tcPr>
            <w:tcW w:w="1635"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22895</w:t>
            </w:r>
          </w:p>
        </w:tc>
      </w:tr>
      <w:tr>
        <w:trPr>
          <w:trHeight w:val="317" w:hRule="atLeast"/>
        </w:trPr>
        <w:tc>
          <w:tcPr>
            <w:tcW w:w="5709"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Služby</w:t>
            </w:r>
          </w:p>
        </w:tc>
        <w:tc>
          <w:tcPr>
            <w:tcW w:w="1658"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4549</w:t>
            </w:r>
          </w:p>
        </w:tc>
        <w:tc>
          <w:tcPr>
            <w:tcW w:w="1635"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8041</w:t>
            </w:r>
          </w:p>
        </w:tc>
      </w:tr>
      <w:tr>
        <w:trPr>
          <w:trHeight w:val="317" w:hRule="atLeast"/>
        </w:trPr>
        <w:tc>
          <w:tcPr>
            <w:tcW w:w="5709"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b/>
                <w:color w:val="000000"/>
                <w:spacing w:val="0"/>
                <w:sz w:val="22"/>
                <w:shd w:fill="auto" w:val="clear"/>
              </w:rPr>
              <w:t>Náklady na finančnú činnosť</w:t>
            </w:r>
          </w:p>
        </w:tc>
        <w:tc>
          <w:tcPr>
            <w:tcW w:w="1658"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736</w:t>
            </w:r>
          </w:p>
        </w:tc>
        <w:tc>
          <w:tcPr>
            <w:tcW w:w="1635"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rPr>
            </w:pPr>
            <w:r>
              <w:rPr>
                <w:rFonts w:eastAsia="Calibri" w:cs="Calibri"/>
                <w:color w:val="000000"/>
                <w:spacing w:val="0"/>
                <w:sz w:val="22"/>
                <w:shd w:fill="auto" w:val="clear"/>
              </w:rPr>
              <w:t>983</w:t>
            </w:r>
          </w:p>
        </w:tc>
      </w:tr>
      <w:tr>
        <w:trPr>
          <w:trHeight w:val="317" w:hRule="atLeast"/>
        </w:trPr>
        <w:tc>
          <w:tcPr>
            <w:tcW w:w="5709"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color w:val="auto"/>
                <w:spacing w:val="0"/>
                <w:sz w:val="22"/>
              </w:rPr>
            </w:pPr>
            <w:r>
              <w:rPr>
                <w:rFonts w:eastAsia="Arial Narrow" w:cs="Arial Narrow" w:ascii="Arial Narrow" w:hAnsi="Arial Narrow"/>
                <w:color w:val="000000"/>
                <w:spacing w:val="0"/>
                <w:sz w:val="22"/>
                <w:shd w:fill="auto" w:val="clear"/>
              </w:rPr>
              <w:t>Úroky</w:t>
            </w:r>
          </w:p>
        </w:tc>
        <w:tc>
          <w:tcPr>
            <w:tcW w:w="1658"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color w:val="auto"/>
                <w:spacing w:val="0"/>
                <w:sz w:val="22"/>
              </w:rPr>
            </w:pPr>
            <w:r>
              <w:rPr>
                <w:rFonts w:eastAsia="Arial Narrow" w:cs="Arial Narrow" w:ascii="Arial Narrow" w:hAnsi="Arial Narrow"/>
                <w:color w:val="000000"/>
                <w:spacing w:val="0"/>
                <w:sz w:val="22"/>
                <w:shd w:fill="auto" w:val="clear"/>
              </w:rPr>
              <w:t>570</w:t>
            </w:r>
          </w:p>
        </w:tc>
        <w:tc>
          <w:tcPr>
            <w:tcW w:w="1635"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rPr>
            </w:pPr>
            <w:r>
              <w:rPr>
                <w:rFonts w:eastAsia="Calibri" w:cs="Calibri"/>
                <w:color w:val="000000"/>
                <w:spacing w:val="0"/>
                <w:sz w:val="22"/>
                <w:shd w:fill="auto" w:val="clear"/>
              </w:rPr>
              <w:t>601</w:t>
            </w:r>
          </w:p>
        </w:tc>
      </w:tr>
      <w:tr>
        <w:trPr>
          <w:trHeight w:val="200" w:hRule="atLeast"/>
        </w:trPr>
        <w:tc>
          <w:tcPr>
            <w:tcW w:w="5709" w:type="dxa"/>
            <w:tcBorders>
              <w:top w:val="single" w:sz="6" w:space="0" w:color="000000"/>
              <w:left w:val="single" w:sz="12" w:space="0" w:color="000000"/>
              <w:bottom w:val="single" w:sz="6"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658" w:type="dxa"/>
            <w:tcBorders>
              <w:top w:val="single" w:sz="6" w:space="0" w:color="000000"/>
              <w:left w:val="single" w:sz="12" w:space="0" w:color="000000"/>
              <w:bottom w:val="single" w:sz="6"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635" w:type="dxa"/>
            <w:tcBorders>
              <w:top w:val="single" w:sz="6" w:space="0" w:color="000000"/>
              <w:left w:val="single" w:sz="12" w:space="0" w:color="000000"/>
              <w:bottom w:val="single" w:sz="6"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53" w:hRule="atLeast"/>
        </w:trPr>
        <w:tc>
          <w:tcPr>
            <w:tcW w:w="5709"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658"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righ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1635" w:type="dxa"/>
            <w:tcBorders>
              <w:top w:val="single" w:sz="6" w:space="0" w:color="000000"/>
              <w:left w:val="single" w:sz="12" w:space="0" w:color="000000"/>
              <w:bottom w:val="single" w:sz="4" w:space="0" w:color="000000"/>
              <w:right w:val="single" w:sz="12" w:space="0" w:color="000000"/>
            </w:tcBorders>
            <w:shd w:color="000000" w:fill="FFFFFF" w:val="clear"/>
            <w:vAlign w:val="center"/>
          </w:tcPr>
          <w:p>
            <w:pPr>
              <w:pStyle w:val="Normal"/>
              <w:bidi w:val="0"/>
              <w:spacing w:lineRule="exact" w:line="240" w:before="0" w:after="0"/>
              <w:ind w:hanging="0" w:left="0" w:right="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bl>
    <w:p>
      <w:pPr>
        <w:pStyle w:val="Normal"/>
        <w:bidi w:val="0"/>
        <w:spacing w:lineRule="exact" w:line="240" w:before="0" w:after="0"/>
        <w:ind w:hanging="0" w:left="0" w:right="71"/>
        <w:jc w:val="left"/>
        <w:rPr>
          <w:rFonts w:ascii="Times New Roman" w:hAnsi="Times New Roman" w:eastAsia="Times New Roman" w:cs="Times New Roman"/>
          <w:b/>
          <w:color w:val="auto"/>
          <w:spacing w:val="0"/>
          <w:sz w:val="22"/>
          <w:shd w:fill="auto" w:val="clear"/>
        </w:rPr>
      </w:pPr>
      <w:r>
        <w:rPr>
          <w:rFonts w:eastAsia="Times New Roman" w:cs="Times New Roman" w:ascii="Times New Roman" w:hAnsi="Times New Roman"/>
          <w:color w:val="000000"/>
          <w:spacing w:val="0"/>
          <w:sz w:val="24"/>
          <w:shd w:fill="auto" w:val="clear"/>
        </w:rPr>
      </w:r>
    </w:p>
    <w:sectPr>
      <w:type w:val="nextPage"/>
      <w:pgSz w:w="12240" w:h="15840"/>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Arial Narrow">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78"/>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sk-SK"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sk-SK" w:eastAsia="zh-CN" w:bidi="hi-IN"/>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gister">
    <w:name w:val="Register"/>
    <w:basedOn w:val="Normal"/>
    <w:qFormat/>
    <w:pPr>
      <w:suppressLineNumbers/>
    </w:pPr>
    <w:rPr>
      <w:rFonts w:cs="Arial"/>
    </w:rPr>
  </w:style>
  <w:style w:type="paragraph" w:styleId="Nadpisuser">
    <w:name w:val="Nadpis (user)"/>
    <w:basedOn w:val="Normal"/>
    <w:next w:val="BodyText"/>
    <w:qFormat/>
    <w:pPr>
      <w:keepNext w:val="true"/>
      <w:spacing w:before="240" w:after="120"/>
    </w:pPr>
    <w:rPr>
      <w:rFonts w:ascii="Liberation Sans" w:hAnsi="Liberation Sans" w:eastAsia="Microsoft YaHei" w:cs="Arial"/>
      <w:sz w:val="28"/>
      <w:szCs w:val="28"/>
    </w:rPr>
  </w:style>
  <w:style w:type="paragraph" w:styleId="Registeruser">
    <w:name w:val="Register (user)"/>
    <w:basedOn w:val="Normal"/>
    <w:qFormat/>
    <w:pPr>
      <w:suppressLineNumbers/>
    </w:pPr>
    <w:rPr>
      <w:rFonts w:cs="Arial"/>
    </w:rPr>
  </w:style>
  <w:style w:type="paragraph" w:styleId="Obsahtabuky">
    <w:name w:val="Obsah tabuľky"/>
    <w:basedOn w:val="Normal"/>
    <w:qFormat/>
    <w:pPr>
      <w:widowControl w:val="false"/>
      <w:suppressLineNumbers/>
    </w:pPr>
    <w:rPr/>
  </w:style>
  <w:style w:type="paragraph" w:styleId="Zhlavietabuky">
    <w:name w:val="Záhlavie tabuľky"/>
    <w:basedOn w:val="Obsahtabuky"/>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LibreOffice/25.2.7.2$Windows_X86_64 LibreOffice_project/5cbfd1ab6520636bb5f7b99185aa69bd7456825d</Application>
  <AppVersion>15.0000</AppVersion>
  <Pages>5</Pages>
  <Words>1625</Words>
  <Characters>9786</Characters>
  <CharactersWithSpaces>11352</CharactersWithSpaces>
  <Paragraphs>162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sk-SK</dc:language>
  <cp:lastModifiedBy/>
  <dcterms:modified xsi:type="dcterms:W3CDTF">2026-06-22T12:21:50Z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