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9.xml.rels" ContentType="application/vnd.openxmlformats-package.relationships+xml"/>
  <Override PartName="/word/activeX/_rels/activeX14.xml.rels" ContentType="application/vnd.openxmlformats-package.relationships+xml"/>
  <Override PartName="/word/activeX/_rels/activeX4.xml.rels" ContentType="application/vnd.openxmlformats-package.relationships+xml"/>
  <Override PartName="/word/activeX/_rels/activeX8.xml.rels" ContentType="application/vnd.openxmlformats-package.relationships+xml"/>
  <Override PartName="/word/activeX/_rels/activeX13.xml.rels" ContentType="application/vnd.openxmlformats-package.relationships+xml"/>
  <Override PartName="/word/activeX/_rels/activeX3.xml.rels" ContentType="application/vnd.openxmlformats-package.relationships+xml"/>
  <Override PartName="/word/activeX/_rels/activeX7.xml.rels" ContentType="application/vnd.openxmlformats-package.relationships+xml"/>
  <Override PartName="/word/activeX/_rels/activeX1.xml.rels" ContentType="application/vnd.openxmlformats-package.relationships+xml"/>
  <Override PartName="/word/activeX/_rels/activeX11.xml.rels" ContentType="application/vnd.openxmlformats-package.relationships+xml"/>
  <Override PartName="/word/activeX/_rels/activeX2.xml.rels" ContentType="application/vnd.openxmlformats-package.relationships+xml"/>
  <Override PartName="/word/activeX/_rels/activeX12.xml.rels" ContentType="application/vnd.openxmlformats-package.relationships+xml"/>
  <Override PartName="/word/activeX/_rels/activeX10.xml.rels" ContentType="application/vnd.openxmlformats-package.relationships+xml"/>
  <Override PartName="/word/activeX/activeX7.bin" ContentType="application/vnd.ms-office.activeX"/>
  <Override PartName="/word/activeX/activeX13.bin" ContentType="application/vnd.ms-office.activeX"/>
  <Override PartName="/word/activeX/activeX6.xml" ContentType="application/vnd.ms-office.activeX+xml"/>
  <Override PartName="/word/activeX/activeX12.xml" ContentType="application/vnd.ms-office.activeX+xml"/>
  <Override PartName="/word/activeX/activeX6.bin" ContentType="application/vnd.ms-office.activeX"/>
  <Override PartName="/word/activeX/activeX12.bin" ContentType="application/vnd.ms-office.activeX"/>
  <Override PartName="/word/activeX/activeX5.xml" ContentType="application/vnd.ms-office.activeX+xml"/>
  <Override PartName="/word/activeX/activeX11.xml" ContentType="application/vnd.ms-office.activeX+xml"/>
  <Override PartName="/word/activeX/activeX5.bin" ContentType="application/vnd.ms-office.activeX"/>
  <Override PartName="/word/activeX/activeX11.bin" ContentType="application/vnd.ms-office.activeX"/>
  <Override PartName="/word/activeX/activeX4.xml" ContentType="application/vnd.ms-office.activeX+xml"/>
  <Override PartName="/word/activeX/activeX10.xml" ContentType="application/vnd.ms-office.activeX+xml"/>
  <Override PartName="/word/activeX/activeX4.bin" ContentType="application/vnd.ms-office.activeX"/>
  <Override PartName="/word/activeX/activeX10.bin" ContentType="application/vnd.ms-office.activeX"/>
  <Override PartName="/word/activeX/activeX3.xml" ContentType="application/vnd.ms-office.activeX+xml"/>
  <Override PartName="/word/activeX/activeX9.xml" ContentType="application/vnd.ms-office.activeX+xml"/>
  <Override PartName="/word/activeX/activeX9.bin" ContentType="application/vnd.ms-office.activeX"/>
  <Override PartName="/word/activeX/activeX2.bin" ContentType="application/vnd.ms-office.activeX"/>
  <Override PartName="/word/activeX/activeX2.xml" ContentType="application/vnd.ms-office.activeX+xml"/>
  <Override PartName="/word/activeX/activeX14.xml" ContentType="application/vnd.ms-office.activeX+xml"/>
  <Override PartName="/word/activeX/activeX8.xml" ContentType="application/vnd.ms-office.activeX+xml"/>
  <Override PartName="/word/activeX/activeX14.bin" ContentType="application/vnd.ms-office.activeX"/>
  <Override PartName="/word/activeX/activeX8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13.xml" ContentType="application/vnd.ms-office.activeX+xml"/>
  <Override PartName="/word/activeX/activeX7.xml" ContentType="application/vnd.ms-office.activeX+xml"/>
  <Override PartName="/word/activeX/activeX3.bin" ContentType="application/vnd.ms-office.activeX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keepNext w:val="false"/>
        <w:keepLines w:val="false"/>
        <w:spacing w:lineRule="auto" w:line="276" w:before="240" w:after="0"/>
        <w:ind w:hanging="0" w:left="0" w:right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</w:r>
      <w:r>
        <w:rPr>
          <w:rFonts w:eastAsia="Arial" w:cs="Arial" w:ascii="Times New Roman" w:hAnsi="Times New Roman"/>
          <w:lang w:eastAsia="sk-SK"/>
        </w:rPr>
        <w:t>LoopLabs</w:t>
      </w:r>
      <w:r>
        <w:rPr>
          <w:rFonts w:eastAsia="Arial" w:cs="Times New Roman" w:ascii="Times New Roman" w:hAnsi="Times New Roman"/>
          <w:lang w:eastAsia="sk-SK"/>
        </w:rPr>
        <w:t xml:space="preserve"> s.r.o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 xml:space="preserve">  </w:t>
      </w:r>
      <w:r>
        <w:rPr>
          <w:rFonts w:eastAsia="Arial" w:cs="Times New Roman" w:ascii="Times New Roman" w:hAnsi="Times New Roman"/>
          <w:lang w:eastAsia="sk-SK"/>
        </w:rPr>
        <w:t>Sídlo účtovnej jednotky:</w:t>
        <w:tab/>
        <w:tab/>
        <w:tab/>
        <w:t xml:space="preserve">             </w:t>
      </w:r>
      <w:r>
        <w:rPr>
          <w:rFonts w:eastAsia="Arial" w:cs="Times New Roman" w:ascii="Times New Roman" w:hAnsi="Times New Roman"/>
          <w:lang w:eastAsia="sk-SK"/>
        </w:rPr>
        <w:t>Karpatské námestie 7770/10A</w:t>
      </w:r>
      <w:r>
        <w:rPr>
          <w:rFonts w:eastAsia="Arial" w:cs="Times New Roman" w:ascii="Times New Roman" w:hAnsi="Times New Roman"/>
          <w:lang w:eastAsia="sk-SK"/>
        </w:rPr>
        <w:t xml:space="preserve">, Bratislava - </w:t>
      </w:r>
      <w:r>
        <w:rPr>
          <w:rFonts w:eastAsia="Arial" w:cs="Times New Roman" w:ascii="Times New Roman" w:hAnsi="Times New Roman"/>
          <w:lang w:eastAsia="sk-SK"/>
        </w:rPr>
        <w:t>Rača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 xml:space="preserve">831 06 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</w:r>
      <w:r>
        <w:rPr>
          <w:rFonts w:eastAsia="Arial" w:cs="Arial" w:ascii="Times New Roman" w:hAnsi="Times New Roman"/>
          <w:color w:val="auto"/>
          <w:kern w:val="0"/>
          <w:sz w:val="22"/>
          <w:szCs w:val="22"/>
          <w:lang w:val="sk-SK" w:eastAsia="sk-SK" w:bidi="ar-SA"/>
        </w:rPr>
        <w:t>1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 nie je náplň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tabs>
          <w:tab w:val="clear" w:pos="709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povinnos</w:t>
      </w:r>
      <w:r>
        <w:rPr>
          <w:rFonts w:eastAsia="Arial" w:cs="Arial" w:ascii="Times New Roman" w:hAnsi="Times New Roman"/>
          <w:b/>
          <w:lang w:eastAsia="sk-SK"/>
        </w:rPr>
        <w:t>ť zostaviť konsolidovanú účtovnú závierku:</w:t>
        <w:pict>
          <v:shapetype id="_x0000_t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o:allowincell="f" style="position:absolute;margin-left:321.45pt;margin-top:-2.1pt;width:32.5pt;height:16.7pt;mso-position-vertical:center" type="#_x0000_t201">
            <w10:wrap type="none"/>
          </v:shape>
          <w:control r:id="rId2" w:name="unnamed0" w:shapeid="control_shape_0"/>
        </w:pict>
        <w:pict>
          <v:shape id="control_shape_1" o:allowincell="f" style="position:absolute;margin-left:261.65pt;margin-top:-2.1pt;width:41.4pt;height:16.7pt;mso-position-vertical:center" type="#_x0000_t201">
            <w10:wrap type="none"/>
          </v:shape>
          <w:control r:id="rId3" w:name="unnamed0" w:shapeid="control_shape_1"/>
        </w:pic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o:allowincell="f" style="position:absolute;margin-left:31.45pt;margin-top:-1.7pt;width:41.4pt;height:16.7pt;mso-position-vertical:center" type="#_x0000_t201">
            <w10:wrap type="none"/>
          </v:shape>
          <w:control r:id="rId6" w:name="unnamed0" w:shapeid="control_shape_2"/>
        </w:pict>
      </w:r>
      <w:r>
        <w:pict>
          <v:shape id="control_shape_3" o:allowincell="f" style="position:absolute;margin-left:83.6pt;margin-top:-1.7pt;width:32.5pt;height:16.7pt;mso-position-vertical:center" type="#_x0000_t201">
            <w10:wrap type="none"/>
          </v:shape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 záväzkov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8"/>
        <w:gridCol w:w="3544"/>
        <w:gridCol w:w="3260"/>
      </w:tblGrid>
      <w:tr>
        <w:trPr>
          <w:trHeight w:val="338" w:hRule="atLeast"/>
        </w:trPr>
        <w:tc>
          <w:tcPr>
            <w:tcW w:w="3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1"/>
                <w:szCs w:val="21"/>
                <w:lang w:eastAsia="sk-SK"/>
              </w:rPr>
              <w:t>Obstarávacia cena zahŕňa cenu obstarania 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Calibri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Ak ku dňu, ku ktorému sa zostavuje účtovná závierka, sú budúce ekonomické úžitky zásob nižšie ako ich ocenenie v účtovníctve, ocenia sa v čistej realizačnej hodnote. Ku dňu účtovnej závierky účtovná jednotka neeviduje zásoby na sklade.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Druhy materiálov účtovaných priamo do spotreby bez zaúčtovania na sklad sú uvedené vo vnútornom predpise účtovnej jednotky so zohľadnením toho, že spotreba materiálu vykázaná v účtovnej závierke zodpovedá skutočnej spotrebe materiálu.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o:allowincell="f" style="position:absolute;margin-left:34pt;margin-top:-1.7pt;width:145.85pt;height:16.7pt;mso-position-vertical:center" type="#_x0000_t201">
            <w10:wrap type="none"/>
          </v:shape>
          <w:control r:id="rId8" w:name="unnamed0" w:shapeid="control_shape_4"/>
        </w:pic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o:allowincell="f" style="position:absolute;margin-left:34pt;margin-top:-2.1pt;width:145.85pt;height:16.7pt;mso-position-vertical:center" type="#_x0000_t201">
            <w10:wrap type="none"/>
          </v:shape>
          <w:control r:id="rId9" w:name="unnamed0" w:shapeid="control_shape_5"/>
        </w:pict>
      </w:r>
    </w:p>
    <w:p>
      <w:pPr>
        <w:pStyle w:val="Normal"/>
        <w:spacing w:before="60" w:after="120"/>
        <w:ind w:hanging="11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o:allowincell="f" style="position:absolute;margin-left:34pt;margin-top:-2.1pt;width:400.8pt;height:16.7pt;mso-position-vertical:center" type="#_x0000_t201">
            <w10:wrap type="none"/>
          </v:shape>
          <w:control r:id="rId10" w:name="unnamed0" w:shapeid="control_shape_6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o:allowincell="f" style="position:absolute;margin-left:34pt;margin-top:-2.1pt;width:469pt;height:16.7pt;mso-position-vertical:center" type="#_x0000_t201">
            <w10:wrap type="none"/>
          </v:shape>
          <w:control r:id="rId11" w:name="unnamed0" w:shapeid="control_shape_7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o:allowincell="f" style="position:absolute;margin-left:34pt;margin-top:-2.1pt;width:400.8pt;height:16.7pt;mso-position-vertical:center" type="#_x0000_t201">
            <w10:wrap type="none"/>
          </v:shape>
          <w:control r:id="rId12" w:name="unnamed0" w:shapeid="control_shape_8"/>
        </w:pict>
      </w:r>
    </w:p>
    <w:p>
      <w:pPr>
        <w:pStyle w:val="Heading2"/>
        <w:spacing w:before="240" w:after="0"/>
        <w:rPr>
          <w:rFonts w:ascii="Times New Roman" w:hAnsi="Times New Roman" w:eastAsia="Times New Roman" w:cs="Times New Roman"/>
          <w:bCs w:val="false"/>
          <w:color w:val="auto"/>
          <w:sz w:val="28"/>
          <w:lang w:eastAsia="sk-SK"/>
        </w:rPr>
      </w:pPr>
      <w:r>
        <w:rPr>
          <w:rFonts w:eastAsia="Times New Roman" w:cs="Times New Roman" w:ascii="Times New Roman" w:hAnsi="Times New Roman"/>
          <w:bCs w:val="false"/>
          <w:color w:val="auto"/>
          <w:sz w:val="28"/>
          <w:lang w:eastAsia="sk-SK"/>
        </w:rPr>
        <w:t>Čl. II (3) Spôsob zostavenia odpisového plánu pre jednotlivé druhy dlhodobého majetku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(3) Spôsob zostavenia odpisového plánu pre jednotlivé druhy dlhodobého majetku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  <w:pict>
          <v:shape id="control_shape_9" o:allowincell="f" style="position:absolute;margin-left:14.15pt;margin-top:-2.5pt;width:15.4pt;height:16.7pt" type="#_x0000_t201">
            <w10:wrap type="none"/>
          </v:shape>
          <w:control r:id="rId13" w:name="unnamed0" w:shapeid="control_shape_9"/>
        </w:pict>
      </w:r>
    </w:p>
    <w:p>
      <w:pPr>
        <w:pStyle w:val="Normal"/>
        <w:widowControl/>
        <w:tabs>
          <w:tab w:val="clear" w:pos="709"/>
          <w:tab w:val="center" w:pos="1054" w:leader="none"/>
          <w:tab w:val="center" w:pos="6543" w:leader="none"/>
        </w:tabs>
        <w:suppressAutoHyphens w:val="true"/>
        <w:bidi w:val="0"/>
        <w:spacing w:lineRule="auto" w:line="276" w:before="60" w:after="120"/>
        <w:ind w:firstLine="567" w:left="0" w:right="0"/>
        <w:jc w:val="left"/>
        <w:rPr/>
      </w:pPr>
      <w:r>
        <w:rPr>
          <w:rFonts w:eastAsia="Calibri" w:cs="Calibri"/>
          <w:lang w:eastAsia="sk-SK"/>
        </w:rPr>
        <w:tab/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predpokladaného opotrebenia zaraďovaného majetku zodpovedajúceho bežným podmienkam jeho využívania. účtovné a daňové odpisy sa nerovnajú.</w:t>
        <w:pict>
          <v:shape id="control_shape_10" o:allowincell="f" style="position:absolute;margin-left:14.15pt;margin-top:-2.5pt;width:15.4pt;height:16.7pt" type="#_x0000_t201">
            <w10:wrap type="none"/>
          </v:shape>
          <w:control r:id="rId14" w:name="unnamed0" w:shapeid="control_shape_10"/>
        </w:pic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metód používaných pri vyčíslovaní daňových odpisov. Účtovné a daňové odpisy sa rovnajú.</w:t>
        <w:pict>
          <v:shape id="control_shape_11" o:allowincell="f" style="position:absolute;margin-left:14.15pt;margin-top:-2.5pt;width:15.4pt;height:16.7pt" type="#_x0000_t201">
            <w10:wrap type="none"/>
          </v:shape>
          <w:control r:id="rId15" w:name="unnamed0" w:shapeid="control_shape_11"/>
        </w:pic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Odpisový plán bol ovplyvnený týmito skutočnosťami: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Spôsob zostavenia odpisového plánu pre jednotlivé druhy dlhodobého nehmotného a hmotného majetku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7"/>
        <w:gridCol w:w="2413"/>
        <w:gridCol w:w="2266"/>
        <w:gridCol w:w="2125"/>
      </w:tblGrid>
      <w:tr>
        <w:trPr>
          <w:trHeight w:val="338" w:hRule="atLeast"/>
        </w:trPr>
        <w:tc>
          <w:tcPr>
            <w:tcW w:w="37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majetku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Doba odpisovania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Sadzba odpisov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Odpisová metóda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r>
          </w:p>
        </w:tc>
        <w:tc>
          <w:tcPr>
            <w:tcW w:w="241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 xml:space="preserve"> 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right="0"/>
              <w:jc w:val="left"/>
              <w:rPr/>
            </w:pPr>
            <w:r>
              <w:rPr/>
            </w:r>
          </w:p>
          <w:p>
            <w:pPr>
              <w:pStyle w:val="Normal"/>
              <w:spacing w:lineRule="auto" w:line="259" w:before="0" w:after="0"/>
              <w:ind w:hanging="0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142"/>
        <w:rPr/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dosiahnutia verného a pravdivého obrazu,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bilančnej kontinuity,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akruálny princíp,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stálosti metód,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nepretržitosti pokračovania účtovnej jednotky vo svojej činnosti,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zákazu kompenzácie,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dokladovosti,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opatrnosti,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prednosť podstaty pred formou,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oceňovacie zásady,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vecné a časové priraďovanie nákladov k výnosom, a k nim využité účtovné metódy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44" w:type="dxa"/>
        <w:tblLayout w:type="fixed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4"/>
        <w:gridCol w:w="2134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Vyčíslenie vplyvu na fin. hodnotu majetku, záväzkov,</w:t>
            </w:r>
          </w:p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základného imania, výsledku hospodárenia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10" w:right="0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spacing w:before="240" w:after="0"/>
        <w:ind w:hanging="0" w:left="0" w:right="0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(2) b) Celková suma zabezpečených záväzkov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(2) b) Celková suma zabezpečených záväzkov</w:t>
      </w:r>
    </w:p>
    <w:tbl>
      <w:tblPr>
        <w:tblW w:w="10492" w:type="dxa"/>
        <w:jc w:val="left"/>
        <w:tblInd w:w="136" w:type="dxa"/>
        <w:tblLayout w:type="fixed"/>
        <w:tblCellMar>
          <w:top w:w="66" w:type="dxa"/>
          <w:left w:w="108" w:type="dxa"/>
          <w:bottom w:w="0" w:type="dxa"/>
          <w:right w:w="45" w:type="dxa"/>
        </w:tblCellMar>
      </w:tblPr>
      <w:tblGrid>
        <w:gridCol w:w="5761"/>
        <w:gridCol w:w="2592"/>
        <w:gridCol w:w="163"/>
        <w:gridCol w:w="1975"/>
      </w:tblGrid>
      <w:tr>
        <w:trPr>
          <w:trHeight w:val="338" w:hRule="atLeast"/>
        </w:trPr>
        <w:tc>
          <w:tcPr>
            <w:tcW w:w="5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5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Opis zabezpečeného záväzku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Hodnota</w:t>
            </w:r>
          </w:p>
        </w:tc>
        <w:tc>
          <w:tcPr>
            <w:tcW w:w="163" w:type="dxa"/>
            <w:tcBorders>
              <w:top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2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Spôsob zabezpečenia</w:t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56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0" w:left="0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12" o:allowincell="f" style="position:absolute;margin-left:34pt;margin-top:-1.8pt;width:43.6pt;height:16.9pt;mso-position-vertical:center" type="#_x0000_t201">
            <w10:wrap type="none"/>
          </v:shape>
          <w:control r:id="rId16" w:name="unnamed0" w:shapeid="control_shape_12"/>
        </w:pict>
      </w:r>
      <w:r>
        <w:pict>
          <v:shape id="control_shape_13" o:allowincell="f" style="position:absolute;margin-left:95.8pt;margin-top:-1.8pt;width:43.6pt;height:16.9pt;mso-position-vertical:center" type="#_x0000_t201">
            <w10:wrap type="none"/>
          </v:shape>
          <w:control r:id="rId17" w:name="unnamed0" w:shapeid="control_shape_1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-5" w:right="0"/>
        <w:outlineLvl w:val="0"/>
        <w:rPr>
          <w:rFonts w:ascii="Times New Roman" w:hAnsi="Times New Roman" w:eastAsia="Arial" w:cs="Arial"/>
          <w:b/>
          <w:color w:val="000000"/>
          <w:sz w:val="28"/>
          <w:szCs w:val="28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28"/>
          <w:szCs w:val="28"/>
          <w:lang w:eastAsia="sk-SK"/>
        </w:rPr>
        <w:t>Miesto pre ďalšie záznamy:</w:t>
      </w:r>
    </w:p>
    <w:p>
      <w:pPr>
        <w:pStyle w:val="Normal"/>
        <w:keepNext w:val="true"/>
        <w:keepLines/>
        <w:numPr>
          <w:ilvl w:val="0"/>
          <w:numId w:val="0"/>
        </w:numPr>
        <w:spacing w:before="0" w:after="200"/>
        <w:ind w:hanging="0" w:left="-709" w:right="-709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hanging="0" w:left="-709" w:right="-709"/>
        <w:rPr/>
      </w:pPr>
      <w:r>
        <w:rPr/>
      </w:r>
    </w:p>
    <w:sectPr>
      <w:headerReference w:type="even" r:id="rId18"/>
      <w:headerReference w:type="default" r:id="rId19"/>
      <w:headerReference w:type="first" r:id="rId20"/>
      <w:type w:val="nextPage"/>
      <w:pgSz w:w="11906" w:h="16838"/>
      <w:pgMar w:left="794" w:right="794" w:gutter="0" w:header="68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2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3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4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86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hanging="10" w:left="10" w:right="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Heading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">
    <w:name w:val="Hlavička a päta"/>
    <w:basedOn w:val="Normal"/>
    <w:qFormat/>
    <w:pPr/>
    <w:rPr/>
  </w:style>
  <w:style w:type="paragraph" w:styleId="Zhlavazpat">
    <w:name w:val="Záhlaví a zápatí"/>
    <w:basedOn w:val="Normal"/>
    <w:qFormat/>
    <w:pPr/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hanging="10" w:left="10" w:right="630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Bezseznamu">
    <w:name w:val="Bez seznamu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%20Z.z.%252322&apos;&amp;ucin-k-dni=&apos;18.%207.2021&apos;" TargetMode="External"/><Relationship Id="rId5" Type="http://schemas.openxmlformats.org/officeDocument/2006/relationships/hyperlink" Target="aspi://module=&apos;ASPI&apos;&amp;link=&apos;431/2002%20Z.z.%252322&apos;&amp;ucin-k-dni=&apos;18.%20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header" Target="header3.xml"/><Relationship Id="rId21" Type="http://schemas.openxmlformats.org/officeDocument/2006/relationships/numbering" Target="numbering.xml"/><Relationship Id="rId22" Type="http://schemas.openxmlformats.org/officeDocument/2006/relationships/fontTable" Target="fontTable.xml"/><Relationship Id="rId23" Type="http://schemas.openxmlformats.org/officeDocument/2006/relationships/settings" Target="settings.xml"/><Relationship Id="rId24" Type="http://schemas.openxmlformats.org/officeDocument/2006/relationships/theme" Target="theme/theme1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Application>LibreOffice/24.2.7.2$Linux_X86_64 LibreOffice_project/420$Build-2</Application>
  <AppVersion>15.0000</AppVersion>
  <DocSecurity>0</DocSecurity>
  <Pages>4</Pages>
  <Words>751</Words>
  <Characters>4434</Characters>
  <CharactersWithSpaces>5101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dc:description/>
  <dc:language>sk-SK</dc:language>
  <cp:lastModifiedBy/>
  <dcterms:modified xsi:type="dcterms:W3CDTF">2026-06-12T10:20:14Z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