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D465E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POZNÁMKY MÚJ        IČO:  35837063        DIČ:    2020202657</w:t>
      </w:r>
    </w:p>
    <w:p w14:paraId="0E1173A6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E8E5649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VŠEOBECNÉ ÚDAJE</w:t>
      </w:r>
    </w:p>
    <w:p w14:paraId="45910416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6756AA7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Názov PO: K STAV s </w:t>
      </w:r>
      <w:proofErr w:type="spellStart"/>
      <w:r>
        <w:rPr>
          <w:rFonts w:ascii="Calibri" w:eastAsia="Calibri" w:hAnsi="Calibri" w:cs="Calibri"/>
          <w:sz w:val="22"/>
        </w:rPr>
        <w:t>r.o</w:t>
      </w:r>
      <w:proofErr w:type="spellEnd"/>
      <w:r>
        <w:rPr>
          <w:rFonts w:ascii="Calibri" w:eastAsia="Calibri" w:hAnsi="Calibri" w:cs="Calibri"/>
          <w:sz w:val="22"/>
        </w:rPr>
        <w:t>.</w:t>
      </w:r>
    </w:p>
    <w:p w14:paraId="02D67558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Sídlo: 903 01  Senec, </w:t>
      </w:r>
      <w:proofErr w:type="spellStart"/>
      <w:r>
        <w:rPr>
          <w:rFonts w:ascii="Calibri" w:eastAsia="Calibri" w:hAnsi="Calibri" w:cs="Calibri"/>
          <w:sz w:val="22"/>
        </w:rPr>
        <w:t>Kysucka</w:t>
      </w:r>
      <w:proofErr w:type="spellEnd"/>
      <w:r>
        <w:rPr>
          <w:rFonts w:ascii="Calibri" w:eastAsia="Calibri" w:hAnsi="Calibri" w:cs="Calibri"/>
          <w:sz w:val="22"/>
        </w:rPr>
        <w:t xml:space="preserve"> 3 </w:t>
      </w:r>
    </w:p>
    <w:p w14:paraId="786069D6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5C931C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 K STAV s </w:t>
      </w:r>
      <w:proofErr w:type="spellStart"/>
      <w:r>
        <w:rPr>
          <w:rFonts w:ascii="Calibri" w:eastAsia="Calibri" w:hAnsi="Calibri" w:cs="Calibri"/>
          <w:sz w:val="22"/>
        </w:rPr>
        <w:t>r.o</w:t>
      </w:r>
      <w:proofErr w:type="spellEnd"/>
      <w:r>
        <w:rPr>
          <w:rFonts w:ascii="Calibri" w:eastAsia="Calibri" w:hAnsi="Calibri" w:cs="Calibri"/>
          <w:sz w:val="22"/>
        </w:rPr>
        <w:t xml:space="preserve">. bola založená na základe zápisnice z valného zhromaždenia zo dňa 22.11.2012 a spoločenskej zmluvy zo dňa 13.12.2002 a do Obchodného registra Okresného súdu Bratislava bola zapísaná dňa 30.1.2002  </w:t>
      </w:r>
      <w:proofErr w:type="spellStart"/>
      <w:r>
        <w:rPr>
          <w:rFonts w:ascii="Calibri" w:eastAsia="Calibri" w:hAnsi="Calibri" w:cs="Calibri"/>
          <w:sz w:val="22"/>
        </w:rPr>
        <w:t>vl.č</w:t>
      </w:r>
      <w:proofErr w:type="spellEnd"/>
      <w:r>
        <w:rPr>
          <w:rFonts w:ascii="Calibri" w:eastAsia="Calibri" w:hAnsi="Calibri" w:cs="Calibri"/>
          <w:sz w:val="22"/>
        </w:rPr>
        <w:t>. 26624/B Dodatok č. 1 zo dňa 11.3.2002 a dodatok zo dňa 19.4.2002.</w:t>
      </w:r>
    </w:p>
    <w:p w14:paraId="3287739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16A2899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Právny dôvod na zostavenie účtovnej závierky:</w:t>
      </w:r>
    </w:p>
    <w:p w14:paraId="30A426A9" w14:textId="7373DD68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Účtovná závierka Spoločnosti k 31.12.202</w:t>
      </w:r>
      <w:r w:rsidR="005940C4">
        <w:rPr>
          <w:rFonts w:ascii="Calibri" w:eastAsia="Calibri" w:hAnsi="Calibri" w:cs="Calibri"/>
          <w:sz w:val="22"/>
        </w:rPr>
        <w:t>5</w:t>
      </w:r>
      <w:r>
        <w:rPr>
          <w:rFonts w:ascii="Calibri" w:eastAsia="Calibri" w:hAnsi="Calibri" w:cs="Calibri"/>
          <w:sz w:val="22"/>
        </w:rPr>
        <w:t xml:space="preserve"> je zostavená ako riadna účtovná závierka pre </w:t>
      </w:r>
      <w:proofErr w:type="spellStart"/>
      <w:r>
        <w:rPr>
          <w:rFonts w:ascii="Calibri" w:eastAsia="Calibri" w:hAnsi="Calibri" w:cs="Calibri"/>
          <w:sz w:val="22"/>
        </w:rPr>
        <w:t>mikro</w:t>
      </w:r>
      <w:proofErr w:type="spellEnd"/>
      <w:r>
        <w:rPr>
          <w:rFonts w:ascii="Calibri" w:eastAsia="Calibri" w:hAnsi="Calibri" w:cs="Calibri"/>
          <w:sz w:val="22"/>
        </w:rPr>
        <w:t xml:space="preserve"> účtovné jednotky v zmysle zákona o účtovníctve.</w:t>
      </w:r>
    </w:p>
    <w:p w14:paraId="246BFA43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D6CA026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orgánoch účtovnej jednotky:</w:t>
      </w:r>
    </w:p>
    <w:p w14:paraId="2B48BA68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</w:rPr>
      </w:pPr>
    </w:p>
    <w:p w14:paraId="2023F12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Spoločníci: Jozef Kuna, vklad 2656,00 EUR , splatené 1328,00  EUR</w:t>
      </w:r>
    </w:p>
    <w:p w14:paraId="1DE69EE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         Alica </w:t>
      </w:r>
      <w:proofErr w:type="spellStart"/>
      <w:r>
        <w:rPr>
          <w:rFonts w:ascii="Calibri" w:eastAsia="Calibri" w:hAnsi="Calibri" w:cs="Calibri"/>
          <w:sz w:val="22"/>
        </w:rPr>
        <w:t>Kunová</w:t>
      </w:r>
      <w:proofErr w:type="spellEnd"/>
      <w:r>
        <w:rPr>
          <w:rFonts w:ascii="Calibri" w:eastAsia="Calibri" w:hAnsi="Calibri" w:cs="Calibri"/>
          <w:sz w:val="22"/>
        </w:rPr>
        <w:t xml:space="preserve">   vklad  1992,00 EUR   splatené  996,00  EUR</w:t>
      </w:r>
    </w:p>
    <w:p w14:paraId="336A35C5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         Emília </w:t>
      </w:r>
      <w:proofErr w:type="spellStart"/>
      <w:r>
        <w:rPr>
          <w:rFonts w:ascii="Calibri" w:eastAsia="Calibri" w:hAnsi="Calibri" w:cs="Calibri"/>
          <w:sz w:val="22"/>
        </w:rPr>
        <w:t>Farbová</w:t>
      </w:r>
      <w:proofErr w:type="spellEnd"/>
      <w:r>
        <w:rPr>
          <w:rFonts w:ascii="Calibri" w:eastAsia="Calibri" w:hAnsi="Calibri" w:cs="Calibri"/>
          <w:sz w:val="22"/>
        </w:rPr>
        <w:t xml:space="preserve"> , vklad  1992,00 EUR, splatené  996,00 EUR </w:t>
      </w:r>
    </w:p>
    <w:p w14:paraId="0C9D8F1A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3878555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Štatutárny orgán: Jozef Kuna</w:t>
      </w:r>
    </w:p>
    <w:p w14:paraId="5112B9C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66E3ECB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Základné imanie : 6640  EUR, rozsah splatenia: 6640 EUR</w:t>
      </w:r>
    </w:p>
    <w:p w14:paraId="5E6BC55D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77F75E5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konsolidovanom celku</w:t>
      </w:r>
    </w:p>
    <w:p w14:paraId="1FDACEB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83964B4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CD90A88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nie je súčasťou konsolidovaného celku inej obchodnej spoločnosti.</w:t>
      </w:r>
    </w:p>
    <w:p w14:paraId="6D75E5A3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EF77D13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Údaje o počte zamestnancov</w:t>
      </w:r>
    </w:p>
    <w:p w14:paraId="57861A3E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EA99C48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3"/>
        <w:gridCol w:w="4463"/>
      </w:tblGrid>
      <w:tr w:rsidR="000242BA" w14:paraId="2C29937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D553D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1BF241" w14:textId="4273024C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202</w:t>
            </w:r>
            <w:r w:rsidR="005940C4">
              <w:rPr>
                <w:rFonts w:ascii="Calibri" w:eastAsia="Calibri" w:hAnsi="Calibri" w:cs="Calibri"/>
                <w:sz w:val="22"/>
              </w:rPr>
              <w:t>5</w:t>
            </w:r>
          </w:p>
        </w:tc>
      </w:tr>
      <w:tr w:rsidR="000242BA" w14:paraId="5A469387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9F1C6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8D1AB6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</w:tbl>
    <w:p w14:paraId="609692F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B90B6F2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49C711A5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 Informácie o prijatých postupoch</w:t>
      </w:r>
    </w:p>
    <w:p w14:paraId="74FCB57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DCA7DDC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Východiská pre zostavenie účtovnej závierky, vplyv zmeny účtovných zásad na hodnotu majetku, záväzkov, vlastného imania a výsledku hospodárenia účtovnej jednotky</w:t>
      </w:r>
    </w:p>
    <w:p w14:paraId="7C4B1C7D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890D0C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6A58B4E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Účtovná závierka bola zostavená  za predpokladu nepretržitého trvania Spoločnosti.</w:t>
      </w:r>
    </w:p>
    <w:p w14:paraId="67DDE73B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Účtovné metódy a všeobecné zásady boli účtovnou jednotkou konzistentne aplikované</w:t>
      </w:r>
    </w:p>
    <w:p w14:paraId="46FCAF9B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6E999BC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ABBA5A1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BCDCD4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1491B0D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2973"/>
        <w:gridCol w:w="2996"/>
      </w:tblGrid>
      <w:tr w:rsidR="000242BA" w14:paraId="1606047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F77C0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lastRenderedPageBreak/>
              <w:t>Druh zmeny zásad alebo metód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C1B2CD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>Dôvod zmeny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F54934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b/>
                <w:sz w:val="22"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  <w:sz w:val="22"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  <w:sz w:val="22"/>
              </w:rPr>
              <w:t>.</w:t>
            </w:r>
          </w:p>
        </w:tc>
      </w:tr>
      <w:tr w:rsidR="000242BA" w14:paraId="54C47EF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E71CE0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4BCC09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Zmena zákona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DF6F7A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Bez vplyvu na HV</w:t>
            </w:r>
          </w:p>
        </w:tc>
      </w:tr>
      <w:tr w:rsidR="000242BA" w14:paraId="55C9A98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4806A1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a výsledovky</w:t>
            </w: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32FEBF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6397F7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0242BA" w14:paraId="2A3DA2B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8C4B5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1F1D7C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AEDB1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0242BA" w14:paraId="540D3B49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988420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118F34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30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F6D9F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1AA84726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4BE384C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0829DFD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Ocenenie , odpisové plány DNM a DHM </w:t>
      </w:r>
    </w:p>
    <w:p w14:paraId="3DF3DFB5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</w:rPr>
      </w:pPr>
    </w:p>
    <w:p w14:paraId="4FD9F2B4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Dlhodobý majetok </w:t>
      </w:r>
      <w:proofErr w:type="spellStart"/>
      <w:r>
        <w:rPr>
          <w:rFonts w:ascii="Calibri" w:eastAsia="Calibri" w:hAnsi="Calibri" w:cs="Calibri"/>
          <w:sz w:val="22"/>
        </w:rPr>
        <w:t>nakupovany</w:t>
      </w:r>
      <w:proofErr w:type="spellEnd"/>
      <w:r>
        <w:rPr>
          <w:rFonts w:ascii="Calibri" w:eastAsia="Calibri" w:hAnsi="Calibri" w:cs="Calibri"/>
          <w:sz w:val="22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  <w:sz w:val="22"/>
        </w:rPr>
        <w:t>zahrňa</w:t>
      </w:r>
      <w:proofErr w:type="spellEnd"/>
      <w:r>
        <w:rPr>
          <w:rFonts w:ascii="Calibri" w:eastAsia="Calibri" w:hAnsi="Calibri" w:cs="Calibri"/>
          <w:sz w:val="22"/>
        </w:rPr>
        <w:t xml:space="preserve"> cenu obstarania  a náklady súvisiace s obstaraním </w:t>
      </w:r>
    </w:p>
    <w:p w14:paraId="7740B5F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8917EA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Odpisy DHIM sú stanovené vychádzajúc z predpokladanej doby jeho používania priebehu jeho opotrebovania.</w:t>
      </w:r>
    </w:p>
    <w:p w14:paraId="50B48FE1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A0081F5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  <w:sz w:val="22"/>
        </w:rPr>
        <w:t>jednorázovo</w:t>
      </w:r>
      <w:proofErr w:type="spellEnd"/>
      <w:r>
        <w:rPr>
          <w:rFonts w:ascii="Calibri" w:eastAsia="Calibri" w:hAnsi="Calibri" w:cs="Calibri"/>
          <w:sz w:val="22"/>
        </w:rPr>
        <w:t xml:space="preserve"> pri uvedení do používania</w:t>
      </w:r>
    </w:p>
    <w:p w14:paraId="408657F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CE96EE6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2507B65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  <w:sz w:val="22"/>
        </w:rPr>
        <w:t>odpisova</w:t>
      </w:r>
      <w:proofErr w:type="spellEnd"/>
      <w:r>
        <w:rPr>
          <w:rFonts w:ascii="Calibri" w:eastAsia="Calibri" w:hAnsi="Calibri" w:cs="Calibri"/>
          <w:sz w:val="22"/>
        </w:rPr>
        <w:t xml:space="preserve"> sadzba sú uvedené v tabuľke</w:t>
      </w:r>
    </w:p>
    <w:p w14:paraId="049AA5B1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BD31C2B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CEC5F2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25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0242BA" w14:paraId="75882B89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0C6572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Druh majetku</w:t>
            </w:r>
          </w:p>
          <w:p w14:paraId="0D9C71F3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45CC3F36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doba</w:t>
            </w:r>
          </w:p>
          <w:p w14:paraId="47A1D37B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používania</w:t>
            </w: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63AFFDC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  <w:p w14:paraId="40765D29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Metóda odpisov</w:t>
            </w: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7E0B741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Sadzba ročného</w:t>
            </w:r>
          </w:p>
          <w:p w14:paraId="22E2E56C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odpisu</w:t>
            </w:r>
          </w:p>
        </w:tc>
      </w:tr>
      <w:tr w:rsidR="000242BA" w14:paraId="5F758622" w14:textId="77777777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FB15AB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1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27AEE01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6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1096EA2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  <w:p w14:paraId="71E6279F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7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258AF8BF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3AA7C2E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0EC2D98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F9E03BA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C01B270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827518C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DFM</w:t>
      </w:r>
    </w:p>
    <w:p w14:paraId="0770400E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7856048B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nevlastní žiadne DFM</w:t>
      </w:r>
    </w:p>
    <w:p w14:paraId="16F92FD3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zásob</w:t>
      </w:r>
    </w:p>
    <w:p w14:paraId="70AC77B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379549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0AEE5D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nevlastní žiadne zásoby</w:t>
      </w:r>
    </w:p>
    <w:p w14:paraId="50B36F4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0EC09CF0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  <w:sz w:val="22"/>
        </w:rPr>
      </w:pPr>
    </w:p>
    <w:p w14:paraId="0E514D3A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  <w:sz w:val="22"/>
        </w:rPr>
      </w:pPr>
      <w:r>
        <w:rPr>
          <w:rFonts w:ascii="Calibri" w:eastAsia="Calibri" w:hAnsi="Calibri" w:cs="Calibri"/>
          <w:b/>
          <w:sz w:val="22"/>
        </w:rPr>
        <w:t>Ocenenie pohľadávok</w:t>
      </w:r>
    </w:p>
    <w:p w14:paraId="600C59B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4DAFC20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Pohľadávky sa oceňujú menovitou hodnotou</w:t>
      </w:r>
    </w:p>
    <w:p w14:paraId="7007435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1B074FE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krátkodobého finančného majetku</w:t>
      </w:r>
    </w:p>
    <w:p w14:paraId="49851A40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24CEB42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Peňažné prostriedky a ceniny sa oceňujú menovitou hodnotou</w:t>
      </w:r>
    </w:p>
    <w:p w14:paraId="2BEA0CE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CFEEB04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A8AC926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záväzkov vrátane rezerv, dlhopisov, pôžičiek a úverov</w:t>
      </w:r>
    </w:p>
    <w:p w14:paraId="6953A8B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97B921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4A0B654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Záväzky sa oceňujú menovitou hodnotou pri ich vzniku,  </w:t>
      </w:r>
    </w:p>
    <w:p w14:paraId="447F87E9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  <w:sz w:val="22"/>
        </w:rPr>
        <w:t>invertarizácii</w:t>
      </w:r>
      <w:proofErr w:type="spellEnd"/>
      <w:r>
        <w:rPr>
          <w:rFonts w:ascii="Calibri" w:eastAsia="Calibri" w:hAnsi="Calibri" w:cs="Calibri"/>
          <w:sz w:val="22"/>
        </w:rPr>
        <w:t>, že suma záväzkov je iná ako ich výška v účtovníctve, uvedú sa záväzky v účtovníctve a v účtovnej závierke v tomto ocenení.</w:t>
      </w:r>
    </w:p>
    <w:p w14:paraId="6B8DD5DA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B51EEBA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derivátov</w:t>
      </w:r>
    </w:p>
    <w:p w14:paraId="51402A04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598AA21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nevlastní žiadne deriváty</w:t>
      </w:r>
    </w:p>
    <w:p w14:paraId="6CC3832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38CA20E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</w:rPr>
        <w:t>dotáciach</w:t>
      </w:r>
      <w:proofErr w:type="spellEnd"/>
    </w:p>
    <w:p w14:paraId="6531AFDA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</w:rPr>
      </w:pPr>
    </w:p>
    <w:p w14:paraId="3E3423F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neobdržala žiadne dotácie</w:t>
      </w:r>
    </w:p>
    <w:p w14:paraId="7153EE60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BECD58E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opravách významných chýb minulých účtovných období</w:t>
      </w:r>
    </w:p>
    <w:p w14:paraId="07C98C0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A0D50B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 bežnom účtovnom období Spoločnosť nevykonala významné opravy chýb minulých období.</w:t>
      </w:r>
    </w:p>
    <w:p w14:paraId="4BDE5F76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D0109AF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Záväzky</w:t>
      </w:r>
    </w:p>
    <w:p w14:paraId="1BDD53EC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4E933F1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eviduje záväzky</w:t>
      </w:r>
    </w:p>
    <w:p w14:paraId="517A68A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00DF981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Štruktúra záväzkov podľa zostatkovej doby splatnosti je uvedená v tabuľke:</w:t>
      </w:r>
    </w:p>
    <w:p w14:paraId="1329A91A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9"/>
        <w:gridCol w:w="4477"/>
      </w:tblGrid>
      <w:tr w:rsidR="000242BA" w14:paraId="08B49CB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48F8C0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7BC154" w14:textId="37598BE4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Bežné účtovné obdobie: 202</w:t>
            </w:r>
            <w:r w:rsidR="005940C4">
              <w:rPr>
                <w:rFonts w:ascii="Calibri" w:eastAsia="Calibri" w:hAnsi="Calibri" w:cs="Calibri"/>
                <w:sz w:val="22"/>
              </w:rPr>
              <w:t>5</w:t>
            </w:r>
          </w:p>
        </w:tc>
      </w:tr>
      <w:tr w:rsidR="000242BA" w14:paraId="7A404FF1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CF339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Dlhodobé záväzky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3B83EA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0242BA" w14:paraId="3C33A5CC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47C9A3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0F3A13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  <w:tr w:rsidR="000242BA" w14:paraId="33611F9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6C541C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37735" w14:textId="3177D74A" w:rsidR="000242BA" w:rsidRDefault="005940C4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21815</w:t>
            </w:r>
          </w:p>
        </w:tc>
      </w:tr>
    </w:tbl>
    <w:p w14:paraId="3004EC7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7F1906A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nemá záväzky zabezpečené záložným právom alebo inou formou zabezpečenia.</w:t>
      </w:r>
    </w:p>
    <w:p w14:paraId="193E08E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BE849F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Pohľadávky</w:t>
      </w:r>
    </w:p>
    <w:p w14:paraId="1969ECC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4473"/>
      </w:tblGrid>
      <w:tr w:rsidR="000242BA" w14:paraId="36432398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AD9817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Názov položky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B05F42" w14:textId="3D2198E3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Bežné účtovné obdobie : 202</w:t>
            </w:r>
            <w:r w:rsidR="005940C4">
              <w:rPr>
                <w:rFonts w:ascii="Calibri" w:eastAsia="Calibri" w:hAnsi="Calibri" w:cs="Calibri"/>
                <w:sz w:val="22"/>
              </w:rPr>
              <w:t>5</w:t>
            </w:r>
          </w:p>
        </w:tc>
      </w:tr>
      <w:tr w:rsidR="000242BA" w14:paraId="2221989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95609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266C9E" w14:textId="77777777" w:rsidR="000242BA" w:rsidRDefault="000242BA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</w:p>
        </w:tc>
      </w:tr>
      <w:tr w:rsidR="000242BA" w14:paraId="5406706B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8366A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nad 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7C84FB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0</w:t>
            </w:r>
          </w:p>
        </w:tc>
      </w:tr>
      <w:tr w:rsidR="000242BA" w14:paraId="69529150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138D8B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Splatnosť 1-5 rokov</w:t>
            </w:r>
          </w:p>
        </w:tc>
        <w:tc>
          <w:tcPr>
            <w:tcW w:w="460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29CAB7" w14:textId="77777777" w:rsidR="000242BA" w:rsidRDefault="00000000">
            <w:pPr>
              <w:spacing w:after="0" w:line="240" w:lineRule="auto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26510</w:t>
            </w:r>
          </w:p>
        </w:tc>
      </w:tr>
    </w:tbl>
    <w:p w14:paraId="1F9DAB2B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EBC42D2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eviduje pohľadávky</w:t>
      </w:r>
    </w:p>
    <w:p w14:paraId="175C66F5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EE67170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položkách nákladov a výnosov, ktoré majú výnimočný rozsah alebo výskyt</w:t>
      </w:r>
    </w:p>
    <w:p w14:paraId="799AA482" w14:textId="77777777" w:rsidR="000242BA" w:rsidRDefault="000242BA">
      <w:pPr>
        <w:spacing w:after="0" w:line="240" w:lineRule="auto"/>
        <w:rPr>
          <w:rFonts w:ascii="Calibri" w:eastAsia="Calibri" w:hAnsi="Calibri" w:cs="Calibri"/>
          <w:b/>
        </w:rPr>
      </w:pPr>
    </w:p>
    <w:p w14:paraId="3CA612BA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neúčtovala o takýchto položkách</w:t>
      </w:r>
    </w:p>
    <w:p w14:paraId="4A293B04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AC9F34D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2087AB90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vlastných akciách</w:t>
      </w:r>
    </w:p>
    <w:p w14:paraId="0FCD7DF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59655D1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neeviduje vlastné akcie.</w:t>
      </w:r>
    </w:p>
    <w:p w14:paraId="20B133B1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918DC33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povinnostiach účtovnej jednotky</w:t>
      </w:r>
    </w:p>
    <w:p w14:paraId="59C474A1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0BB381A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neeviduje finančné povinnosti, ktoré sa nevykazujú v súvahe.</w:t>
      </w:r>
    </w:p>
    <w:p w14:paraId="096421B4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16DAB3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neposkytla účasť na dôchodkových programoch pre zamestnancov, lebo žiadnych zamestnancov nezamestnáva.</w:t>
      </w:r>
    </w:p>
    <w:p w14:paraId="474E38FE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EED4436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orgánoch účtovnej jednotky</w:t>
      </w:r>
    </w:p>
    <w:p w14:paraId="0F5EA097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3C437395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Spoločnosť neposkytla členovi orgánov ÚJ žiadne záruky, pôžičky, plnenia na súkromné účely.</w:t>
      </w:r>
    </w:p>
    <w:p w14:paraId="02B5F3D9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95881B5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udelení výlučného práva alebo osobitného práva</w:t>
      </w:r>
    </w:p>
    <w:p w14:paraId="7374C73B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20C2867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0776EEE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8B8EF6F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69C66065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Spoločnosť uvádza nesledujúce informácie:</w:t>
      </w:r>
    </w:p>
    <w:p w14:paraId="7A6CF24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4096B993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Všetky formy prijatej náhrady:</w:t>
      </w:r>
    </w:p>
    <w:p w14:paraId="715A0FF2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 V hotovosti</w:t>
      </w:r>
    </w:p>
    <w:p w14:paraId="2722A50F" w14:textId="77777777" w:rsidR="000242BA" w:rsidRDefault="00000000">
      <w:pPr>
        <w:spacing w:after="0" w:line="240" w:lineRule="auto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Cez bankový účet</w:t>
      </w:r>
    </w:p>
    <w:p w14:paraId="77230AE2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6658986" w14:textId="77777777" w:rsidR="000242BA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Všetky druhy činnosti Spoločnosti:</w:t>
      </w:r>
    </w:p>
    <w:p w14:paraId="50599240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74C8069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Kúpa tovarov na účely jeho </w:t>
      </w:r>
      <w:proofErr w:type="spellStart"/>
      <w:r>
        <w:rPr>
          <w:rFonts w:ascii="Calibri" w:eastAsia="Calibri" w:hAnsi="Calibri" w:cs="Calibri"/>
          <w:sz w:val="22"/>
        </w:rPr>
        <w:t>ďaľšieho</w:t>
      </w:r>
      <w:proofErr w:type="spellEnd"/>
      <w:r>
        <w:rPr>
          <w:rFonts w:ascii="Calibri" w:eastAsia="Calibri" w:hAnsi="Calibri" w:cs="Calibri"/>
          <w:sz w:val="22"/>
        </w:rPr>
        <w:t xml:space="preserve"> predaja konečnému spotrebiteľovi</w:t>
      </w:r>
    </w:p>
    <w:p w14:paraId="6CE709D8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Príprava prác pre stavbu</w:t>
      </w:r>
    </w:p>
    <w:p w14:paraId="76718B2B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proofErr w:type="spellStart"/>
      <w:r>
        <w:rPr>
          <w:rFonts w:ascii="Calibri" w:eastAsia="Calibri" w:hAnsi="Calibri" w:cs="Calibri"/>
          <w:sz w:val="22"/>
        </w:rPr>
        <w:t>Spostredkovateľká</w:t>
      </w:r>
      <w:proofErr w:type="spellEnd"/>
      <w:r>
        <w:rPr>
          <w:rFonts w:ascii="Calibri" w:eastAsia="Calibri" w:hAnsi="Calibri" w:cs="Calibri"/>
          <w:sz w:val="22"/>
        </w:rPr>
        <w:t xml:space="preserve"> činnosť</w:t>
      </w:r>
    </w:p>
    <w:p w14:paraId="7CF4D971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Poradenská činnosť v stavebníctve</w:t>
      </w:r>
    </w:p>
    <w:p w14:paraId="5846C8BF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Uskutočňovanie jednoduchých stavieb</w:t>
      </w:r>
    </w:p>
    <w:p w14:paraId="2E903B9A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Výkon činnosti stavbyvedúceho</w:t>
      </w:r>
    </w:p>
    <w:p w14:paraId="6E4B5238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Uskutočňovanie stavieb a ich zmien</w:t>
      </w:r>
    </w:p>
    <w:p w14:paraId="5A9E0EED" w14:textId="77777777" w:rsidR="000242BA" w:rsidRDefault="00000000">
      <w:pPr>
        <w:numPr>
          <w:ilvl w:val="0"/>
          <w:numId w:val="1"/>
        </w:numPr>
        <w:spacing w:after="0" w:line="240" w:lineRule="auto"/>
        <w:ind w:left="720" w:hanging="360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>Uskutočňovanie jednoduchých stavieb, drobných stavieb a ich zmien</w:t>
      </w:r>
    </w:p>
    <w:p w14:paraId="7CAF792E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72C8C6CE" w14:textId="77777777" w:rsidR="000242BA" w:rsidRDefault="000242BA">
      <w:pPr>
        <w:spacing w:after="0" w:line="240" w:lineRule="auto"/>
        <w:rPr>
          <w:rFonts w:ascii="Calibri" w:eastAsia="Calibri" w:hAnsi="Calibri" w:cs="Calibri"/>
          <w:sz w:val="22"/>
        </w:rPr>
      </w:pPr>
    </w:p>
    <w:p w14:paraId="1B7FB8A9" w14:textId="77777777" w:rsidR="000242BA" w:rsidRDefault="000242BA">
      <w:pPr>
        <w:tabs>
          <w:tab w:val="left" w:pos="1095"/>
        </w:tabs>
        <w:spacing w:after="0" w:line="240" w:lineRule="auto"/>
        <w:rPr>
          <w:rFonts w:ascii="Calibri" w:eastAsia="Calibri" w:hAnsi="Calibri" w:cs="Calibri"/>
          <w:sz w:val="22"/>
        </w:rPr>
      </w:pPr>
    </w:p>
    <w:sectPr w:rsidR="000242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7C3975"/>
    <w:multiLevelType w:val="multilevel"/>
    <w:tmpl w:val="B002C3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6003352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2BA"/>
    <w:rsid w:val="000242BA"/>
    <w:rsid w:val="005940C4"/>
    <w:rsid w:val="0073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D135B4"/>
  <w15:docId w15:val="{DEC8673E-9018-4199-99E0-A4138918CE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754</Words>
  <Characters>4301</Characters>
  <Application>Microsoft Office Word</Application>
  <DocSecurity>0</DocSecurity>
  <Lines>35</Lines>
  <Paragraphs>10</Paragraphs>
  <ScaleCrop>false</ScaleCrop>
  <Company/>
  <LinksUpToDate>false</LinksUpToDate>
  <CharactersWithSpaces>5045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KATIKA</dc:creator>
  <cp:lastModifiedBy>Katarína Józanová</cp:lastModifiedBy>
  <cp:revision>2</cp:revision>
  <dcterms:created xsi:type="dcterms:W3CDTF">2026-06-22T18:40:00Z</dcterms:created>
  <dcterms:modified xsi:type="dcterms:W3CDTF">2026-06-22T18:40:00Z</dcterms:modified>
</cp:coreProperties>
</file>