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D35" w:rsidRDefault="003D1D35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názov právnickej osoby a jej sídlo alebo meno a priezvisko fyzickej osoby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770DB9" w:rsidRPr="00770DB9" w:rsidTr="00E20789">
        <w:trPr>
          <w:trHeight w:val="110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3904" w:type="pct"/>
            <w:vAlign w:val="center"/>
          </w:tcPr>
          <w:p w:rsidR="00770DB9" w:rsidRPr="00770DB9" w:rsidRDefault="00770DB9" w:rsidP="005109EE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 </w:t>
            </w:r>
            <w:r w:rsidR="005109EE">
              <w:rPr>
                <w:rFonts w:cs="Arial"/>
                <w:sz w:val="20"/>
                <w:szCs w:val="22"/>
                <w:lang w:eastAsia="sk-SK"/>
              </w:rPr>
              <w:t>TEKNOPLAST SK, s .r .o.</w:t>
            </w:r>
          </w:p>
        </w:tc>
      </w:tr>
      <w:tr w:rsidR="00770DB9" w:rsidRPr="00770DB9" w:rsidTr="00E20789">
        <w:trPr>
          <w:trHeight w:val="39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3904" w:type="pct"/>
            <w:vAlign w:val="center"/>
          </w:tcPr>
          <w:p w:rsidR="00770DB9" w:rsidRPr="00770DB9" w:rsidRDefault="005109EE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Podzámska 36 Nové Zámky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726E30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Dátum schválenia účtovnej závierky za bezprostredne predchádzajúce účtovné obdobie</w:t>
      </w:r>
      <w:r w:rsidR="00726E30">
        <w:rPr>
          <w:rFonts w:cs="Arial"/>
          <w:color w:val="C00000"/>
          <w:sz w:val="20"/>
          <w:szCs w:val="24"/>
          <w:lang w:eastAsia="sk-SK"/>
        </w:rPr>
        <w:t xml:space="preserve"> </w:t>
      </w:r>
      <w:r w:rsidR="00A10359">
        <w:rPr>
          <w:rFonts w:cs="Arial"/>
          <w:color w:val="C00000"/>
          <w:sz w:val="20"/>
          <w:szCs w:val="24"/>
          <w:lang w:eastAsia="sk-SK"/>
        </w:rPr>
        <w:t>1</w:t>
      </w:r>
      <w:r w:rsidR="00C75CA0">
        <w:rPr>
          <w:rFonts w:cs="Arial"/>
          <w:color w:val="C00000"/>
          <w:sz w:val="20"/>
          <w:szCs w:val="24"/>
          <w:lang w:eastAsia="sk-SK"/>
        </w:rPr>
        <w:t>2</w:t>
      </w:r>
      <w:r w:rsidR="00A10359">
        <w:rPr>
          <w:rFonts w:cs="Arial"/>
          <w:color w:val="C00000"/>
          <w:sz w:val="20"/>
          <w:szCs w:val="24"/>
          <w:lang w:eastAsia="sk-SK"/>
        </w:rPr>
        <w:t>. 6. 202</w:t>
      </w:r>
      <w:r w:rsidR="00C75CA0">
        <w:rPr>
          <w:rFonts w:cs="Arial"/>
          <w:color w:val="C00000"/>
          <w:sz w:val="20"/>
          <w:szCs w:val="24"/>
          <w:lang w:eastAsia="sk-SK"/>
        </w:rPr>
        <w:t>5</w:t>
      </w:r>
    </w:p>
    <w:p w:rsid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Právny dôvod zostavenia účtovnej závierky</w:t>
      </w:r>
      <w:r w:rsidR="00726E30">
        <w:rPr>
          <w:rFonts w:cs="Arial"/>
          <w:color w:val="C00000"/>
          <w:sz w:val="20"/>
          <w:szCs w:val="24"/>
          <w:lang w:eastAsia="sk-SK"/>
        </w:rPr>
        <w:t>, účtovná závierka k 31. 12. Je zostavená</w:t>
      </w:r>
    </w:p>
    <w:p w:rsidR="00726E30" w:rsidRPr="00AF1B96" w:rsidRDefault="00726E30" w:rsidP="00A10359">
      <w:pPr>
        <w:pStyle w:val="Odsekzoznamu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 xml:space="preserve"> ako riadna účtovná závierka podľa § 47 ods. 6 zákona NR SR č. 431/2002 Z. z. o účtovníctve za účtovné obdobie od januára do decembra 202</w:t>
      </w:r>
      <w:r w:rsidR="00C75CA0">
        <w:rPr>
          <w:rFonts w:cs="Arial"/>
          <w:color w:val="C00000"/>
          <w:sz w:val="20"/>
          <w:szCs w:val="24"/>
          <w:lang w:eastAsia="sk-SK"/>
        </w:rPr>
        <w:t>5</w:t>
      </w:r>
      <w:r w:rsidR="00E34858">
        <w:rPr>
          <w:rFonts w:cs="Arial"/>
          <w:color w:val="C00000"/>
          <w:sz w:val="20"/>
          <w:szCs w:val="24"/>
          <w:lang w:eastAsia="sk-SK"/>
        </w:rPr>
        <w:t xml:space="preserve"> </w:t>
      </w:r>
      <w:r>
        <w:rPr>
          <w:rFonts w:cs="Arial"/>
          <w:color w:val="C00000"/>
          <w:sz w:val="20"/>
          <w:szCs w:val="24"/>
          <w:lang w:eastAsia="sk-SK"/>
        </w:rPr>
        <w:t>k poslednému dňu kalendárneho roka.</w:t>
      </w:r>
      <w:r w:rsidR="005109EE">
        <w:rPr>
          <w:rFonts w:cs="Arial"/>
          <w:color w:val="C00000"/>
          <w:sz w:val="20"/>
          <w:szCs w:val="24"/>
          <w:lang w:eastAsia="sk-SK"/>
        </w:rPr>
        <w:t xml:space="preserve"> </w:t>
      </w:r>
      <w:r w:rsidR="00A10359">
        <w:rPr>
          <w:rFonts w:cs="Arial"/>
          <w:color w:val="C00000"/>
          <w:sz w:val="20"/>
          <w:szCs w:val="24"/>
          <w:lang w:eastAsia="sk-SK"/>
        </w:rPr>
        <w:t>20</w:t>
      </w:r>
      <w:r w:rsidR="00C75CA0">
        <w:rPr>
          <w:rFonts w:cs="Arial"/>
          <w:color w:val="C00000"/>
          <w:sz w:val="20"/>
          <w:szCs w:val="24"/>
          <w:lang w:eastAsia="sk-SK"/>
        </w:rPr>
        <w:t>25</w:t>
      </w:r>
      <w:bookmarkStart w:id="0" w:name="_GoBack"/>
      <w:bookmarkEnd w:id="0"/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770DB9" w:rsidRPr="00AF1B96" w:rsidTr="00E20789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770DB9" w:rsidRPr="00AF1B96" w:rsidRDefault="00770DB9" w:rsidP="00E20789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</w:tbl>
    <w:p w:rsidR="00770DB9" w:rsidRPr="00AF1B96" w:rsidRDefault="00770DB9" w:rsidP="00770DB9">
      <w:pPr>
        <w:pStyle w:val="Odsekzoznamu"/>
        <w:rPr>
          <w:rFonts w:cs="Arial"/>
          <w:color w:val="C00000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informácie o konsolidovanom celku,</w:t>
      </w:r>
      <w:r w:rsidRPr="00770DB9">
        <w:rPr>
          <w:rFonts w:cs="Arial"/>
          <w:sz w:val="20"/>
          <w:szCs w:val="24"/>
          <w:lang w:eastAsia="sk-SK"/>
        </w:rPr>
        <w:t xml:space="preserve"> napríklad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Účtovná jednotka je súčasťou konsolidovaného celku, pričom ABC s.r.o. ako materská účtovná jednotka zostavuje KÚZ za túto skupinu účtovných jednotiek (uviesť účtovné jednotky v skupine). Účtovná jednotka je materskou účtovnou jednotkou a podľa § 22 ods. 3 zákona o účtovníctve z dôvodu oslobodenia od povinnosti zostaviť KÚZ ju nezostavila 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alebo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jednotka nie je súčasťou konsolidovaného celku a účtovná jednotka nie je materskou účtovnou jednotkou (uvedené sa uvádza, ak obchodnú spoločnosť vlastnia len fyzické osoby a sama účtovná jednotka nevlastní akcie alebo obchodné podiely (účet 061,062,063)).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priemerný</w:t>
      </w:r>
      <w:r w:rsidRPr="00AF1B96">
        <w:rPr>
          <w:rFonts w:cs="Arial"/>
          <w:sz w:val="20"/>
          <w:szCs w:val="24"/>
          <w:u w:val="single"/>
          <w:lang w:eastAsia="sk-SK"/>
        </w:rPr>
        <w:t xml:space="preserve"> prepočítaný počet zamestnancov</w:t>
      </w:r>
    </w:p>
    <w:p w:rsidR="00770DB9" w:rsidRPr="00AF1B96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770DB9" w:rsidRPr="00AF1B96" w:rsidTr="00E20789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320" w:type="dxa"/>
          </w:tcPr>
          <w:p w:rsidR="00770DB9" w:rsidRPr="00AF1B96" w:rsidRDefault="00A10359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70DB9" w:rsidRPr="00AF1B96" w:rsidTr="00E20789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320" w:type="dxa"/>
          </w:tcPr>
          <w:p w:rsidR="00770DB9" w:rsidRPr="00AF1B96" w:rsidRDefault="00A10359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 o prijatých postupoch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závierka bola zostavená za predpokladu, že účtovná jednotka bude nepretržite pokračovať vo svojej činnosti (uvedené sa nikdy nemôže uviesť, ak ide o mimoriadnu účtovnú závierku z dôvodu konkurzu alebo likvidácie).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Uviesť popis oceňovania  jednotlivých položiek majetku a záväzkov, o ktorých konkrétna účtovná jednotka účtuje. Popisujú sa ocenenie konkrétneho majetku a záväzkov účtovnej jednotky.</w:t>
      </w: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val="x-none" w:eastAsia="x-none"/>
        </w:rPr>
      </w:pP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Napríklad: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Obstarávacou cenou – </w:t>
            </w:r>
            <w:r w:rsidRPr="00770DB9">
              <w:rPr>
                <w:rFonts w:cs="Arial"/>
                <w:b/>
                <w:bCs/>
                <w:sz w:val="20"/>
                <w:szCs w:val="24"/>
                <w:lang w:eastAsia="sk-SK"/>
              </w:rPr>
              <w:t>uviesť  zložky nákladov súvisiacich s obstaraním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lastRenderedPageBreak/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Vlastnými nákladmi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Menovitou hodnotou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  <w:r w:rsidRPr="00770DB9">
        <w:rPr>
          <w:rFonts w:cs="Arial"/>
          <w:sz w:val="20"/>
          <w:szCs w:val="22"/>
          <w:lang w:eastAsia="sk-SK"/>
        </w:rPr>
        <w:t>Spôsob ocenenia:</w:t>
      </w: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Úbytok zásob rovnakého druhu sa účtuje v ocenení: 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Výdavky budúcich období a príjmy budúcich období  sa vykazujú vo výške, ktorá je potrebná 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770DB9" w:rsidRPr="00770DB9" w:rsidRDefault="005109EE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D05E18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Daň z príjmov splatná – daň sa  určuje z účtovného zisku pred zdanením, po úpravách na daňové účely podľa zákona o daniach z príjmov pri sadzbe 2</w:t>
            </w:r>
            <w:r w:rsidR="00D05E18">
              <w:rPr>
                <w:rFonts w:cs="Arial"/>
                <w:bCs/>
                <w:sz w:val="20"/>
                <w:szCs w:val="22"/>
                <w:lang w:eastAsia="sk-SK"/>
              </w:rPr>
              <w:t>1</w:t>
            </w: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770DB9" w:rsidRPr="00770DB9" w:rsidRDefault="005109EE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Náklady a výnosy časovo rozlišujú. Časovo sa ne nerozlišujú náklady a výnosy, ak ide o nevýznamný 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770DB9" w:rsidRPr="00770DB9" w:rsidRDefault="005109EE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before="100" w:beforeAutospacing="1" w:after="100" w:afterAutospacing="1" w:line="240" w:lineRule="auto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Spôsob zostavenia odpisového plánu pre jednotlivé druhy dlhodobého hmotného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majetku  a dlhodobého nehmotného majetku</w:t>
      </w:r>
      <w:r w:rsidR="008616A5">
        <w:rPr>
          <w:rFonts w:cs="Arial"/>
          <w:sz w:val="20"/>
          <w:szCs w:val="24"/>
          <w:lang w:eastAsia="sk-SK"/>
        </w:rPr>
        <w:t xml:space="preserve"> </w:t>
      </w:r>
      <w:r w:rsidRPr="00770DB9">
        <w:rPr>
          <w:rFonts w:cs="Arial"/>
          <w:sz w:val="20"/>
          <w:szCs w:val="24"/>
          <w:lang w:eastAsia="sk-SK"/>
        </w:rPr>
        <w:t xml:space="preserve">doba odpisovania, použité sadzby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770DB9" w:rsidRPr="00770DB9" w:rsidTr="00E20789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062EDB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Samostatné hnuteľné veci sú dlhodobým hmotným majetkom ak doba použiteľnosti je viac ako </w:t>
            </w:r>
            <w:r w:rsidRPr="00770DB9">
              <w:rPr>
                <w:rFonts w:cs="Arial"/>
                <w:sz w:val="20"/>
                <w:szCs w:val="22"/>
                <w:lang w:eastAsia="sk-SK"/>
              </w:rPr>
              <w:lastRenderedPageBreak/>
              <w:t>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lastRenderedPageBreak/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770DB9" w:rsidRPr="00770DB9" w:rsidTr="00E20789">
        <w:tc>
          <w:tcPr>
            <w:tcW w:w="3111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Majetok</w:t>
            </w: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Odpisová skupina </w:t>
            </w: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D05E18" w:rsidP="005109EE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Klimatizácia</w:t>
            </w:r>
          </w:p>
        </w:tc>
        <w:tc>
          <w:tcPr>
            <w:tcW w:w="977" w:type="dxa"/>
          </w:tcPr>
          <w:p w:rsidR="00770DB9" w:rsidRPr="00770DB9" w:rsidRDefault="00D05E18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2</w:t>
            </w:r>
          </w:p>
        </w:tc>
        <w:tc>
          <w:tcPr>
            <w:tcW w:w="1164" w:type="dxa"/>
          </w:tcPr>
          <w:p w:rsidR="00770DB9" w:rsidRPr="00770DB9" w:rsidRDefault="00D05E18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6 rokov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D05E18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Rovnomerný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E532D5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D05E18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770DB9" w:rsidRPr="00AF1B96" w:rsidTr="00E20789">
        <w:trPr>
          <w:trHeight w:val="340"/>
        </w:trPr>
        <w:tc>
          <w:tcPr>
            <w:tcW w:w="9089" w:type="dxa"/>
            <w:gridSpan w:val="3"/>
            <w:vAlign w:val="center"/>
          </w:tcPr>
          <w:p w:rsidR="00770DB9" w:rsidRPr="00AF1B96" w:rsidRDefault="00770DB9" w:rsidP="00770DB9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 w:rsidRPr="00AF1B96"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770DB9" w:rsidRPr="00AF1B96" w:rsidTr="00E20789">
        <w:trPr>
          <w:trHeight w:val="350"/>
        </w:trPr>
        <w:tc>
          <w:tcPr>
            <w:tcW w:w="8789" w:type="dxa"/>
            <w:gridSpan w:val="2"/>
            <w:vAlign w:val="center"/>
          </w:tcPr>
          <w:p w:rsidR="00770DB9" w:rsidRPr="00AF1B96" w:rsidRDefault="00770DB9" w:rsidP="00E20789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 w:rsidRPr="00AF1B96"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1971D3" w:rsidRPr="00AF1B96" w:rsidTr="00E20789">
        <w:trPr>
          <w:trHeight w:val="340"/>
        </w:trPr>
        <w:tc>
          <w:tcPr>
            <w:tcW w:w="9089" w:type="dxa"/>
            <w:gridSpan w:val="3"/>
          </w:tcPr>
          <w:p w:rsidR="001971D3" w:rsidRPr="00AF1B96" w:rsidRDefault="001971D3" w:rsidP="001971D3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Určenie ocenenia záväzkov, stanovenie odhadu ocenenia rezerv</w:t>
            </w:r>
          </w:p>
        </w:tc>
      </w:tr>
      <w:tr w:rsidR="001971D3" w:rsidRPr="00AF1B96" w:rsidTr="00E20789">
        <w:trPr>
          <w:trHeight w:val="340"/>
        </w:trPr>
        <w:tc>
          <w:tcPr>
            <w:tcW w:w="8789" w:type="dxa"/>
            <w:gridSpan w:val="2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551F2B" w:rsidP="00551F2B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Podľa stavu nevyčerpanej dovolenky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a výsledku hospodárenia ÚJ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770DB9" w:rsidRPr="00770DB9" w:rsidTr="00E20789">
        <w:trPr>
          <w:trHeight w:hRule="exact" w:val="340"/>
        </w:trPr>
        <w:tc>
          <w:tcPr>
            <w:tcW w:w="708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Zmeny účtovných zásad a metód + konkrétny popis zmien </w:t>
            </w:r>
          </w:p>
        </w:tc>
        <w:tc>
          <w:tcPr>
            <w:tcW w:w="824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57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Informácie o dotáciách a ich oceňovanie v účtovníctve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770DB9" w:rsidRPr="00770DB9" w:rsidTr="00E20789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 účtovaní významných opráv chýb minulých účtovných období v bežnom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účtovnom 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770DB9" w:rsidRPr="00770DB9" w:rsidTr="00E20789">
        <w:tc>
          <w:tcPr>
            <w:tcW w:w="2977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Patrí do obdobia</w:t>
            </w:r>
          </w:p>
        </w:tc>
        <w:tc>
          <w:tcPr>
            <w:tcW w:w="85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Účet</w:t>
            </w:r>
          </w:p>
        </w:tc>
        <w:tc>
          <w:tcPr>
            <w:tcW w:w="2126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na účet HV min. období (EUR)</w:t>
            </w:r>
          </w:p>
        </w:tc>
        <w:tc>
          <w:tcPr>
            <w:tcW w:w="255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do HV bežného  obdobia(EUR)</w:t>
            </w: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</w:p>
    <w:p w:rsidR="00C106D9" w:rsidRPr="00C106D9" w:rsidRDefault="00C106D9" w:rsidP="00C106D9">
      <w:pPr>
        <w:tabs>
          <w:tab w:val="left" w:pos="851"/>
        </w:tabs>
        <w:spacing w:after="0" w:line="240" w:lineRule="auto"/>
        <w:jc w:val="both"/>
        <w:rPr>
          <w:szCs w:val="22"/>
          <w:u w:val="single"/>
        </w:rPr>
      </w:pPr>
    </w:p>
    <w:p w:rsidR="00770DB9" w:rsidRPr="00770DB9" w:rsidRDefault="00770DB9" w:rsidP="00770DB9">
      <w:pPr>
        <w:spacing w:after="0" w:line="240" w:lineRule="auto"/>
        <w:jc w:val="center"/>
        <w:rPr>
          <w:rFonts w:cs="Arial"/>
          <w:b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</w:p>
    <w:p w:rsidR="001971D3" w:rsidRPr="00436ADE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color w:val="C00000"/>
          <w:sz w:val="20"/>
          <w:szCs w:val="24"/>
          <w:lang w:eastAsia="sk-SK"/>
        </w:rPr>
      </w:pPr>
      <w:r w:rsidRPr="00436ADE">
        <w:rPr>
          <w:rFonts w:cs="Arial"/>
          <w:color w:val="C00000"/>
          <w:sz w:val="20"/>
          <w:szCs w:val="24"/>
          <w:lang w:eastAsia="sk-SK"/>
        </w:rPr>
        <w:t>Dôvod vzniku goodwillu alebo záporného goodwillu, spôsob výpočtu, prehodnotenie opodstatnenosti jeho výšky a odpisu jeho hodnoty</w:t>
      </w:r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Informácia o sume a dôvodoch vzniku jednotlivých položiek </w:t>
      </w:r>
      <w:r w:rsidRPr="00770DB9">
        <w:rPr>
          <w:rFonts w:cs="Arial"/>
          <w:b/>
          <w:sz w:val="20"/>
          <w:szCs w:val="24"/>
          <w:lang w:eastAsia="sk-SK"/>
        </w:rPr>
        <w:t>nákladov alebo výnosov, ktoré majú výnimočný rozsah alebo výskyt</w:t>
      </w:r>
      <w:r w:rsidR="00E532D5">
        <w:rPr>
          <w:rFonts w:cs="Arial"/>
          <w:b/>
          <w:sz w:val="20"/>
          <w:szCs w:val="24"/>
          <w:lang w:eastAsia="sk-SK"/>
        </w:rPr>
        <w:t xml:space="preserve">, účtovná jednotka neúčtuje o položkách s výnimočným rozsahom.  </w:t>
      </w: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770DB9" w:rsidRPr="00770DB9" w:rsidTr="00E20789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Popis nákladov ,výnosov </w:t>
            </w:r>
          </w:p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Výnimočného  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týchto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3"/>
        <w:gridCol w:w="1399"/>
      </w:tblGrid>
      <w:tr w:rsidR="00770DB9" w:rsidRPr="00770DB9" w:rsidTr="00E20789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770DB9" w:rsidRPr="00770DB9" w:rsidRDefault="00770DB9" w:rsidP="00770DB9">
            <w:pPr>
              <w:spacing w:after="0"/>
              <w:ind w:left="357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ind w:left="357"/>
              <w:jc w:val="both"/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Celková suma zabezpečených záväzkov, opis a spôsoby zabezpečenia záväzkov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770DB9">
              <w:rPr>
                <w:rFonts w:cs="Arial"/>
                <w:bCs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vlastných akciách, a to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dôvod nadobudnutia vlastných akcií počas účtovného obdobia,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</w:t>
      </w:r>
    </w:p>
    <w:p w:rsidR="00770DB9" w:rsidRPr="00770DB9" w:rsidRDefault="00770DB9" w:rsidP="00770DB9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770DB9" w:rsidRPr="00770DB9" w:rsidRDefault="00770DB9" w:rsidP="00770DB9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lastRenderedPageBreak/>
        <w:t>počet a hodnota, za ktorú sa vlastné akcie počas účtovného obdobia nadobudli a počet a hodnota, za ktorú sa vlastné akcie počas účtovného obdobia previedli na inú osobu,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bCs/>
          <w:kern w:val="28"/>
          <w:sz w:val="20"/>
          <w:szCs w:val="24"/>
        </w:rPr>
      </w:pPr>
      <w:r w:rsidRPr="00770DB9">
        <w:rPr>
          <w:rFonts w:cs="Arial"/>
          <w:sz w:val="20"/>
          <w:szCs w:val="24"/>
          <w:lang w:eastAsia="sk-SK"/>
        </w:rPr>
        <w:t xml:space="preserve">počet, menovitá hodnota a hodnota, za ktorú sa vlastné akcie nadobudli a ktoré účtovná jednotka má v držbe k poslednému dňu účtovného obdobia; </w:t>
      </w:r>
      <w:r w:rsidRPr="00770DB9">
        <w:rPr>
          <w:rFonts w:cs="Arial"/>
          <w:bCs/>
          <w:kern w:val="28"/>
          <w:sz w:val="20"/>
          <w:szCs w:val="24"/>
        </w:rPr>
        <w:t>uvádza  sa aj ich percentuálny podiel na upísanom základnom imaní.</w:t>
      </w: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</w:t>
      </w:r>
      <w:r w:rsidRPr="00770DB9">
        <w:rPr>
          <w:rFonts w:cs="Arial"/>
          <w:sz w:val="20"/>
          <w:szCs w:val="24"/>
          <w:lang w:eastAsia="sk-SK"/>
        </w:rPr>
        <w:t xml:space="preserve"> o </w:t>
      </w:r>
    </w:p>
    <w:p w:rsidR="00770DB9" w:rsidRPr="00AF1B96" w:rsidRDefault="00770DB9" w:rsidP="00770DB9">
      <w:pPr>
        <w:spacing w:after="0" w:line="240" w:lineRule="auto"/>
        <w:ind w:left="720"/>
        <w:rPr>
          <w:rFonts w:cs="Arial"/>
          <w:bCs/>
          <w:sz w:val="20"/>
          <w:szCs w:val="20"/>
          <w:u w:val="single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770DB9" w:rsidRPr="00AF1B96" w:rsidTr="00E20789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b/>
                <w:szCs w:val="22"/>
              </w:rPr>
            </w:pPr>
            <w:r w:rsidRPr="00AF1B96">
              <w:rPr>
                <w:b/>
                <w:szCs w:val="22"/>
              </w:rPr>
              <w:t xml:space="preserve">Výška jednotlivých druhov záruk alebo iných zabezpečení pre členov štatutárneho orgánu, </w:t>
            </w: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dozorného orgánu a iného orgánu ÚJ</w:t>
            </w:r>
          </w:p>
        </w:tc>
      </w:tr>
      <w:tr w:rsidR="00770DB9" w:rsidRPr="00AF1B96" w:rsidTr="00E20789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 w:rsidR="00770DB9" w:rsidRPr="00AF1B96" w:rsidTr="00E2078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1.Celková suma poskytnutých pôžičiek k poslednému dňu účtovného obdobia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2.Celková suma splatených pôžičiek k poslednému dňu účtovného obdobia</w:t>
            </w:r>
          </w:p>
        </w:tc>
      </w:tr>
      <w:tr w:rsidR="00770DB9" w:rsidRPr="00AF1B96" w:rsidTr="00E2078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770DB9" w:rsidRPr="00AF1B96" w:rsidTr="00E2078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povinnostiach účtovnej jednotky, a to</w:t>
      </w:r>
    </w:p>
    <w:p w:rsidR="00770DB9" w:rsidRDefault="00770DB9" w:rsidP="00770DB9">
      <w:pPr>
        <w:numPr>
          <w:ilvl w:val="0"/>
          <w:numId w:val="21"/>
        </w:numPr>
        <w:spacing w:after="0" w:line="240" w:lineRule="auto"/>
        <w:ind w:left="1276" w:hanging="567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celková suma finančných povinností, ktoré sa nevykazujú v súvahe, ale sú významné na posúdenie finančnej situácie účtovnej jednotky</w:t>
      </w:r>
    </w:p>
    <w:p w:rsidR="00770DB9" w:rsidRPr="00770DB9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0"/>
          <w:lang w:eastAsia="sk-SK"/>
        </w:rPr>
      </w:pPr>
      <w:r w:rsidRPr="00AF1B96">
        <w:rPr>
          <w:rFonts w:cs="Arial"/>
          <w:sz w:val="20"/>
          <w:szCs w:val="20"/>
          <w:lang w:eastAsia="sk-SK"/>
        </w:rPr>
        <w:t>C</w:t>
      </w:r>
      <w:r w:rsidR="00770DB9" w:rsidRPr="00770DB9">
        <w:rPr>
          <w:rFonts w:cs="Arial"/>
          <w:sz w:val="20"/>
          <w:szCs w:val="20"/>
          <w:lang w:eastAsia="sk-SK"/>
        </w:rPr>
        <w:t>elková suma významných podmienených záväzkov</w:t>
      </w:r>
      <w:r w:rsidR="00E532D5">
        <w:rPr>
          <w:rFonts w:cs="Arial"/>
          <w:sz w:val="20"/>
          <w:szCs w:val="20"/>
          <w:lang w:eastAsia="sk-SK"/>
        </w:rPr>
        <w:t>, neúčtuje o podmienených záväzkoch</w:t>
      </w:r>
    </w:p>
    <w:p w:rsidR="001971D3" w:rsidRPr="00AF1B96" w:rsidRDefault="001971D3" w:rsidP="001971D3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bookmarkStart w:id="1" w:name="OLE_LINK1"/>
      <w:r w:rsidRPr="00AF1B96">
        <w:rPr>
          <w:rFonts w:cs="Arial"/>
          <w:sz w:val="20"/>
          <w:szCs w:val="24"/>
          <w:lang w:eastAsia="sk-SK"/>
        </w:rPr>
        <w:t>Celková suma podmieneného majetku</w:t>
      </w:r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udelení výlučného práva alebo osobitného práva, ktorým sa udelilo právo poskytovať služby vo verejnom záujme</w:t>
      </w:r>
      <w:bookmarkEnd w:id="1"/>
    </w:p>
    <w:p w:rsidR="001971D3" w:rsidRPr="00AF1B96" w:rsidRDefault="001971D3" w:rsidP="001971D3">
      <w:pPr>
        <w:spacing w:after="0" w:line="240" w:lineRule="auto"/>
        <w:rPr>
          <w:rFonts w:cs="Arial"/>
          <w:sz w:val="20"/>
          <w:szCs w:val="24"/>
          <w:lang w:eastAsia="sk-SK"/>
        </w:rPr>
      </w:pPr>
    </w:p>
    <w:p w:rsidR="00AF1B96" w:rsidRPr="00436ADE" w:rsidRDefault="00AF1B96" w:rsidP="00A10359">
      <w:pPr>
        <w:spacing w:after="0" w:line="240" w:lineRule="auto"/>
        <w:ind w:left="641"/>
        <w:jc w:val="both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color w:val="C00000"/>
          <w:szCs w:val="22"/>
        </w:rPr>
        <w:t>.</w:t>
      </w:r>
    </w:p>
    <w:p w:rsidR="00AF1B96" w:rsidRPr="00770DB9" w:rsidRDefault="00AF1B96" w:rsidP="00770DB9">
      <w:pPr>
        <w:spacing w:after="0" w:line="240" w:lineRule="auto"/>
        <w:rPr>
          <w:rFonts w:cs="Arial"/>
          <w:b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szCs w:val="22"/>
          <w:u w:val="single"/>
          <w:lang w:eastAsia="sk-SK"/>
        </w:rPr>
        <w:t>Všeobecné pokyny na uvedenie informácií v poznámkach</w:t>
      </w:r>
      <w:r w:rsidRPr="00770DB9">
        <w:rPr>
          <w:rFonts w:cs="Arial"/>
          <w:szCs w:val="22"/>
          <w:lang w:eastAsia="sk-SK"/>
        </w:rPr>
        <w:t>:</w:t>
      </w:r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</w:p>
    <w:p w:rsidR="00770DB9" w:rsidRPr="00770DB9" w:rsidRDefault="00770DB9" w:rsidP="00770DB9">
      <w:pPr>
        <w:numPr>
          <w:ilvl w:val="0"/>
          <w:numId w:val="31"/>
        </w:num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Pri predkladaní poznámok konkrétnej účtovnej jednotky sa neuvádza označenie článkov z opatrenia na poznámky.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lastRenderedPageBreak/>
        <w:t xml:space="preserve">Pri predkladaní poznámok konkrétnej účtovnej jednotky sa uvádzajú len tie informácie, pre ktoré má účtovná jednotka obsahovú náplň. Neuvádza sa informácia, že  pre danú položku nemá účtovná jednotka obsahovú náplň. 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Vzorové poznámky uvádzajú len ilustratívny text, čo by sa podľa obsahovej náplne najčastejšie malo uviesť. Je potrebné si vždy prečítať opatrením požadovanú obsahovú náplň.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 poznámkach sa číselné údaje uvádzajú v celých eurách.</w:t>
      </w:r>
    </w:p>
    <w:p w:rsidR="00770DB9" w:rsidRPr="00AF1B96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0E349D" w:rsidRPr="00AF1B96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AF1B96" w:rsidRDefault="0003344F" w:rsidP="004268D2">
      <w:pPr>
        <w:spacing w:after="0" w:line="240" w:lineRule="auto"/>
        <w:rPr>
          <w:szCs w:val="22"/>
        </w:rPr>
      </w:pPr>
      <w:r w:rsidRPr="00AF1B96">
        <w:rPr>
          <w:szCs w:val="22"/>
        </w:rPr>
        <w:t>Použité  skratky:</w:t>
      </w:r>
    </w:p>
    <w:p w:rsidR="00486DF8" w:rsidRPr="00AF1B96" w:rsidRDefault="00486DF8" w:rsidP="004268D2">
      <w:pPr>
        <w:spacing w:after="0" w:line="240" w:lineRule="auto"/>
        <w:rPr>
          <w:szCs w:val="22"/>
        </w:rPr>
      </w:pPr>
      <w:r w:rsidRPr="00AF1B96">
        <w:rPr>
          <w:szCs w:val="22"/>
        </w:rPr>
        <w:t>ÚJ-účtovná jednotka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BO-bežné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PO-bezprostredne predchádzajúce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X-položka sa vzťahuje na účtovnú jednotku</w:t>
      </w:r>
    </w:p>
    <w:sectPr w:rsidR="00EB467F" w:rsidRPr="00AF1B96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47FC" w:rsidRDefault="003547FC" w:rsidP="00107589">
      <w:pPr>
        <w:spacing w:after="0" w:line="240" w:lineRule="auto"/>
      </w:pPr>
      <w:r>
        <w:separator/>
      </w:r>
    </w:p>
  </w:endnote>
  <w:endnote w:type="continuationSeparator" w:id="0">
    <w:p w:rsidR="003547FC" w:rsidRDefault="003547F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DejaVu Sans Condensed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75CA0">
      <w:rPr>
        <w:noProof/>
      </w:rPr>
      <w:t>1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47FC" w:rsidRDefault="003547FC" w:rsidP="00107589">
      <w:pPr>
        <w:spacing w:after="0" w:line="240" w:lineRule="auto"/>
      </w:pPr>
      <w:r>
        <w:separator/>
      </w:r>
    </w:p>
  </w:footnote>
  <w:footnote w:type="continuationSeparator" w:id="0">
    <w:p w:rsidR="003547FC" w:rsidRDefault="003547F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7825">
          <w:pPr>
            <w:spacing w:after="0" w:line="240" w:lineRule="auto"/>
          </w:pPr>
          <w:r>
            <w:t>IČO:</w:t>
          </w:r>
          <w:r w:rsidR="002A7825">
            <w:t>35925710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7825">
          <w:pPr>
            <w:spacing w:after="0" w:line="240" w:lineRule="auto"/>
          </w:pPr>
          <w:r>
            <w:t>DIČ:</w:t>
          </w:r>
          <w:r w:rsidR="002A7825">
            <w:t>2021974064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84E1887"/>
    <w:multiLevelType w:val="hybridMultilevel"/>
    <w:tmpl w:val="6442B37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5277B44"/>
    <w:multiLevelType w:val="hybridMultilevel"/>
    <w:tmpl w:val="7026FFF8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29BC3FD3"/>
    <w:multiLevelType w:val="hybridMultilevel"/>
    <w:tmpl w:val="A2423C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937163"/>
    <w:multiLevelType w:val="hybridMultilevel"/>
    <w:tmpl w:val="87FC4BE6"/>
    <w:lvl w:ilvl="0" w:tplc="188AB226">
      <w:start w:val="1"/>
      <w:numFmt w:val="upp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872C72"/>
    <w:multiLevelType w:val="hybridMultilevel"/>
    <w:tmpl w:val="09545D48"/>
    <w:lvl w:ilvl="0" w:tplc="EDF8F790">
      <w:start w:val="1"/>
      <w:numFmt w:val="lowerLetter"/>
      <w:lvlText w:val="%1)"/>
      <w:lvlJc w:val="left"/>
      <w:pPr>
        <w:ind w:left="643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327BEF"/>
    <w:multiLevelType w:val="hybridMultilevel"/>
    <w:tmpl w:val="112893E8"/>
    <w:lvl w:ilvl="0" w:tplc="041B0017">
      <w:start w:val="1"/>
      <w:numFmt w:val="lowerLetter"/>
      <w:lvlText w:val="%1)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1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9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137668D"/>
    <w:multiLevelType w:val="hybridMultilevel"/>
    <w:tmpl w:val="F7FE71B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C2385B"/>
    <w:multiLevelType w:val="hybridMultilevel"/>
    <w:tmpl w:val="5276E25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6C10A4"/>
    <w:multiLevelType w:val="hybridMultilevel"/>
    <w:tmpl w:val="5658F9A2"/>
    <w:lvl w:ilvl="0" w:tplc="041B0001">
      <w:start w:val="1"/>
      <w:numFmt w:val="bullet"/>
      <w:lvlText w:val=""/>
      <w:lvlJc w:val="left"/>
      <w:pPr>
        <w:ind w:left="1841" w:hanging="360"/>
      </w:pPr>
      <w:rPr>
        <w:rFonts w:ascii="Symbol" w:hAnsi="Symbol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2" w15:restartNumberingAfterBreak="0">
    <w:nsid w:val="79D07410"/>
    <w:multiLevelType w:val="hybridMultilevel"/>
    <w:tmpl w:val="AB02E8A8"/>
    <w:lvl w:ilvl="0" w:tplc="3CA029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1"/>
  </w:num>
  <w:num w:numId="3">
    <w:abstractNumId w:val="13"/>
  </w:num>
  <w:num w:numId="4">
    <w:abstractNumId w:val="11"/>
  </w:num>
  <w:num w:numId="5">
    <w:abstractNumId w:val="29"/>
  </w:num>
  <w:num w:numId="6">
    <w:abstractNumId w:val="7"/>
  </w:num>
  <w:num w:numId="7">
    <w:abstractNumId w:val="1"/>
  </w:num>
  <w:num w:numId="8">
    <w:abstractNumId w:val="30"/>
  </w:num>
  <w:num w:numId="9">
    <w:abstractNumId w:val="15"/>
  </w:num>
  <w:num w:numId="10">
    <w:abstractNumId w:val="21"/>
  </w:num>
  <w:num w:numId="11">
    <w:abstractNumId w:val="10"/>
  </w:num>
  <w:num w:numId="12">
    <w:abstractNumId w:val="28"/>
  </w:num>
  <w:num w:numId="13">
    <w:abstractNumId w:val="5"/>
  </w:num>
  <w:num w:numId="14">
    <w:abstractNumId w:val="18"/>
  </w:num>
  <w:num w:numId="15">
    <w:abstractNumId w:val="0"/>
  </w:num>
  <w:num w:numId="16">
    <w:abstractNumId w:val="3"/>
  </w:num>
  <w:num w:numId="17">
    <w:abstractNumId w:val="19"/>
  </w:num>
  <w:num w:numId="18">
    <w:abstractNumId w:val="16"/>
  </w:num>
  <w:num w:numId="19">
    <w:abstractNumId w:val="6"/>
  </w:num>
  <w:num w:numId="20">
    <w:abstractNumId w:val="22"/>
  </w:num>
  <w:num w:numId="21">
    <w:abstractNumId w:val="27"/>
  </w:num>
  <w:num w:numId="22">
    <w:abstractNumId w:val="2"/>
  </w:num>
  <w:num w:numId="23">
    <w:abstractNumId w:val="23"/>
  </w:num>
  <w:num w:numId="24">
    <w:abstractNumId w:val="20"/>
  </w:num>
  <w:num w:numId="25">
    <w:abstractNumId w:val="14"/>
  </w:num>
  <w:num w:numId="26">
    <w:abstractNumId w:val="17"/>
  </w:num>
  <w:num w:numId="27">
    <w:abstractNumId w:val="32"/>
  </w:num>
  <w:num w:numId="28">
    <w:abstractNumId w:val="9"/>
  </w:num>
  <w:num w:numId="29">
    <w:abstractNumId w:val="24"/>
  </w:num>
  <w:num w:numId="30">
    <w:abstractNumId w:val="4"/>
  </w:num>
  <w:num w:numId="31">
    <w:abstractNumId w:val="12"/>
  </w:num>
  <w:num w:numId="32">
    <w:abstractNumId w:val="25"/>
  </w:num>
  <w:num w:numId="33">
    <w:abstractNumId w:val="2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2EDB"/>
    <w:rsid w:val="000649F6"/>
    <w:rsid w:val="000679F3"/>
    <w:rsid w:val="000817BE"/>
    <w:rsid w:val="00082070"/>
    <w:rsid w:val="00083A25"/>
    <w:rsid w:val="000853E5"/>
    <w:rsid w:val="000856F9"/>
    <w:rsid w:val="000A7A95"/>
    <w:rsid w:val="000A7EE3"/>
    <w:rsid w:val="000B4D0C"/>
    <w:rsid w:val="000C4493"/>
    <w:rsid w:val="000D22CE"/>
    <w:rsid w:val="000E349D"/>
    <w:rsid w:val="00101637"/>
    <w:rsid w:val="00107589"/>
    <w:rsid w:val="001205A3"/>
    <w:rsid w:val="00151C69"/>
    <w:rsid w:val="001579C7"/>
    <w:rsid w:val="0016384B"/>
    <w:rsid w:val="001750C4"/>
    <w:rsid w:val="00186CFF"/>
    <w:rsid w:val="001923C8"/>
    <w:rsid w:val="001971D3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A7825"/>
    <w:rsid w:val="002B5BF9"/>
    <w:rsid w:val="002B61EE"/>
    <w:rsid w:val="002B719D"/>
    <w:rsid w:val="002C0794"/>
    <w:rsid w:val="002D0376"/>
    <w:rsid w:val="002D3E6A"/>
    <w:rsid w:val="003040B2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47FC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36ADE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578"/>
    <w:rsid w:val="004D08E4"/>
    <w:rsid w:val="004D5C84"/>
    <w:rsid w:val="004E24A8"/>
    <w:rsid w:val="004E36D5"/>
    <w:rsid w:val="005109EE"/>
    <w:rsid w:val="00512E8A"/>
    <w:rsid w:val="005136D1"/>
    <w:rsid w:val="005212D7"/>
    <w:rsid w:val="00533068"/>
    <w:rsid w:val="00537F98"/>
    <w:rsid w:val="0054020D"/>
    <w:rsid w:val="00544F4D"/>
    <w:rsid w:val="00550544"/>
    <w:rsid w:val="00551F2B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6E30"/>
    <w:rsid w:val="007408CF"/>
    <w:rsid w:val="00741B22"/>
    <w:rsid w:val="007449B8"/>
    <w:rsid w:val="00760D6D"/>
    <w:rsid w:val="00764E4C"/>
    <w:rsid w:val="00770DB9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1228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616A5"/>
    <w:rsid w:val="008725BC"/>
    <w:rsid w:val="008755FC"/>
    <w:rsid w:val="00880109"/>
    <w:rsid w:val="008875A1"/>
    <w:rsid w:val="00891F08"/>
    <w:rsid w:val="008C0E76"/>
    <w:rsid w:val="008C2EFA"/>
    <w:rsid w:val="008E284C"/>
    <w:rsid w:val="008E4928"/>
    <w:rsid w:val="00900BE9"/>
    <w:rsid w:val="00912D01"/>
    <w:rsid w:val="0093226A"/>
    <w:rsid w:val="00933936"/>
    <w:rsid w:val="00934878"/>
    <w:rsid w:val="0094114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0359"/>
    <w:rsid w:val="00A12B4A"/>
    <w:rsid w:val="00A33651"/>
    <w:rsid w:val="00A44147"/>
    <w:rsid w:val="00A533B1"/>
    <w:rsid w:val="00A62542"/>
    <w:rsid w:val="00A657E1"/>
    <w:rsid w:val="00A8025E"/>
    <w:rsid w:val="00A80BF6"/>
    <w:rsid w:val="00AA7A16"/>
    <w:rsid w:val="00AB03FB"/>
    <w:rsid w:val="00AD4607"/>
    <w:rsid w:val="00AF1B96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06D9"/>
    <w:rsid w:val="00C122EB"/>
    <w:rsid w:val="00C153BD"/>
    <w:rsid w:val="00C270D3"/>
    <w:rsid w:val="00C33753"/>
    <w:rsid w:val="00C36B91"/>
    <w:rsid w:val="00C56862"/>
    <w:rsid w:val="00C6795C"/>
    <w:rsid w:val="00C75CA0"/>
    <w:rsid w:val="00C93A1A"/>
    <w:rsid w:val="00CA4B07"/>
    <w:rsid w:val="00CD280F"/>
    <w:rsid w:val="00CF3093"/>
    <w:rsid w:val="00D055BD"/>
    <w:rsid w:val="00D05E18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41D9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0789"/>
    <w:rsid w:val="00E2186D"/>
    <w:rsid w:val="00E33704"/>
    <w:rsid w:val="00E33912"/>
    <w:rsid w:val="00E34858"/>
    <w:rsid w:val="00E35A2B"/>
    <w:rsid w:val="00E532D5"/>
    <w:rsid w:val="00E6362F"/>
    <w:rsid w:val="00E66ECB"/>
    <w:rsid w:val="00E720C4"/>
    <w:rsid w:val="00E769EA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3E5A355"/>
  <w15:docId w15:val="{9C247FAE-84E1-4276-8288-9E683EC0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C30FB-D0EB-4F9C-8797-327748C14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1598</Words>
  <Characters>9115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DELL</cp:lastModifiedBy>
  <cp:revision>2</cp:revision>
  <cp:lastPrinted>2026-06-15T08:11:00Z</cp:lastPrinted>
  <dcterms:created xsi:type="dcterms:W3CDTF">2026-06-15T08:13:00Z</dcterms:created>
  <dcterms:modified xsi:type="dcterms:W3CDTF">2026-06-15T08:13:00Z</dcterms:modified>
</cp:coreProperties>
</file>