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297A9" w14:textId="77777777" w:rsidR="00CD0101" w:rsidRPr="005877C7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5877C7">
        <w:rPr>
          <w:rFonts w:ascii="Times New Roman" w:hAnsi="Times New Roman" w:cs="Times New Roman"/>
          <w:b/>
          <w:color w:val="4472C4" w:themeColor="accent1"/>
        </w:rPr>
        <w:t>Čl. I </w:t>
      </w:r>
      <w:r w:rsidRPr="005877C7">
        <w:rPr>
          <w:rFonts w:ascii="Times New Roman" w:hAnsi="Times New Roman" w:cs="Times New Roman"/>
          <w:b/>
          <w:color w:val="4472C4" w:themeColor="accent1"/>
        </w:rPr>
        <w:tab/>
        <w:t>Všeobecné informácie</w:t>
      </w:r>
    </w:p>
    <w:p w14:paraId="73511591" w14:textId="77777777" w:rsidR="00CD0101" w:rsidRPr="002E2695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08B56074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I.1 </w:t>
      </w:r>
      <w:r w:rsidRPr="00F730ED">
        <w:rPr>
          <w:rFonts w:ascii="Times New Roman" w:hAnsi="Times New Roman" w:cs="Times New Roman"/>
          <w:b/>
        </w:rPr>
        <w:tab/>
        <w:t>Obchodné meno účtovnej jednotky:</w:t>
      </w:r>
    </w:p>
    <w:p w14:paraId="3141F08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ab/>
      </w:r>
      <w:r w:rsidR="00A910FC">
        <w:rPr>
          <w:rFonts w:ascii="Times New Roman" w:hAnsi="Times New Roman" w:cs="Times New Roman"/>
        </w:rPr>
        <w:t>BELLA VITA Slovakia</w:t>
      </w:r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s.r.o</w:t>
      </w:r>
      <w:proofErr w:type="spellEnd"/>
      <w:r>
        <w:rPr>
          <w:rFonts w:ascii="Times New Roman" w:hAnsi="Times New Roman" w:cs="Times New Roman"/>
        </w:rPr>
        <w:t>.</w:t>
      </w:r>
    </w:p>
    <w:p w14:paraId="49B508DD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Sídlo účtovnej jednotky:</w:t>
      </w:r>
    </w:p>
    <w:p w14:paraId="4121EB5D" w14:textId="77777777" w:rsidR="00CD0101" w:rsidRDefault="00A910FC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Štvrť SNP 998/28</w:t>
      </w:r>
    </w:p>
    <w:p w14:paraId="4D4F29E6" w14:textId="77777777" w:rsidR="00CD0101" w:rsidRDefault="00A910FC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924 01 Galanta</w:t>
      </w:r>
    </w:p>
    <w:p w14:paraId="71073198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</w:p>
    <w:p w14:paraId="3C069AA4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Opis hospodárskej činnosti účtovnej jednotky:</w:t>
      </w:r>
    </w:p>
    <w:p w14:paraId="64675A52" w14:textId="32578449" w:rsidR="00CD0101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Sprostredkovateľská činnosť v oblasti </w:t>
      </w:r>
      <w:r w:rsidR="0028237D">
        <w:rPr>
          <w:rFonts w:ascii="Times New Roman" w:hAnsi="Times New Roman" w:cs="Times New Roman"/>
        </w:rPr>
        <w:t>s</w:t>
      </w:r>
      <w:r w:rsidR="00A910FC">
        <w:rPr>
          <w:rFonts w:ascii="Times New Roman" w:hAnsi="Times New Roman" w:cs="Times New Roman"/>
        </w:rPr>
        <w:t>lužieb</w:t>
      </w:r>
    </w:p>
    <w:p w14:paraId="6C00E656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79915651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57A962FA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I.2</w:t>
      </w:r>
      <w:r w:rsidRPr="00F730ED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14:paraId="1846ECE9" w14:textId="2099A156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Spoločnosti k 31. decembru 20</w:t>
      </w:r>
      <w:r w:rsidR="006167F3">
        <w:rPr>
          <w:rFonts w:ascii="Times New Roman" w:hAnsi="Times New Roman" w:cs="Times New Roman"/>
        </w:rPr>
        <w:t>24</w:t>
      </w:r>
      <w:r w:rsidRPr="00F730ED">
        <w:rPr>
          <w:rFonts w:ascii="Times New Roman" w:hAnsi="Times New Roman" w:cs="Times New Roman"/>
        </w:rPr>
        <w:t xml:space="preserve">, za predchádzajúce účtovné obdobie, bola schválená valným zhromaždením Spoločnosti dňa </w:t>
      </w:r>
      <w:r w:rsidR="006167F3">
        <w:rPr>
          <w:rFonts w:ascii="Times New Roman" w:hAnsi="Times New Roman" w:cs="Times New Roman"/>
        </w:rPr>
        <w:t>11.6.2025</w:t>
      </w:r>
    </w:p>
    <w:p w14:paraId="73FB632F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0E18F94A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6F203F0E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I.3</w:t>
      </w:r>
      <w:r w:rsidRPr="00F730ED">
        <w:rPr>
          <w:rFonts w:ascii="Times New Roman" w:hAnsi="Times New Roman" w:cs="Times New Roman"/>
          <w:b/>
        </w:rPr>
        <w:tab/>
        <w:t>Právny dôvod na zostavenie účtovnej závierky:</w:t>
      </w:r>
    </w:p>
    <w:p w14:paraId="431FFE9C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3D7790B2" w14:textId="77777777" w:rsidR="00CD0101" w:rsidRPr="00F730ED" w:rsidRDefault="00000000" w:rsidP="00CD0101">
      <w:pPr>
        <w:pStyle w:val="Odsekzoznamu"/>
        <w:tabs>
          <w:tab w:val="left" w:pos="1604"/>
          <w:tab w:val="left" w:pos="2815"/>
        </w:tabs>
        <w:spacing w:after="0" w:line="276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14:paraId="2EF6D754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4EAF831D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3E45C1F5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I.4 </w:t>
      </w:r>
      <w:r w:rsidRPr="00F730ED">
        <w:rPr>
          <w:rFonts w:ascii="Times New Roman" w:hAnsi="Times New Roman" w:cs="Times New Roman"/>
          <w:b/>
        </w:rPr>
        <w:tab/>
        <w:t>Informácie o skupine účtovných jednotiek</w:t>
      </w:r>
    </w:p>
    <w:p w14:paraId="152EA65A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CC0138">
        <w:rPr>
          <w:rFonts w:ascii="Times New Roman" w:hAnsi="Times New Roman" w:cs="Times New Roman"/>
        </w:rPr>
        <w:t xml:space="preserve">             Nie je - nemá</w:t>
      </w:r>
    </w:p>
    <w:p w14:paraId="39B09613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  <w:b/>
        </w:rPr>
        <w:tab/>
      </w:r>
    </w:p>
    <w:p w14:paraId="467A2667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14:paraId="57200C8B" w14:textId="77777777" w:rsidR="00CD0101" w:rsidRPr="00F730ED" w:rsidRDefault="00CD0101" w:rsidP="00CD0101">
      <w:pPr>
        <w:spacing w:after="0" w:line="276" w:lineRule="auto"/>
        <w:ind w:left="709" w:hanging="1"/>
        <w:jc w:val="both"/>
        <w:rPr>
          <w:rFonts w:ascii="Times New Roman" w:hAnsi="Times New Roman" w:cs="Times New Roman"/>
        </w:rPr>
      </w:pPr>
    </w:p>
    <w:p w14:paraId="038E032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I.5 </w:t>
      </w:r>
      <w:r w:rsidRPr="00F730ED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CD0101" w:rsidRPr="00F730ED" w14:paraId="36E5755B" w14:textId="77777777" w:rsidTr="008C4389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7A1B6353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7BE72E6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304A8BE4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CD0101" w:rsidRPr="00F730ED" w14:paraId="2A8DEAD4" w14:textId="77777777" w:rsidTr="008C4389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14:paraId="1BD4017F" w14:textId="77777777" w:rsidR="00CD0101" w:rsidRPr="00F730ED" w:rsidRDefault="00CD0101" w:rsidP="008C438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730ED">
              <w:rPr>
                <w:rFonts w:ascii="Times New Roman" w:hAnsi="Times New Roman" w:cs="Times New Roman"/>
              </w:rPr>
              <w:t>Priemerný prepočítaný počet zamestnancov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F4A2C05" w14:textId="103CAEC2" w:rsidR="00CD0101" w:rsidRPr="00F730ED" w:rsidRDefault="00C8571B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14:paraId="4B878F36" w14:textId="02400F25" w:rsidR="00CD0101" w:rsidRPr="00F730ED" w:rsidRDefault="00B513B8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</w:tbl>
    <w:p w14:paraId="2176832F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5A937671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6633BB1E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699E6794" w14:textId="77777777" w:rsidR="00CD0101" w:rsidRPr="00F730ED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7CF8985D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orgánoch spoločnosti</w:t>
      </w:r>
    </w:p>
    <w:p w14:paraId="67FA34CC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F5B11FF" w14:textId="674D7C4F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Členom štatutárneho orgánu, ani členom dozorných orgánov  neboli v roku 20</w:t>
      </w:r>
      <w:r w:rsidR="005E7B5B">
        <w:rPr>
          <w:rFonts w:ascii="Times New Roman" w:hAnsi="Times New Roman" w:cs="Times New Roman"/>
        </w:rPr>
        <w:t>2</w:t>
      </w:r>
      <w:r w:rsidR="006167F3">
        <w:rPr>
          <w:rFonts w:ascii="Times New Roman" w:hAnsi="Times New Roman" w:cs="Times New Roman"/>
        </w:rPr>
        <w:t>5</w:t>
      </w:r>
      <w:r w:rsidRPr="00F730ED">
        <w:rPr>
          <w:rFonts w:ascii="Times New Roman" w:hAnsi="Times New Roman" w:cs="Times New Roman"/>
        </w:rPr>
        <w:t xml:space="preserve"> poskytnuté žiadne pôžičky, záruky alebo iné formy zabezpečenia, ani finančné prostriedky alebo iné plnenia na súkromné účely členov</w:t>
      </w:r>
      <w:r w:rsidR="00C8571B">
        <w:rPr>
          <w:rFonts w:ascii="Times New Roman" w:hAnsi="Times New Roman" w:cs="Times New Roman"/>
        </w:rPr>
        <w:t>.</w:t>
      </w:r>
    </w:p>
    <w:p w14:paraId="53CE3BC0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29D725F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3DD8602E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prijatých postupoch</w:t>
      </w:r>
    </w:p>
    <w:p w14:paraId="30EE8A52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III. 1</w:t>
      </w:r>
      <w:r w:rsidRPr="00F730ED">
        <w:rPr>
          <w:rFonts w:ascii="Times New Roman" w:hAnsi="Times New Roman" w:cs="Times New Roman"/>
          <w:b/>
        </w:rPr>
        <w:tab/>
        <w:t>Účtovná jednotka bude nepretržite pokračovať vo svojej činnosti:</w:t>
      </w:r>
    </w:p>
    <w:p w14:paraId="4A3D3BD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hAnsi="Times New Roman" w:cs="Times New Roman"/>
          <w:b/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áno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2A2C741A" w14:textId="77777777" w:rsidR="00CD0101" w:rsidRPr="00F730ED" w:rsidRDefault="00CD0101" w:rsidP="00CD0101">
      <w:pPr>
        <w:spacing w:after="0" w:line="276" w:lineRule="auto"/>
        <w:ind w:left="708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lastRenderedPageBreak/>
        <w:t>Účtovná závierka bola zostavená za predpokladu nepretržitého trvania Spoločnosti (</w:t>
      </w:r>
      <w:proofErr w:type="spellStart"/>
      <w:r w:rsidRPr="00F730ED">
        <w:rPr>
          <w:rFonts w:ascii="Times New Roman" w:hAnsi="Times New Roman" w:cs="Times New Roman"/>
        </w:rPr>
        <w:t>going</w:t>
      </w:r>
      <w:proofErr w:type="spellEnd"/>
      <w:r w:rsidRPr="00F730ED">
        <w:rPr>
          <w:rFonts w:ascii="Times New Roman" w:hAnsi="Times New Roman" w:cs="Times New Roman"/>
        </w:rPr>
        <w:t xml:space="preserve"> </w:t>
      </w:r>
      <w:proofErr w:type="spellStart"/>
      <w:r w:rsidRPr="00F730ED">
        <w:rPr>
          <w:rFonts w:ascii="Times New Roman" w:hAnsi="Times New Roman" w:cs="Times New Roman"/>
        </w:rPr>
        <w:t>concern</w:t>
      </w:r>
      <w:proofErr w:type="spellEnd"/>
      <w:r w:rsidRPr="00F730ED">
        <w:rPr>
          <w:rFonts w:ascii="Times New Roman" w:hAnsi="Times New Roman" w:cs="Times New Roman"/>
        </w:rPr>
        <w:t>). Účtovné metódy a všeobecné účtovné zásady boli účtovnou jednotkou konzistentne aplikované.</w:t>
      </w:r>
    </w:p>
    <w:p w14:paraId="066EE59C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76B552E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III. 2  </w:t>
      </w:r>
      <w:r w:rsidRPr="00F730ED">
        <w:rPr>
          <w:rFonts w:ascii="Times New Roman" w:hAnsi="Times New Roman" w:cs="Times New Roman"/>
          <w:b/>
        </w:rPr>
        <w:tab/>
        <w:t>Dlhodobý nehmotný majetok a dlhodobý hmotný majetok</w:t>
      </w:r>
    </w:p>
    <w:p w14:paraId="1BAFB8CE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3F516A5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nakupovaný sa oceňuje obstarávacou cenou, ktorá zahŕňa cenu obstarania a náklady súvisiace s obstaraním (clo, prepravu, montáž, poistné a pod.). </w:t>
      </w:r>
    </w:p>
    <w:p w14:paraId="316850BC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09EE15B1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Súčasťou obstarávacej ceny dlhodobého hmotného a nehmotného majetku nie sú úroky z cudzích zdrojov ani realizované kurzové rozdiely, ktoré vznikli do momentu uvedenia dlhodobého majetku do používania.</w:t>
      </w:r>
    </w:p>
    <w:p w14:paraId="0DC2CF2B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05924A04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vytvorený vlastnou činnosťou sa oceňuje vlastnými nákladmi. Vlastnými nákladmi sú všetky priame náklady vynaložené na výrobu alebo inú činnosť a nepriame náklady, ktoré sa vzťahujú na výrobu alebo inú činnosť. </w:t>
      </w:r>
    </w:p>
    <w:p w14:paraId="582E2111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7CB76A0E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Odpisy dlhodobého nehmotného majetku sú stanovené vychádzajúc z predpokladanej doby jeho používania a predpokladaného priebehu jeho opotrebenia. Odpisovať sa začína prvým dňom mesiaca nasledujúceho po uvedení dlhodobého majetku do používania. Drobný dlhodobý nehmotný majetok, ktorého obstarávacia cena (resp. vlastné náklady) je 2 400 EUR a nižšia, sa odpisuje jednorazovo pri uvedení do používania. </w:t>
      </w:r>
    </w:p>
    <w:p w14:paraId="236C95F8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17C220BD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Odpisy dlhodobého hmotného majetku sú stanovené vychádzajúc z predpokladanej doby jeho používania a predpokladaného priebehu jeho opotrebenia. Odpisovať sa začína prvým dňom mesiaca nasledujúceho po uvedení dlhodobého majetku do používania. Drobný dlhodobý hmotný majetok, ktorého obstarávacia cena (resp. vlastné náklady) je 1 700 EUR a nižšia, sa odpisuje jednorazovo pri uvedení do používania. Pozemky sa neodpisujú. Predpokladaná doba používania, metóda odpisovania a odpisová sadzba sú uvedené v nasledujúcej tabuľke:</w:t>
      </w:r>
    </w:p>
    <w:p w14:paraId="0D6EBDBE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2269"/>
      </w:tblGrid>
      <w:tr w:rsidR="00CD0101" w:rsidRPr="00F730ED" w14:paraId="2212620E" w14:textId="77777777" w:rsidTr="008C4389">
        <w:trPr>
          <w:trHeight w:val="250"/>
        </w:trPr>
        <w:tc>
          <w:tcPr>
            <w:tcW w:w="3118" w:type="dxa"/>
            <w:gridSpan w:val="2"/>
          </w:tcPr>
          <w:p w14:paraId="6C71D5A6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14:paraId="661E20E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Predpokladaná</w:t>
            </w:r>
          </w:p>
        </w:tc>
        <w:tc>
          <w:tcPr>
            <w:tcW w:w="141" w:type="dxa"/>
          </w:tcPr>
          <w:p w14:paraId="2CE1822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24B078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Metóda</w:t>
            </w:r>
          </w:p>
        </w:tc>
        <w:tc>
          <w:tcPr>
            <w:tcW w:w="142" w:type="dxa"/>
          </w:tcPr>
          <w:p w14:paraId="736BCAEF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</w:tcPr>
          <w:p w14:paraId="0955225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Ročná odpisová</w:t>
            </w:r>
          </w:p>
        </w:tc>
      </w:tr>
      <w:tr w:rsidR="00CD0101" w:rsidRPr="00F730ED" w14:paraId="78A71CDB" w14:textId="77777777" w:rsidTr="008C4389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36488AC1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17FFD586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4CAF2D2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14:paraId="77630E5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E2A517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2884E44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0D3656A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sadzba</w:t>
            </w:r>
          </w:p>
        </w:tc>
      </w:tr>
      <w:tr w:rsidR="00CD0101" w:rsidRPr="00F730ED" w14:paraId="71B6EFC2" w14:textId="77777777" w:rsidTr="008C4389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  <w:vAlign w:val="center"/>
          </w:tcPr>
          <w:p w14:paraId="3E0AF5BE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Stavby</w:t>
            </w:r>
            <w:r>
              <w:rPr>
                <w:color w:val="auto"/>
                <w:sz w:val="22"/>
                <w:szCs w:val="22"/>
              </w:rPr>
              <w:t xml:space="preserve"> - vlastné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4582615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60</w:t>
            </w:r>
          </w:p>
        </w:tc>
        <w:tc>
          <w:tcPr>
            <w:tcW w:w="141" w:type="dxa"/>
            <w:tcBorders>
              <w:top w:val="single" w:sz="4" w:space="0" w:color="auto"/>
            </w:tcBorders>
            <w:vAlign w:val="center"/>
          </w:tcPr>
          <w:p w14:paraId="35DD7FA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D7802B7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  <w:vAlign w:val="center"/>
          </w:tcPr>
          <w:p w14:paraId="500CEB6A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auto"/>
            </w:tcBorders>
            <w:vAlign w:val="center"/>
          </w:tcPr>
          <w:p w14:paraId="1AB01F8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1,6667</w:t>
            </w:r>
          </w:p>
        </w:tc>
      </w:tr>
      <w:tr w:rsidR="00CD0101" w:rsidRPr="00F730ED" w14:paraId="3388970F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1218E4A2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Stavby - prenajaté a ich technické zhodnotenie</w:t>
            </w:r>
          </w:p>
        </w:tc>
        <w:tc>
          <w:tcPr>
            <w:tcW w:w="1985" w:type="dxa"/>
            <w:vAlign w:val="center"/>
          </w:tcPr>
          <w:p w14:paraId="6007D7C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20</w:t>
            </w:r>
          </w:p>
        </w:tc>
        <w:tc>
          <w:tcPr>
            <w:tcW w:w="141" w:type="dxa"/>
            <w:vAlign w:val="center"/>
          </w:tcPr>
          <w:p w14:paraId="27ED6DE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A9DAF0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6E515CC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42618DC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</w:tr>
      <w:tr w:rsidR="00CD0101" w:rsidRPr="00F730ED" w14:paraId="50129D52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1A17E1C9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Stroje, prístroje a zariadenia</w:t>
            </w:r>
          </w:p>
        </w:tc>
        <w:tc>
          <w:tcPr>
            <w:tcW w:w="1985" w:type="dxa"/>
            <w:vAlign w:val="center"/>
          </w:tcPr>
          <w:p w14:paraId="213D8C8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 až 12</w:t>
            </w:r>
          </w:p>
        </w:tc>
        <w:tc>
          <w:tcPr>
            <w:tcW w:w="141" w:type="dxa"/>
            <w:vAlign w:val="center"/>
          </w:tcPr>
          <w:p w14:paraId="5143D1F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1DB6EF7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4A3CB8F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1690E7A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16,6 až 8,3</w:t>
            </w:r>
          </w:p>
        </w:tc>
      </w:tr>
      <w:tr w:rsidR="00CD0101" w:rsidRPr="00F730ED" w14:paraId="1BBBD624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752A3577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Dopravné prostriedky</w:t>
            </w:r>
          </w:p>
        </w:tc>
        <w:tc>
          <w:tcPr>
            <w:tcW w:w="1985" w:type="dxa"/>
            <w:vAlign w:val="center"/>
          </w:tcPr>
          <w:p w14:paraId="6F521EE6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4 až 6</w:t>
            </w:r>
          </w:p>
        </w:tc>
        <w:tc>
          <w:tcPr>
            <w:tcW w:w="141" w:type="dxa"/>
            <w:vAlign w:val="center"/>
          </w:tcPr>
          <w:p w14:paraId="3C78436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CBDDAB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4A7DAA8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5204C30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25 až 16,6</w:t>
            </w:r>
          </w:p>
        </w:tc>
      </w:tr>
      <w:tr w:rsidR="00CD0101" w:rsidRPr="00F730ED" w14:paraId="4A25DB42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1012E5B1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Drobný dlhodobý hmotný majetok</w:t>
            </w:r>
          </w:p>
        </w:tc>
        <w:tc>
          <w:tcPr>
            <w:tcW w:w="1985" w:type="dxa"/>
            <w:vAlign w:val="center"/>
          </w:tcPr>
          <w:p w14:paraId="40027D2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" w:type="dxa"/>
            <w:vAlign w:val="center"/>
          </w:tcPr>
          <w:p w14:paraId="3A87664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76BA55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jednorazový odpis</w:t>
            </w:r>
          </w:p>
        </w:tc>
        <w:tc>
          <w:tcPr>
            <w:tcW w:w="142" w:type="dxa"/>
            <w:vAlign w:val="center"/>
          </w:tcPr>
          <w:p w14:paraId="77B28B2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1791A9A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100</w:t>
            </w:r>
          </w:p>
        </w:tc>
      </w:tr>
    </w:tbl>
    <w:p w14:paraId="29595549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ab/>
      </w:r>
    </w:p>
    <w:p w14:paraId="632990FB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Metódy odpisovania, doby použiteľnosti a zostatkové hodnoty sa prehodnocujú ku dňu, ku ktorému sa zostavuje účtovná závierka, a ak je potrebné urobia sa úpravy.</w:t>
      </w:r>
    </w:p>
    <w:p w14:paraId="4CABE79E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79E16A97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  <w:i/>
        </w:rPr>
      </w:pPr>
      <w:r w:rsidRPr="00F730ED">
        <w:rPr>
          <w:rFonts w:ascii="Times New Roman" w:hAnsi="Times New Roman" w:cs="Times New Roman"/>
          <w:b/>
          <w:i/>
        </w:rPr>
        <w:t>Posúdenie zníženia hodnoty majetku</w:t>
      </w:r>
    </w:p>
    <w:p w14:paraId="57C32D06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Opravné položky sa tvoria na základe zásady opatrnosti, ak je opodstatnené predpokladať, že došlo k zníženiu hodnoty majetku oproti jeho oceneniu v účtovníctve. Opravná položka sa účtuje v sume opodstatneného predpokladu zníženia hodnoty majetku oproti jeho oceneniu v účtovníctve.</w:t>
      </w:r>
    </w:p>
    <w:p w14:paraId="75A316EB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0CB32A1D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Faktory, ktoré sú považované za dôležité pri  posudzovaní zníženia hodnoty majetku sú: </w:t>
      </w:r>
    </w:p>
    <w:p w14:paraId="50634E03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technologický pokrok,</w:t>
      </w:r>
    </w:p>
    <w:p w14:paraId="0CB49AC4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lastRenderedPageBreak/>
        <w:t>•</w:t>
      </w:r>
      <w:r w:rsidRPr="00F730ED">
        <w:rPr>
          <w:rFonts w:ascii="Times New Roman" w:hAnsi="Times New Roman" w:cs="Times New Roman"/>
        </w:rPr>
        <w:tab/>
        <w:t>významne nedostatočné prevádzkové výsledky v porovnaní s historickými alebo plánovanými prevádzkovými výsledkami,</w:t>
      </w:r>
    </w:p>
    <w:p w14:paraId="07A2043C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významné zmeny v spôsobe použitia majetku Spoločnosti alebo celkovej zmeny stratégie Spoločnosti,</w:t>
      </w:r>
    </w:p>
    <w:p w14:paraId="6D8919A8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</w:r>
      <w:proofErr w:type="spellStart"/>
      <w:r w:rsidRPr="00F730ED">
        <w:rPr>
          <w:rFonts w:ascii="Times New Roman" w:hAnsi="Times New Roman" w:cs="Times New Roman"/>
        </w:rPr>
        <w:t>zastaralosť</w:t>
      </w:r>
      <w:proofErr w:type="spellEnd"/>
      <w:r w:rsidRPr="00F730ED">
        <w:rPr>
          <w:rFonts w:ascii="Times New Roman" w:hAnsi="Times New Roman" w:cs="Times New Roman"/>
        </w:rPr>
        <w:t xml:space="preserve"> produktov.</w:t>
      </w:r>
    </w:p>
    <w:p w14:paraId="3FAA3426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7F9F61DA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Ak Spoločnosť zistí, že na základe existencie jedného alebo viacerých indikátorov zníženia hodnoty majetku možno predpokladať, že došlo k zníženiu hodnoty majetku oproti jeho oceneniu v účtovníctve, vypočíta zníženie hodnoty majetku na základe odhadov projektovaných čistých diskontovaných peňažných tokov, ktoré sa očakávajú z daného majetku, vrátane jeho prípadného predaja. Odhadované zníženie hodnoty by sa mohlo preukázať ako nedostatočné, ak by analýzy nadhodnotili peňažné toky alebo ak sa zmenia podmienky.</w:t>
      </w:r>
    </w:p>
    <w:p w14:paraId="2079F669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1EEEAB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5AE6C41" w14:textId="77777777" w:rsidR="00CD0101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Dotácie poskytnuté na obstaranie majetku:</w:t>
      </w:r>
    </w:p>
    <w:p w14:paraId="4F7BDF4B" w14:textId="77777777" w:rsidR="00CD0101" w:rsidRPr="00CC0138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žiadne</w:t>
      </w:r>
    </w:p>
    <w:p w14:paraId="5E321D61" w14:textId="77777777" w:rsidR="00CD0101" w:rsidRPr="00F730ED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39E09F9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20F17957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Pohľadávky</w:t>
      </w:r>
    </w:p>
    <w:p w14:paraId="6AC8B6F3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11F78E5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Pohľadávky pri ich vzniku sa oceňujú ich menovitou hodnotou; postúpené pohľadávky a pohľadávky nadobudnuté vkladom do základného imania sa oceňujú obstarávacou cenou vrátane nákladov súvisiacich s obstaraním. Toto ocenenie sa znižuje o pochybné a nevymožiteľné pohľadávky.</w:t>
      </w:r>
    </w:p>
    <w:p w14:paraId="1F6DC35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0EB5B0F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Finančné účty</w:t>
      </w:r>
    </w:p>
    <w:p w14:paraId="70113DB7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0798B9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Finančné účty tvorí peňažná hotovosť, ceniny, zostatky na bankových účtoch a oceňujú sa menovitou hodnotou. Zníženie ich hodnoty sa vyjadruje opravnou položkou.</w:t>
      </w:r>
    </w:p>
    <w:p w14:paraId="31EC1DB5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A3C6F09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III.5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Náklady budúcich období a príjmy budúcich období</w:t>
      </w:r>
    </w:p>
    <w:p w14:paraId="0B7C94A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55F58C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Náklady budúcich období a príjmy budúcich období sa vykazujú vo výške, ktorá je potrebná na dodržanie zásady vecnej a časovej súvislosti s účtovným obdobím.</w:t>
      </w:r>
    </w:p>
    <w:p w14:paraId="75DCC3A5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14A817C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III.6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Rezervy</w:t>
      </w:r>
    </w:p>
    <w:p w14:paraId="1256454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2AD208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Rezerva je záväzok predstavujúci existujúcu povinnosť Spoločnosti, ktorá vznikla z minulých udalostí a je pravdepodobné, že v budúcnosti zníži jej ekonomické úžitky. Rezervy sú záväzky s neurčitým časovým vymedzením alebo výškou a oceňujú sa odhadom v sume potrebnej na splnenie existujúcej povinnosti ku dňu, ku ktorému sa zostavuje účtovná závierka.</w:t>
      </w:r>
    </w:p>
    <w:p w14:paraId="16C552B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B037D3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sa účtuje na vecne príslušný nákladový alebo majetkový účet, ku ktorému záväzok prislúcha. Použitie rezervy sa účtuje na ťarchu vecne príslušného účtu rezerv so súvzťažným zápisom v prospech vecne príslušného účtu záväzkov. Rozpustenie nepotrebnej rezervy alebo jej časti sa účtuje opačným účtovným zápisom ako sa účtovala tvorba rezervy. </w:t>
      </w:r>
    </w:p>
    <w:p w14:paraId="3FE68F8D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B1DEA6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na bonusy, rabaty, skontá a vrátenie kúpnej ceny pri reklamácii sa účtuje ako zníženie pôvodne dosiahnutých výnosov so súvzťažným zápisom v prospech účtu rezerv. </w:t>
      </w:r>
    </w:p>
    <w:p w14:paraId="15B5D3D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B8C02C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Rezervy na nevyfakturované dodávky majetku sa nevykazujú s vplyvom na výsledok hospodárenia a oceňujú sa v odhadovanej výške záväzku.</w:t>
      </w:r>
    </w:p>
    <w:p w14:paraId="455407FA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3C2E0C1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III.7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Záväzky</w:t>
      </w:r>
    </w:p>
    <w:p w14:paraId="26352B4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0C9EA2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Záväzky pri ich vzniku sa oceňujú menovitou hodnotou. Záväzky pri ich prevzatí sa oceňujú obstarávacou cenou. Ak sa pri inventarizácii zistí, že suma záväzkov je iná ako ich výška v účtovníctve, uvedú sa záväzky v účtovníctve a v účtovnej závierke v tomto zistenom ocenení.</w:t>
      </w:r>
    </w:p>
    <w:p w14:paraId="3D27DBB1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D23D7C3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III.8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Výdavky budúcich období a výnosy budúcich období</w:t>
      </w:r>
    </w:p>
    <w:p w14:paraId="2319321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8A3D64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Výdavky budúcich období a výnosy budúcich období sa vykazujú vo výške, ktorá je potrebná na dodržanie zásady vecnej a časovej súvislosti s účtovným obdobím.</w:t>
      </w:r>
    </w:p>
    <w:p w14:paraId="605F480A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25B8BF6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9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Výnosy</w:t>
      </w:r>
    </w:p>
    <w:p w14:paraId="4D153E8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30C729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za vlastné výkony a tovar neobsahujú daň z pridanej hodnoty. Sú tiež znížené o zľavy a zrážky (rabaty, bonusy, skontá, dobropisy a pod.), bez ohľadu na to, či zákazník mal vopred na zľavu nárok, alebo či ide o dodatočne uznanú zľavu.</w:t>
      </w:r>
    </w:p>
    <w:p w14:paraId="4F94275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1B6792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Tržby z predaja výrobkov a tovaru sa vykazujú v deň splnenia dodávky podľa Obchodného zákonníka, podľa </w:t>
      </w:r>
      <w:proofErr w:type="spellStart"/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Incoterms</w:t>
      </w:r>
      <w:proofErr w:type="spellEnd"/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alebo iných podmienok dohodnutých v zmluve. </w:t>
      </w:r>
    </w:p>
    <w:p w14:paraId="505244ED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F2B12A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 predaja služieb sa vykazujú v účtovnom období, v ktorom boli služby poskytnuté.</w:t>
      </w:r>
    </w:p>
    <w:p w14:paraId="3278CB9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Výnosové úroky sa účtujú rovnomerne v účtovných obdobiach, ktorých sa vecne a časovo týkajú / na základe časového rozlíšenia metódou efektívnej úrokovej miery.</w:t>
      </w:r>
    </w:p>
    <w:p w14:paraId="5F266D9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047139E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Výnosy z dividend sa zaúčtujú v čase vzniku práva Spoločnosti na prijatie platby.</w:t>
      </w:r>
    </w:p>
    <w:p w14:paraId="21C88578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4B503BE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0D1B5FD" w14:textId="77777777" w:rsidR="00CD0101" w:rsidRPr="00F730ED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083F65BC" w14:textId="77777777" w:rsidR="00CD0101" w:rsidRPr="00F730ED" w:rsidRDefault="00CD0101" w:rsidP="00CD0101">
      <w:pPr>
        <w:spacing w:after="0" w:line="276" w:lineRule="auto"/>
        <w:ind w:left="992" w:hanging="992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Informácie, ktoré vysvetľujú a dopĺňajú položky súvahy a výkazu ziskov a strát</w:t>
      </w:r>
    </w:p>
    <w:p w14:paraId="032E80F8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2A165464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1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p w14:paraId="35B05B8E" w14:textId="77777777" w:rsidR="00CD0101" w:rsidRDefault="00CD0101" w:rsidP="00CD0101">
      <w:pPr>
        <w:pStyle w:val="Zkladntext"/>
        <w:ind w:left="0"/>
        <w:rPr>
          <w:sz w:val="22"/>
          <w:szCs w:val="22"/>
        </w:rPr>
      </w:pPr>
    </w:p>
    <w:p w14:paraId="49B539E7" w14:textId="77777777" w:rsidR="00CD0101" w:rsidRDefault="00CD0101" w:rsidP="00CD0101">
      <w:pPr>
        <w:pStyle w:val="Zkladntext"/>
        <w:ind w:left="0"/>
        <w:rPr>
          <w:sz w:val="22"/>
          <w:szCs w:val="22"/>
        </w:rPr>
      </w:pPr>
      <w:r w:rsidRPr="00F730ED">
        <w:rPr>
          <w:sz w:val="22"/>
          <w:szCs w:val="22"/>
        </w:rPr>
        <w:t>Štruktúra záväzkov (okrem záväzkov zo sociálneho fondu a odloženého daňového záväzku) podľa zostatkovej doby splatnosti je uvedená v nasledujúcom prehľade:</w:t>
      </w:r>
    </w:p>
    <w:p w14:paraId="05751DD6" w14:textId="77777777" w:rsidR="00BB0792" w:rsidRDefault="00BB0792" w:rsidP="00CD0101">
      <w:pPr>
        <w:pStyle w:val="Zkladntext"/>
        <w:ind w:left="0"/>
        <w:rPr>
          <w:sz w:val="22"/>
          <w:szCs w:val="22"/>
        </w:rPr>
      </w:pPr>
    </w:p>
    <w:p w14:paraId="07EB2FCD" w14:textId="48550F5A" w:rsidR="007F3749" w:rsidRDefault="007F3749" w:rsidP="00CD0101">
      <w:pPr>
        <w:pStyle w:val="Zkladntext"/>
        <w:ind w:left="0"/>
        <w:rPr>
          <w:sz w:val="22"/>
          <w:szCs w:val="22"/>
        </w:rPr>
      </w:pPr>
      <w:r>
        <w:rPr>
          <w:sz w:val="22"/>
          <w:szCs w:val="22"/>
        </w:rPr>
        <w:t>321_dodávatelia_</w:t>
      </w:r>
      <w:r w:rsidR="006167F3">
        <w:rPr>
          <w:sz w:val="22"/>
          <w:szCs w:val="22"/>
        </w:rPr>
        <w:t>799,48</w:t>
      </w:r>
      <w:r>
        <w:rPr>
          <w:sz w:val="22"/>
          <w:szCs w:val="22"/>
        </w:rPr>
        <w:t>,00€</w:t>
      </w:r>
    </w:p>
    <w:p w14:paraId="208E10A5" w14:textId="046B8A5F" w:rsidR="00BB0792" w:rsidRDefault="00BB0792" w:rsidP="00CD0101">
      <w:pPr>
        <w:pStyle w:val="Zkladntext"/>
        <w:ind w:left="0"/>
        <w:rPr>
          <w:sz w:val="22"/>
          <w:szCs w:val="22"/>
        </w:rPr>
      </w:pPr>
      <w:r>
        <w:rPr>
          <w:sz w:val="22"/>
          <w:szCs w:val="22"/>
        </w:rPr>
        <w:t xml:space="preserve">331_zamestnanci_ </w:t>
      </w:r>
      <w:r w:rsidR="006167F3">
        <w:rPr>
          <w:sz w:val="22"/>
          <w:szCs w:val="22"/>
        </w:rPr>
        <w:t>43,77</w:t>
      </w:r>
      <w:r>
        <w:rPr>
          <w:sz w:val="22"/>
          <w:szCs w:val="22"/>
        </w:rPr>
        <w:t>€</w:t>
      </w:r>
    </w:p>
    <w:p w14:paraId="0562BE60" w14:textId="24A4354B" w:rsidR="00BB0792" w:rsidRDefault="00BB0792" w:rsidP="00CD0101">
      <w:pPr>
        <w:pStyle w:val="Zkladntext"/>
        <w:ind w:left="0"/>
        <w:rPr>
          <w:sz w:val="22"/>
          <w:szCs w:val="22"/>
        </w:rPr>
      </w:pPr>
      <w:r>
        <w:rPr>
          <w:sz w:val="22"/>
          <w:szCs w:val="22"/>
        </w:rPr>
        <w:t xml:space="preserve">336_odvody_ </w:t>
      </w:r>
      <w:r w:rsidR="006167F3">
        <w:rPr>
          <w:sz w:val="22"/>
          <w:szCs w:val="22"/>
        </w:rPr>
        <w:t>179,75</w:t>
      </w:r>
      <w:r>
        <w:rPr>
          <w:sz w:val="22"/>
          <w:szCs w:val="22"/>
        </w:rPr>
        <w:t>€</w:t>
      </w:r>
    </w:p>
    <w:p w14:paraId="4134C8F3" w14:textId="152BF586" w:rsidR="007F3749" w:rsidRDefault="007F3749" w:rsidP="00CD0101">
      <w:pPr>
        <w:pStyle w:val="Zkladntext"/>
        <w:ind w:left="0"/>
        <w:rPr>
          <w:sz w:val="22"/>
          <w:szCs w:val="22"/>
        </w:rPr>
      </w:pPr>
      <w:r>
        <w:rPr>
          <w:sz w:val="22"/>
          <w:szCs w:val="22"/>
        </w:rPr>
        <w:t>343_VDP DPH_</w:t>
      </w:r>
      <w:r w:rsidR="006167F3">
        <w:rPr>
          <w:sz w:val="22"/>
          <w:szCs w:val="22"/>
        </w:rPr>
        <w:t>56,22</w:t>
      </w:r>
      <w:r>
        <w:rPr>
          <w:sz w:val="22"/>
          <w:szCs w:val="22"/>
        </w:rPr>
        <w:t>€</w:t>
      </w:r>
    </w:p>
    <w:p w14:paraId="43666A49" w14:textId="20266560" w:rsidR="00BB0792" w:rsidRDefault="00BB0792" w:rsidP="00CD0101">
      <w:pPr>
        <w:pStyle w:val="Zkladntext"/>
        <w:ind w:left="0"/>
        <w:rPr>
          <w:sz w:val="22"/>
          <w:szCs w:val="22"/>
        </w:rPr>
      </w:pPr>
      <w:r>
        <w:rPr>
          <w:sz w:val="22"/>
          <w:szCs w:val="22"/>
        </w:rPr>
        <w:t>345_DzMV_</w:t>
      </w:r>
      <w:r w:rsidR="006167F3">
        <w:rPr>
          <w:sz w:val="22"/>
          <w:szCs w:val="22"/>
        </w:rPr>
        <w:t>445,45</w:t>
      </w:r>
      <w:r>
        <w:rPr>
          <w:sz w:val="22"/>
          <w:szCs w:val="22"/>
        </w:rPr>
        <w:t>€</w:t>
      </w:r>
    </w:p>
    <w:p w14:paraId="3098C2FD" w14:textId="2FD84920" w:rsidR="00BB0792" w:rsidRDefault="00BB0792" w:rsidP="00CD0101">
      <w:pPr>
        <w:pStyle w:val="Zkladntext"/>
        <w:ind w:left="0"/>
        <w:rPr>
          <w:sz w:val="22"/>
          <w:szCs w:val="22"/>
        </w:rPr>
      </w:pPr>
      <w:r>
        <w:rPr>
          <w:sz w:val="22"/>
          <w:szCs w:val="22"/>
        </w:rPr>
        <w:t>4</w:t>
      </w:r>
      <w:r w:rsidR="006167F3">
        <w:rPr>
          <w:sz w:val="22"/>
          <w:szCs w:val="22"/>
        </w:rPr>
        <w:t>74</w:t>
      </w:r>
      <w:r>
        <w:rPr>
          <w:sz w:val="22"/>
          <w:szCs w:val="22"/>
        </w:rPr>
        <w:t xml:space="preserve">_úvery_LZ_ </w:t>
      </w:r>
      <w:r w:rsidR="006167F3">
        <w:rPr>
          <w:sz w:val="22"/>
          <w:szCs w:val="22"/>
        </w:rPr>
        <w:t>1257,64</w:t>
      </w:r>
      <w:r>
        <w:rPr>
          <w:sz w:val="22"/>
          <w:szCs w:val="22"/>
        </w:rPr>
        <w:t>€</w:t>
      </w:r>
    </w:p>
    <w:p w14:paraId="6E770BB6" w14:textId="77777777" w:rsidR="00BB0792" w:rsidRPr="00F730ED" w:rsidRDefault="00BB0792" w:rsidP="00CD0101">
      <w:pPr>
        <w:pStyle w:val="Zkladntext"/>
        <w:ind w:left="0"/>
        <w:rPr>
          <w:sz w:val="22"/>
          <w:szCs w:val="22"/>
        </w:rPr>
      </w:pPr>
    </w:p>
    <w:p w14:paraId="0475C270" w14:textId="77777777" w:rsidR="00CD0101" w:rsidRPr="00F730ED" w:rsidRDefault="00CD0101" w:rsidP="00A910FC">
      <w:pPr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iných aktívach a iných pasívach</w:t>
      </w:r>
    </w:p>
    <w:p w14:paraId="34B0F6C4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03F779E6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a)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podmienenom majetku</w:t>
      </w:r>
    </w:p>
    <w:p w14:paraId="480C24FA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neeviduje podmienený majetok.</w:t>
      </w:r>
    </w:p>
    <w:p w14:paraId="14F35C0C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71EE7F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7B4C923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podmienených záväzkoch</w:t>
      </w:r>
    </w:p>
    <w:p w14:paraId="4D95339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 Vedenie Spoločnosti si nie je vedomé žiadnych okolností, v dôsledku ktorých by jej vznikol významný náklad.</w:t>
      </w:r>
    </w:p>
    <w:p w14:paraId="6FE8BC3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E8A333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6DBDB10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údajoch na podsúvahových účtoch</w:t>
      </w:r>
    </w:p>
    <w:p w14:paraId="5B6FC7FB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- žiadne</w:t>
      </w:r>
    </w:p>
    <w:p w14:paraId="6A57D9D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:color w:val="4472C4" w:themeColor="accent1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74D48BA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 Udalosti, ktoré nastali po dni, ku ktorému sa zostavuje účtovná závierka</w:t>
      </w:r>
    </w:p>
    <w:p w14:paraId="7AEBDAD0" w14:textId="77777777" w:rsidR="00CD0101" w:rsidRPr="00F730ED" w:rsidRDefault="00CD0101" w:rsidP="00CD0101">
      <w:pPr>
        <w:spacing w:after="0" w:line="276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 j)   Udalosti, ktoré nastali po dni, ku ktorému sa zostavuje účtovná závierka</w:t>
      </w:r>
    </w:p>
    <w:p w14:paraId="45365632" w14:textId="77777777" w:rsidR="00CD0101" w:rsidRPr="00F730ED" w:rsidRDefault="00CD0101" w:rsidP="00CD0101">
      <w:pPr>
        <w:tabs>
          <w:tab w:val="left" w:pos="3150"/>
        </w:tabs>
        <w:spacing w:after="0" w:line="276" w:lineRule="auto"/>
        <w:rPr>
          <w:rFonts w:ascii="Times New Roman" w:eastAsia="MS Gothic" w:hAnsi="Times New Roman" w:cs="Times New Roman"/>
        </w:rPr>
      </w:pPr>
    </w:p>
    <w:p w14:paraId="5095A716" w14:textId="06374315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neidentifikovala žiadne skutočnosti medzi dňom, ku ktorému sa účtovná závierka zostavuje a dňom zostavenia účtovnej závierky, ktoré by mali významný vplyv na výsledok hospodárenia Spoločnosti prípadne na celkovú finančnú situáciu Spoločnosti za obdobie od 1. januára 20</w:t>
      </w:r>
      <w:r w:rsidR="0028237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6167F3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do 31. decembra 20</w:t>
      </w:r>
      <w:r w:rsidR="0028237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6167F3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1837D88D" w14:textId="77777777" w:rsidR="00726BBB" w:rsidRDefault="00726BBB"/>
    <w:sectPr w:rsidR="00726BBB" w:rsidSect="00FB3281">
      <w:headerReference w:type="default" r:id="rId7"/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20BD0" w14:textId="77777777" w:rsidR="004C2786" w:rsidRDefault="004C2786">
      <w:pPr>
        <w:spacing w:after="0" w:line="240" w:lineRule="auto"/>
      </w:pPr>
      <w:r>
        <w:separator/>
      </w:r>
    </w:p>
  </w:endnote>
  <w:endnote w:type="continuationSeparator" w:id="0">
    <w:p w14:paraId="048AE1A3" w14:textId="77777777" w:rsidR="004C2786" w:rsidRDefault="004C2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3289D" w14:textId="77777777" w:rsidR="009D2216" w:rsidRPr="00F17E37" w:rsidRDefault="00993620" w:rsidP="00195651">
    <w:pPr>
      <w:pStyle w:val="Pta"/>
      <w:jc w:val="center"/>
      <w:rPr>
        <w:rFonts w:ascii="Times New Roman" w:hAnsi="Times New Roman" w:cs="Times New Roman"/>
        <w:color w:val="808080" w:themeColor="background1" w:themeShade="80"/>
        <w:sz w:val="16"/>
        <w:szCs w:val="16"/>
      </w:rPr>
    </w:pP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Strana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PAGE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5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 z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NUMPAGES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6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CD0A0" w14:textId="77777777" w:rsidR="004C2786" w:rsidRDefault="004C2786">
      <w:pPr>
        <w:spacing w:after="0" w:line="240" w:lineRule="auto"/>
      </w:pPr>
      <w:r>
        <w:separator/>
      </w:r>
    </w:p>
  </w:footnote>
  <w:footnote w:type="continuationSeparator" w:id="0">
    <w:p w14:paraId="755A5B4A" w14:textId="77777777" w:rsidR="004C2786" w:rsidRDefault="004C27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B8325F" w14:paraId="37735ADE" w14:textId="77777777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45B36F5C" w14:textId="77777777" w:rsidR="009D2216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 xml:space="preserve">Poznámky </w:t>
          </w:r>
          <w:proofErr w:type="spellStart"/>
          <w:r w:rsidRPr="0018540B">
            <w:rPr>
              <w:rFonts w:ascii="Times New Roman" w:hAnsi="Times New Roman" w:cs="Times New Roman"/>
              <w:szCs w:val="24"/>
            </w:rPr>
            <w:t>Úč</w:t>
          </w:r>
          <w:proofErr w:type="spellEnd"/>
          <w:r w:rsidRPr="0018540B">
            <w:rPr>
              <w:rFonts w:ascii="Times New Roman" w:hAnsi="Times New Roman" w:cs="Times New Roman"/>
              <w:szCs w:val="24"/>
            </w:rPr>
            <w:t xml:space="preserve">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0FC3F657" w14:textId="77777777" w:rsidR="009D2216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6BCE19E1" w14:textId="77777777" w:rsidR="009D2216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14:paraId="5CC3C85E" w14:textId="77777777" w:rsidR="009D2216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5DEAB343" w14:textId="77777777" w:rsidR="009D2216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0FEBE783" w14:textId="77777777" w:rsidR="009D2216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681D3BB8" w14:textId="77777777" w:rsidR="009D2216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4488E559" w14:textId="77777777" w:rsidR="009D2216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52D36990" w14:textId="77777777" w:rsidR="009D2216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14:paraId="1385982D" w14:textId="77777777" w:rsidR="009D2216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072BA82E" w14:textId="77777777" w:rsidR="009D2216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30DF982C" w14:textId="77777777" w:rsidR="009D2216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0CDD90F3" w14:textId="77777777" w:rsidR="009D2216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2B0E8043" w14:textId="77777777" w:rsidR="009D2216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665B56D7" w14:textId="77777777" w:rsidR="009D2216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591F6167" w14:textId="77777777" w:rsidR="009D2216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23E88A74" w14:textId="77777777" w:rsidR="009D2216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2B145C68" w14:textId="77777777" w:rsidR="009D2216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4729DA92" w14:textId="77777777" w:rsidR="009D2216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2BB2F63F" w14:textId="77777777" w:rsidR="009D2216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14:paraId="0B9D953F" w14:textId="77777777" w:rsidR="009D2216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2</w:t>
          </w:r>
        </w:p>
      </w:tc>
    </w:tr>
  </w:tbl>
  <w:p w14:paraId="5F71CD57" w14:textId="77777777" w:rsidR="009D2216" w:rsidRPr="00CE03EC" w:rsidRDefault="009D2216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7E0AB7"/>
    <w:multiLevelType w:val="hybridMultilevel"/>
    <w:tmpl w:val="72D865A6"/>
    <w:lvl w:ilvl="0" w:tplc="B76671AC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067220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01"/>
    <w:rsid w:val="0028237D"/>
    <w:rsid w:val="002D1E37"/>
    <w:rsid w:val="00311563"/>
    <w:rsid w:val="003E4550"/>
    <w:rsid w:val="00400C70"/>
    <w:rsid w:val="004405D3"/>
    <w:rsid w:val="004C2786"/>
    <w:rsid w:val="004E2FB5"/>
    <w:rsid w:val="005E7B5B"/>
    <w:rsid w:val="006167F3"/>
    <w:rsid w:val="0071381C"/>
    <w:rsid w:val="00726BBB"/>
    <w:rsid w:val="007D6ECE"/>
    <w:rsid w:val="007F3749"/>
    <w:rsid w:val="008F2CC3"/>
    <w:rsid w:val="00971CBF"/>
    <w:rsid w:val="00993620"/>
    <w:rsid w:val="009D2216"/>
    <w:rsid w:val="00A910FC"/>
    <w:rsid w:val="00AD1175"/>
    <w:rsid w:val="00B513B8"/>
    <w:rsid w:val="00BB0792"/>
    <w:rsid w:val="00BB6843"/>
    <w:rsid w:val="00C113AC"/>
    <w:rsid w:val="00C8571B"/>
    <w:rsid w:val="00CD0101"/>
    <w:rsid w:val="00EA11BC"/>
    <w:rsid w:val="00F15D6B"/>
    <w:rsid w:val="00F33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F6DF7"/>
  <w15:chartTrackingRefBased/>
  <w15:docId w15:val="{1E98B808-7D31-40AB-8160-CFEF8BB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D010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D0101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D0101"/>
  </w:style>
  <w:style w:type="paragraph" w:styleId="Pta">
    <w:name w:val="footer"/>
    <w:basedOn w:val="Normlny"/>
    <w:link w:val="Pt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D0101"/>
  </w:style>
  <w:style w:type="table" w:styleId="Mriekatabuky">
    <w:name w:val="Table Grid"/>
    <w:basedOn w:val="Normlnatabuka"/>
    <w:uiPriority w:val="39"/>
    <w:rsid w:val="00CD0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rsid w:val="00CD0101"/>
    <w:pPr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20"/>
    </w:rPr>
  </w:style>
  <w:style w:type="paragraph" w:styleId="Zkladntext">
    <w:name w:val="Body Text"/>
    <w:basedOn w:val="Normlny"/>
    <w:link w:val="ZkladntextChar"/>
    <w:rsid w:val="00CD0101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ZkladntextChar">
    <w:name w:val="Základný text Char"/>
    <w:basedOn w:val="Predvolenpsmoodseku"/>
    <w:link w:val="Zkladntext"/>
    <w:rsid w:val="00CD0101"/>
    <w:rPr>
      <w:rFonts w:ascii="Times New Roman" w:eastAsia="Times New Roman" w:hAnsi="Times New Roman" w:cs="Times New Roman"/>
      <w:sz w:val="18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D1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D1E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1393</Words>
  <Characters>7944</Characters>
  <Application>Microsoft Office Word</Application>
  <DocSecurity>0</DocSecurity>
  <Lines>66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Miklošíková</dc:creator>
  <cp:keywords/>
  <dc:description/>
  <cp:lastModifiedBy>Milena Miklošíková</cp:lastModifiedBy>
  <cp:revision>2</cp:revision>
  <cp:lastPrinted>2019-03-20T13:29:00Z</cp:lastPrinted>
  <dcterms:created xsi:type="dcterms:W3CDTF">2026-06-24T13:09:00Z</dcterms:created>
  <dcterms:modified xsi:type="dcterms:W3CDTF">2026-06-24T13:09:00Z</dcterms:modified>
</cp:coreProperties>
</file>