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BFE51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Čl. I</w:t>
      </w:r>
    </w:p>
    <w:p w14:paraId="15A80933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>Všeobecné údaje</w:t>
      </w:r>
    </w:p>
    <w:p w14:paraId="6A759D9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3D2C0B81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83"/>
      </w:tblGrid>
      <w:tr w14:paraId="3E361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96" w:type="pct"/>
            <w:vAlign w:val="center"/>
          </w:tcPr>
          <w:p w14:paraId="5DC21AE5">
            <w:pPr>
              <w:rPr>
                <w:rFonts w:ascii="Arial" w:hAnsi="Arial" w:cs="Arial"/>
                <w:sz w:val="20"/>
                <w:szCs w:val="22"/>
              </w:rPr>
            </w:pPr>
          </w:p>
          <w:p w14:paraId="7A8EA48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D4A80A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DM ARMY, s.r.o.</w:t>
            </w:r>
          </w:p>
        </w:tc>
      </w:tr>
      <w:tr w14:paraId="20AFF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96" w:type="pct"/>
            <w:vAlign w:val="center"/>
          </w:tcPr>
          <w:p w14:paraId="3D11A0C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851AEE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Karparské námestie 10A, Bratislava</w:t>
            </w:r>
          </w:p>
        </w:tc>
      </w:tr>
    </w:tbl>
    <w:p w14:paraId="19DB9C37">
      <w:pPr>
        <w:jc w:val="both"/>
        <w:rPr>
          <w:rFonts w:ascii="Arial" w:hAnsi="Arial" w:cs="Arial"/>
          <w:sz w:val="20"/>
        </w:rPr>
      </w:pPr>
    </w:p>
    <w:p w14:paraId="19049930">
      <w:pPr>
        <w:numPr>
          <w:ilvl w:val="0"/>
          <w:numId w:val="2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Údaje o konsolidovanom celku:   Účtovná jednotka </w:t>
      </w:r>
      <w:r>
        <w:rPr>
          <w:rFonts w:ascii="Arial" w:hAnsi="Arial" w:cs="Arial"/>
          <w:b/>
          <w:sz w:val="20"/>
        </w:rPr>
        <w:t>nie je</w:t>
      </w:r>
      <w:r>
        <w:rPr>
          <w:rFonts w:ascii="Arial" w:hAnsi="Arial" w:cs="Arial"/>
          <w:sz w:val="20"/>
        </w:rPr>
        <w:t xml:space="preserve"> súčasťou konsolidovaného celku.</w:t>
      </w:r>
    </w:p>
    <w:p w14:paraId="60758A8C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Priemerný prepočítaný počet zamestnancov:   </w:t>
      </w:r>
      <w:r>
        <w:rPr>
          <w:rFonts w:hint="default" w:ascii="Arial" w:hAnsi="Arial" w:cs="Arial"/>
          <w:sz w:val="20"/>
          <w:lang w:val="sk-SK"/>
        </w:rPr>
        <w:t>1</w:t>
      </w:r>
    </w:p>
    <w:p w14:paraId="1850FAF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5B8DB53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FC2FA2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</w:t>
      </w:r>
    </w:p>
    <w:p w14:paraId="0604C0C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 o prijatých postupoch</w:t>
      </w:r>
    </w:p>
    <w:p w14:paraId="7F656F9B">
      <w:pPr>
        <w:ind w:left="1121"/>
        <w:jc w:val="both"/>
        <w:rPr>
          <w:rFonts w:ascii="Arial" w:hAnsi="Arial" w:cs="Arial"/>
          <w:b/>
          <w:sz w:val="20"/>
        </w:rPr>
      </w:pPr>
    </w:p>
    <w:p w14:paraId="7177862A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sz w:val="20"/>
          <w:u w:val="single"/>
        </w:rPr>
        <w:t>bude</w:t>
      </w:r>
      <w:r>
        <w:rPr>
          <w:rFonts w:ascii="Arial" w:hAnsi="Arial" w:cs="Arial"/>
          <w:sz w:val="20"/>
        </w:rPr>
        <w:t xml:space="preserve"> nepretržite</w:t>
      </w:r>
    </w:p>
    <w:p w14:paraId="1162F904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pokračovať vo svojej činnosti</w:t>
      </w:r>
    </w:p>
    <w:p w14:paraId="1CF7B664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7EBED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661CED0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14:paraId="516AC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9C7B60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D9ED55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462CB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850746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18F6BF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E5C9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C78020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2F3CF1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E777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111EA1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274EA0B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68EF02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82E514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43EFFDF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5D16A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452E86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BA9686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87980E3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B014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78525E8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14:paraId="426D9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B256BD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5A7D39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60A7A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261A4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6E5959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3B0E3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BFFBC3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CE512C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433FB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AC6CD7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7C4C82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D92D8F4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2746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</w:tcPr>
          <w:p w14:paraId="059A106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14:paraId="11197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473CBD6D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03BCC4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70282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1A0FA2D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4E63FB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6B284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4F3F54AF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BA0995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3F17243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39F451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60B9260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14:paraId="720EB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CEF2F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2F01C5D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97B07BD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44777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3FE4B8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14:paraId="34E95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6956F8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DE352B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44D12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70DEDC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C66F4F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71898A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6203A4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D679BB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ACE907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6861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4A4D5C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2A95DF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055E233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64C53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9D3AA3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1835410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E0D06A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79E37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CA9BF4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71B3FC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B69EE3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F787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5B88B6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33C9A3C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99DA2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42939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B60A6F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Daň z príjmov splatná – daň sa  určuje z účtovného zisku pred zdanením, po úpravách na daňové účelypodľa zákona o daniach z príjmov pri sadzbe </w:t>
            </w:r>
            <w:r>
              <w:rPr>
                <w:rFonts w:hint="default" w:ascii="Arial" w:hAnsi="Arial" w:cs="Arial"/>
                <w:bCs/>
                <w:sz w:val="20"/>
                <w:szCs w:val="22"/>
                <w:lang w:val="sk-SK"/>
              </w:rPr>
              <w:t>10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65F351B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6EF4C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32ED7B4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nevýznamneý </w:t>
            </w:r>
          </w:p>
          <w:p w14:paraId="5B9E218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C78819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160F95D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3AD9D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3FA5BE7D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14:paraId="548985A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306919D">
      <w:pPr>
        <w:jc w:val="both"/>
        <w:rPr>
          <w:rFonts w:ascii="Arial" w:hAnsi="Arial" w:cs="Arial"/>
          <w:sz w:val="20"/>
          <w:szCs w:val="22"/>
        </w:rPr>
      </w:pPr>
    </w:p>
    <w:p w14:paraId="3E0D0974">
      <w:pPr>
        <w:jc w:val="both"/>
        <w:rPr>
          <w:rFonts w:ascii="Arial" w:hAnsi="Arial" w:cs="Arial"/>
          <w:sz w:val="20"/>
          <w:szCs w:val="22"/>
        </w:rPr>
      </w:pPr>
    </w:p>
    <w:p w14:paraId="153083AE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zostavenia odpisového plánu pre jednotlivé druhy dlhodobého hmotného</w:t>
      </w:r>
    </w:p>
    <w:p w14:paraId="01386A34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6C4F050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0"/>
        <w:gridCol w:w="1665"/>
        <w:gridCol w:w="337"/>
      </w:tblGrid>
      <w:tr w14:paraId="4954C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2E801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</w:t>
            </w:r>
            <w:bookmarkStart w:id="1" w:name="_GoBack"/>
            <w:bookmarkEnd w:id="1"/>
            <w:r>
              <w:rPr>
                <w:rFonts w:ascii="Arial" w:hAnsi="Arial" w:cs="Arial"/>
                <w:sz w:val="20"/>
                <w:szCs w:val="22"/>
              </w:rPr>
              <w:t xml:space="preserve">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0450ED71">
            <w:pPr>
              <w:rPr>
                <w:rFonts w:ascii="Arial" w:hAnsi="Arial" w:cs="Arial"/>
                <w:sz w:val="18"/>
              </w:rPr>
            </w:pPr>
          </w:p>
          <w:p w14:paraId="2FB1C618">
            <w:pPr>
              <w:rPr>
                <w:rFonts w:ascii="Arial" w:hAnsi="Arial" w:cs="Arial"/>
                <w:sz w:val="18"/>
              </w:rPr>
            </w:pPr>
          </w:p>
          <w:p w14:paraId="5209497B">
            <w:pPr>
              <w:rPr>
                <w:rFonts w:ascii="Arial" w:hAnsi="Arial" w:cs="Arial"/>
                <w:sz w:val="18"/>
              </w:rPr>
            </w:pPr>
          </w:p>
        </w:tc>
      </w:tr>
      <w:tr w14:paraId="27B28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547489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15D857F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025BA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081CDE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568576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59252DD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03A89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11FA6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4D448C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59D2B64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5C1D51D">
      <w:pPr>
        <w:jc w:val="both"/>
        <w:rPr>
          <w:rFonts w:ascii="Arial" w:hAnsi="Arial" w:cs="Arial"/>
          <w:sz w:val="18"/>
        </w:rPr>
      </w:pPr>
    </w:p>
    <w:p w14:paraId="2819BFCF">
      <w:pPr>
        <w:jc w:val="both"/>
        <w:rPr>
          <w:rFonts w:ascii="Arial" w:hAnsi="Arial" w:cs="Arial"/>
          <w:sz w:val="18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061"/>
        <w:gridCol w:w="1284"/>
        <w:gridCol w:w="1162"/>
        <w:gridCol w:w="1095"/>
        <w:gridCol w:w="1521"/>
      </w:tblGrid>
      <w:tr w14:paraId="08617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9" w:type="dxa"/>
          </w:tcPr>
          <w:p w14:paraId="7EE02ED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79726C6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35B5E4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color="auto" w:sz="4" w:space="0"/>
            </w:tcBorders>
          </w:tcPr>
          <w:p w14:paraId="1E19E1B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</w:tcPr>
          <w:p w14:paraId="61F4940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color="auto" w:sz="4" w:space="0"/>
            </w:tcBorders>
          </w:tcPr>
          <w:p w14:paraId="7EE0928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D771F19">
      <w:pPr>
        <w:ind w:left="709"/>
        <w:jc w:val="both"/>
        <w:rPr>
          <w:rFonts w:ascii="Arial" w:hAnsi="Arial" w:cs="Arial"/>
          <w:sz w:val="20"/>
        </w:rPr>
      </w:pPr>
    </w:p>
    <w:p w14:paraId="7DF0B3AE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162A23DB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69AE55F5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a výsledku hospodárenia ÚJ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8"/>
        <w:gridCol w:w="824"/>
        <w:gridCol w:w="291"/>
        <w:gridCol w:w="578"/>
        <w:gridCol w:w="291"/>
      </w:tblGrid>
      <w:tr w14:paraId="21E3B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088" w:type="dxa"/>
            <w:vAlign w:val="center"/>
          </w:tcPr>
          <w:p w14:paraId="60248A3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4D6731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20AD5E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54BE06D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91A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390A38F2">
      <w:pPr>
        <w:pStyle w:val="28"/>
        <w:rPr>
          <w:rFonts w:ascii="Arial" w:hAnsi="Arial" w:cs="Arial"/>
          <w:sz w:val="20"/>
        </w:rPr>
      </w:pPr>
    </w:p>
    <w:p w14:paraId="583762DF">
      <w:pPr>
        <w:pStyle w:val="28"/>
        <w:rPr>
          <w:rFonts w:ascii="Arial" w:hAnsi="Arial" w:cs="Arial"/>
          <w:sz w:val="20"/>
        </w:rPr>
      </w:pPr>
    </w:p>
    <w:p w14:paraId="5FD8DF60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Informácie o dotáciách a ich oceňovanie v účtovníctve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1"/>
        <w:gridCol w:w="2857"/>
        <w:gridCol w:w="1134"/>
      </w:tblGrid>
      <w:tr w14:paraId="08B1D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right w:val="single" w:color="auto" w:sz="4" w:space="0"/>
            </w:tcBorders>
            <w:vAlign w:val="center"/>
          </w:tcPr>
          <w:p w14:paraId="1DFE41F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color="auto" w:sz="4" w:space="0"/>
            </w:tcBorders>
            <w:vAlign w:val="center"/>
          </w:tcPr>
          <w:p w14:paraId="3E355D4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204817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3BCB2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bottom w:val="single" w:color="auto" w:sz="4" w:space="0"/>
              <w:right w:val="single" w:color="auto" w:sz="4" w:space="0"/>
            </w:tcBorders>
          </w:tcPr>
          <w:p w14:paraId="29C2312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color="auto" w:sz="4" w:space="0"/>
              <w:right w:val="single" w:color="auto" w:sz="4" w:space="0"/>
            </w:tcBorders>
          </w:tcPr>
          <w:p w14:paraId="19E52C9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</w:tcPr>
          <w:p w14:paraId="07ED75C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692E3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top w:val="single" w:color="auto" w:sz="4" w:space="0"/>
              <w:right w:val="single" w:color="auto" w:sz="4" w:space="0"/>
            </w:tcBorders>
          </w:tcPr>
          <w:p w14:paraId="7B352C7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color="auto" w:sz="4" w:space="0"/>
              <w:right w:val="single" w:color="auto" w:sz="4" w:space="0"/>
            </w:tcBorders>
          </w:tcPr>
          <w:p w14:paraId="41F70F4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</w:tcPr>
          <w:p w14:paraId="3E12901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CC04D67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8662E40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309322E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účtovaní významných opráv chýb minulých účtovných období v bežnom</w:t>
      </w:r>
    </w:p>
    <w:p w14:paraId="02D6DBE4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účtovnom období 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992"/>
        <w:gridCol w:w="851"/>
        <w:gridCol w:w="2126"/>
        <w:gridCol w:w="2552"/>
      </w:tblGrid>
      <w:tr w14:paraId="2E327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vAlign w:val="center"/>
          </w:tcPr>
          <w:p w14:paraId="07BE70C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2FF855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Align w:val="center"/>
          </w:tcPr>
          <w:p w14:paraId="64E4131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Align w:val="center"/>
          </w:tcPr>
          <w:p w14:paraId="1CBCD3C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14:paraId="13152B7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14:paraId="66F32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60D01C6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2ADEB00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C12D14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8F2A1F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F3CB4D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759F9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1973E1C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DA894C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760BD8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553F46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0D4FA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0D168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0778546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E498AC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65D5B4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6832647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060653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776EA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34EF95C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652294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906A7F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F670AE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F18D9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761D9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6A279AFE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C71EAC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9497CD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347DB3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6B197E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080FE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676B418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8BD358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DBA537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0206ED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748346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0D85A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661DC28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EBD06EB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4BF369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69E3B2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507AD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A64E459">
      <w:pPr>
        <w:jc w:val="both"/>
        <w:rPr>
          <w:rFonts w:ascii="Arial" w:hAnsi="Arial" w:cs="Arial"/>
          <w:sz w:val="18"/>
          <w:szCs w:val="22"/>
        </w:rPr>
      </w:pPr>
    </w:p>
    <w:p w14:paraId="6B9913C1">
      <w:pPr>
        <w:ind w:left="360"/>
        <w:rPr>
          <w:rFonts w:ascii="Arial" w:hAnsi="Arial" w:cs="Arial"/>
          <w:sz w:val="20"/>
        </w:rPr>
      </w:pPr>
    </w:p>
    <w:p w14:paraId="6A97C2C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III</w:t>
      </w:r>
    </w:p>
    <w:p w14:paraId="5B1758D4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Informácie, ktoré vysvetľujú a dopĺňajú súvahu a výkaz ziskov a strát</w:t>
      </w:r>
    </w:p>
    <w:p w14:paraId="29B79A61">
      <w:pPr>
        <w:ind w:left="1841"/>
        <w:jc w:val="center"/>
        <w:rPr>
          <w:rFonts w:ascii="Arial" w:hAnsi="Arial" w:cs="Arial"/>
          <w:b/>
          <w:sz w:val="20"/>
        </w:rPr>
      </w:pPr>
    </w:p>
    <w:p w14:paraId="03AA3B2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Informácia o sume a dôvodoch vzniku jednotlivých položiek </w:t>
      </w:r>
      <w:r>
        <w:rPr>
          <w:rFonts w:ascii="Arial" w:hAnsi="Arial" w:cs="Arial"/>
          <w:b/>
          <w:sz w:val="20"/>
        </w:rPr>
        <w:t>nákladov alebo výnosov, ktoré majú výnimočný rozsah alebo výskyt</w:t>
      </w:r>
      <w:r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9"/>
        <w:gridCol w:w="4181"/>
        <w:gridCol w:w="1418"/>
      </w:tblGrid>
      <w:tr w14:paraId="65E8F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right w:val="single" w:color="auto" w:sz="4" w:space="0"/>
            </w:tcBorders>
          </w:tcPr>
          <w:p w14:paraId="34AC1EA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14:paraId="4A21FF6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Výnimočného  rozsahu</w:t>
            </w:r>
          </w:p>
        </w:tc>
        <w:tc>
          <w:tcPr>
            <w:tcW w:w="4181" w:type="dxa"/>
            <w:tcBorders>
              <w:right w:val="single" w:color="auto" w:sz="4" w:space="0"/>
            </w:tcBorders>
          </w:tcPr>
          <w:p w14:paraId="15501ED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 w14:paraId="3DBBBA5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0E9762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bottom w:val="single" w:color="auto" w:sz="4" w:space="0"/>
              <w:right w:val="single" w:color="auto" w:sz="4" w:space="0"/>
            </w:tcBorders>
          </w:tcPr>
          <w:p w14:paraId="35EDE1C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color="auto" w:sz="4" w:space="0"/>
              <w:right w:val="single" w:color="auto" w:sz="4" w:space="0"/>
            </w:tcBorders>
          </w:tcPr>
          <w:p w14:paraId="01FA9CA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 w14:paraId="06588FF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7B238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top w:val="single" w:color="auto" w:sz="4" w:space="0"/>
              <w:right w:val="single" w:color="auto" w:sz="4" w:space="0"/>
            </w:tcBorders>
          </w:tcPr>
          <w:p w14:paraId="60BBF6E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color="auto" w:sz="4" w:space="0"/>
              <w:right w:val="single" w:color="auto" w:sz="4" w:space="0"/>
            </w:tcBorders>
          </w:tcPr>
          <w:p w14:paraId="25FC0FC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 w14:paraId="51F690F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D3B687D">
      <w:pPr>
        <w:ind w:left="1481"/>
        <w:jc w:val="both"/>
        <w:rPr>
          <w:rFonts w:ascii="Arial" w:hAnsi="Arial" w:cs="Arial"/>
          <w:sz w:val="20"/>
        </w:rPr>
      </w:pPr>
    </w:p>
    <w:p w14:paraId="0B244B45">
      <w:pPr>
        <w:ind w:left="1134"/>
        <w:jc w:val="both"/>
        <w:rPr>
          <w:rFonts w:ascii="Arial" w:hAnsi="Arial" w:cs="Arial"/>
          <w:sz w:val="20"/>
        </w:rPr>
      </w:pPr>
    </w:p>
    <w:p w14:paraId="0A6850F7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9"/>
        <w:gridCol w:w="1495"/>
      </w:tblGrid>
      <w:tr w14:paraId="24228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tcBorders>
              <w:right w:val="single" w:color="auto" w:sz="4" w:space="0"/>
            </w:tcBorders>
            <w:vAlign w:val="center"/>
          </w:tcPr>
          <w:p w14:paraId="5EF6BE5D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color="auto" w:sz="4" w:space="0"/>
            </w:tcBorders>
            <w:noWrap/>
          </w:tcPr>
          <w:p w14:paraId="3AF1DD3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BBF47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4F4CC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2"/>
            <w:vAlign w:val="center"/>
          </w:tcPr>
          <w:p w14:paraId="5CEFFE93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7E0635D9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4EAEC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5086CB4F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</w:tcPr>
          <w:p w14:paraId="5E326738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18E48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2135185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0CF472C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14:paraId="77B2E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116B8D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6612BB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3FDF7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2691B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3F1912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4940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noWrap/>
            <w:vAlign w:val="center"/>
          </w:tcPr>
          <w:p w14:paraId="79F58E1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</w:tcPr>
          <w:p w14:paraId="5C587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A380AA8">
      <w:pPr>
        <w:ind w:left="1134"/>
        <w:jc w:val="both"/>
        <w:rPr>
          <w:rFonts w:ascii="Arial" w:hAnsi="Arial" w:cs="Arial"/>
          <w:sz w:val="20"/>
        </w:rPr>
      </w:pPr>
    </w:p>
    <w:p w14:paraId="62FDABB7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kern w:val="28"/>
          <w:sz w:val="20"/>
          <w:lang w:eastAsia="en-US"/>
        </w:rPr>
        <w:t>Informácie o vlastných akciách, a to</w:t>
      </w:r>
    </w:p>
    <w:p w14:paraId="38B17FC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dôvod nadobudnutia vlastných akcií počas účtovného obdobia,</w:t>
      </w:r>
    </w:p>
    <w:p w14:paraId="0C7F7ED0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</w:t>
      </w:r>
    </w:p>
    <w:p w14:paraId="1230A7AA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F9CDDC7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FF4FDE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kern w:val="28"/>
          <w:sz w:val="20"/>
          <w:lang w:eastAsia="en-US"/>
        </w:rPr>
        <w:t>uvádza  sa aj ich percentuálny podiel na upísanom základnom imaní.</w:t>
      </w:r>
    </w:p>
    <w:p w14:paraId="24BD3BE5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AAF83DB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A621CDD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0F9F584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orgánoch účtovnej jednotky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560"/>
        <w:gridCol w:w="425"/>
        <w:gridCol w:w="417"/>
        <w:gridCol w:w="1426"/>
      </w:tblGrid>
      <w:tr w14:paraId="5BB14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14:paraId="404CC1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14:paraId="29CFA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right w:val="single" w:color="auto" w:sz="4" w:space="0"/>
            </w:tcBorders>
          </w:tcPr>
          <w:p w14:paraId="3A3E121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7A49654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6CC056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3B108A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4DDF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4743062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7150927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57AE5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498300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5D766EA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237EEF48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0A792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5"/>
          </w:tcPr>
          <w:p w14:paraId="56BF7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14:paraId="32625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55C881C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29DE7A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56FE3E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72A85B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3FC6381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0263D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02E79B14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0A3502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EBEA5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62E4E64C">
            <w:pPr>
              <w:rPr>
                <w:rFonts w:ascii="Arial" w:hAnsi="Arial" w:cs="Arial"/>
                <w:sz w:val="20"/>
              </w:rPr>
            </w:pPr>
          </w:p>
        </w:tc>
      </w:tr>
      <w:tr w14:paraId="6462B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4AC42DD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632049E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8C12D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5603A1CB">
            <w:pPr>
              <w:rPr>
                <w:rFonts w:ascii="Arial" w:hAnsi="Arial" w:cs="Arial"/>
                <w:sz w:val="20"/>
              </w:rPr>
            </w:pPr>
          </w:p>
        </w:tc>
      </w:tr>
      <w:tr w14:paraId="6E23B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3A8DD4A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14:paraId="78813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C5F21D1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18A14B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EE6FC6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7E6EB776">
            <w:pPr>
              <w:rPr>
                <w:rFonts w:ascii="Arial" w:hAnsi="Arial" w:cs="Arial"/>
                <w:sz w:val="20"/>
              </w:rPr>
            </w:pPr>
          </w:p>
        </w:tc>
      </w:tr>
      <w:tr w14:paraId="3D8C3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0F293B6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3BD97DC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1BAB8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134E4A7C">
            <w:pPr>
              <w:rPr>
                <w:rFonts w:ascii="Arial" w:hAnsi="Arial" w:cs="Arial"/>
                <w:sz w:val="20"/>
              </w:rPr>
            </w:pPr>
          </w:p>
        </w:tc>
      </w:tr>
      <w:tr w14:paraId="6823E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47CEEB41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14:paraId="59560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45A73DD7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3BFC3A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564E890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1DEAF216">
            <w:pPr>
              <w:rPr>
                <w:rFonts w:ascii="Arial" w:hAnsi="Arial" w:cs="Arial"/>
                <w:sz w:val="20"/>
              </w:rPr>
            </w:pPr>
          </w:p>
        </w:tc>
      </w:tr>
      <w:tr w14:paraId="398C2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534E8B3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073F5F1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52F282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1D25431B">
            <w:pPr>
              <w:rPr>
                <w:rFonts w:ascii="Arial" w:hAnsi="Arial" w:cs="Arial"/>
                <w:sz w:val="20"/>
              </w:rPr>
            </w:pPr>
          </w:p>
        </w:tc>
      </w:tr>
      <w:tr w14:paraId="31865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50BB039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14:paraId="1D736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0A5EEFD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7723CBD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334FF4E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388F4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bottom w:val="single" w:color="auto" w:sz="4" w:space="0"/>
              <w:right w:val="single" w:color="auto" w:sz="4" w:space="0"/>
            </w:tcBorders>
          </w:tcPr>
          <w:p w14:paraId="6F59B04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5ECC2B8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59AF63A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4EF55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right w:val="single" w:color="auto" w:sz="4" w:space="0"/>
            </w:tcBorders>
          </w:tcPr>
          <w:p w14:paraId="6BB206D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27BC4AB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7D8AC00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529F79B">
      <w:pPr>
        <w:jc w:val="both"/>
        <w:rPr>
          <w:rFonts w:ascii="Arial" w:hAnsi="Arial" w:cs="Arial"/>
          <w:sz w:val="20"/>
        </w:rPr>
      </w:pPr>
    </w:p>
    <w:p w14:paraId="260CBAB2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jednotky, a to</w:t>
      </w:r>
    </w:p>
    <w:p w14:paraId="5162F9C8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D15538F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významných podmienených záväzkov, ktorými sa rozumie</w:t>
      </w:r>
    </w:p>
    <w:p w14:paraId="16336FF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4E5C0AFC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3C1E49BA">
      <w:pPr>
        <w:numPr>
          <w:ilvl w:val="0"/>
          <w:numId w:val="10"/>
        </w:numPr>
        <w:ind w:left="2127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70FF38C9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výška tejto povinnosti sa nedá spoľahlivo oceniť,</w:t>
      </w:r>
    </w:p>
    <w:p w14:paraId="0A327D85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finančných povinností a významných podmienených záväzkov,</w:t>
      </w:r>
    </w:p>
    <w:p w14:paraId="4E060C97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91DDC50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6999D2A2">
      <w:pPr>
        <w:jc w:val="both"/>
        <w:rPr>
          <w:rFonts w:ascii="Arial" w:hAnsi="Arial" w:cs="Arial"/>
          <w:sz w:val="20"/>
        </w:rPr>
      </w:pPr>
    </w:p>
    <w:p w14:paraId="4D328E6E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78EFC49">
      <w:pPr>
        <w:jc w:val="right"/>
        <w:rPr>
          <w:rFonts w:ascii="Arial" w:hAnsi="Arial" w:cs="Arial"/>
          <w:sz w:val="20"/>
        </w:rPr>
      </w:pPr>
    </w:p>
    <w:p w14:paraId="33714CB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v poznámkach sú uvádzané za bežne účtovné obdobie. Sumy sú uvádzané v celých eurách.</w:t>
      </w:r>
    </w:p>
    <w:p w14:paraId="1C9809C7">
      <w:pPr>
        <w:rPr>
          <w:rFonts w:ascii="Arial" w:hAnsi="Arial" w:cs="Arial"/>
          <w:sz w:val="20"/>
        </w:rPr>
      </w:pPr>
    </w:p>
    <w:p w14:paraId="0FBBEB3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obdobie; X= ÚJ má náplň pre jednotlivú položku </w:t>
      </w:r>
    </w:p>
    <w:p w14:paraId="373B613E">
      <w:pPr>
        <w:rPr>
          <w:rFonts w:ascii="Arial" w:hAnsi="Arial" w:cs="Arial"/>
          <w:sz w:val="20"/>
        </w:rPr>
      </w:pPr>
    </w:p>
    <w:sectPr>
      <w:headerReference r:id="rId3" w:type="default"/>
      <w:footerReference r:id="rId4" w:type="default"/>
      <w:pgSz w:w="11907" w:h="16840"/>
      <w:pgMar w:top="1418" w:right="1418" w:bottom="1418" w:left="1021" w:header="567" w:footer="567" w:gutter="0"/>
      <w:pgNumType w:start="1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C4350">
    <w:pPr>
      <w:pStyle w:val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5D1F0630"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10311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14:paraId="26487567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53F3CF5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color="auto" w:sz="4" w:space="0"/>
            <w:right w:val="single" w:color="auto" w:sz="4" w:space="0"/>
          </w:tcBorders>
          <w:vAlign w:val="bottom"/>
        </w:tcPr>
        <w:p w14:paraId="4B672B0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4FE9A7B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51D510D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75F3183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09F5AEB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13D1C5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1076133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1CCC39B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61CEEA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color="auto" w:sz="4" w:space="0"/>
            <w:bottom w:val="nil"/>
            <w:right w:val="nil"/>
          </w:tcBorders>
          <w:noWrap/>
          <w:vAlign w:val="bottom"/>
        </w:tcPr>
        <w:p w14:paraId="59FFC7D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44A18513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037B162E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240E81E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5B99842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2B6FD031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415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B92C396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48663EE3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5876BCD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073F4914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21E3412F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14:paraId="44CCB547">
    <w:pPr>
      <w:pStyle w:val="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7A5526"/>
    <w:multiLevelType w:val="multilevel"/>
    <w:tmpl w:val="087A5526"/>
    <w:lvl w:ilvl="0" w:tentative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6A32"/>
    <w:multiLevelType w:val="multilevel"/>
    <w:tmpl w:val="139C6A32"/>
    <w:lvl w:ilvl="0" w:tentative="0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281" w:hanging="360"/>
      </w:pPr>
    </w:lvl>
    <w:lvl w:ilvl="2" w:tentative="0">
      <w:start w:val="1"/>
      <w:numFmt w:val="lowerRoman"/>
      <w:lvlText w:val="%3."/>
      <w:lvlJc w:val="right"/>
      <w:pPr>
        <w:ind w:left="4001" w:hanging="180"/>
      </w:pPr>
    </w:lvl>
    <w:lvl w:ilvl="3" w:tentative="0">
      <w:start w:val="1"/>
      <w:numFmt w:val="decimal"/>
      <w:lvlText w:val="%4."/>
      <w:lvlJc w:val="left"/>
      <w:pPr>
        <w:ind w:left="4721" w:hanging="360"/>
      </w:pPr>
    </w:lvl>
    <w:lvl w:ilvl="4" w:tentative="0">
      <w:start w:val="1"/>
      <w:numFmt w:val="lowerLetter"/>
      <w:lvlText w:val="%5."/>
      <w:lvlJc w:val="left"/>
      <w:pPr>
        <w:ind w:left="5441" w:hanging="360"/>
      </w:pPr>
    </w:lvl>
    <w:lvl w:ilvl="5" w:tentative="0">
      <w:start w:val="1"/>
      <w:numFmt w:val="lowerRoman"/>
      <w:lvlText w:val="%6."/>
      <w:lvlJc w:val="right"/>
      <w:pPr>
        <w:ind w:left="6161" w:hanging="180"/>
      </w:pPr>
    </w:lvl>
    <w:lvl w:ilvl="6" w:tentative="0">
      <w:start w:val="1"/>
      <w:numFmt w:val="decimal"/>
      <w:lvlText w:val="%7."/>
      <w:lvlJc w:val="left"/>
      <w:pPr>
        <w:ind w:left="6881" w:hanging="360"/>
      </w:pPr>
    </w:lvl>
    <w:lvl w:ilvl="7" w:tentative="0">
      <w:start w:val="1"/>
      <w:numFmt w:val="lowerLetter"/>
      <w:lvlText w:val="%8."/>
      <w:lvlJc w:val="left"/>
      <w:pPr>
        <w:ind w:left="7601" w:hanging="360"/>
      </w:pPr>
    </w:lvl>
    <w:lvl w:ilvl="8" w:tentative="0">
      <w:start w:val="1"/>
      <w:numFmt w:val="lowerRoman"/>
      <w:lvlText w:val="%9."/>
      <w:lvlJc w:val="right"/>
      <w:pPr>
        <w:ind w:left="8321" w:hanging="180"/>
      </w:pPr>
    </w:lvl>
  </w:abstractNum>
  <w:abstractNum w:abstractNumId="2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959BA"/>
    <w:multiLevelType w:val="multilevel"/>
    <w:tmpl w:val="24C959BA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2201" w:hanging="360"/>
      </w:pPr>
    </w:lvl>
    <w:lvl w:ilvl="2" w:tentative="0">
      <w:start w:val="1"/>
      <w:numFmt w:val="lowerRoman"/>
      <w:lvlText w:val="%3."/>
      <w:lvlJc w:val="right"/>
      <w:pPr>
        <w:ind w:left="2921" w:hanging="180"/>
      </w:pPr>
    </w:lvl>
    <w:lvl w:ilvl="3" w:tentative="0">
      <w:start w:val="1"/>
      <w:numFmt w:val="decimal"/>
      <w:lvlText w:val="%4."/>
      <w:lvlJc w:val="left"/>
      <w:pPr>
        <w:ind w:left="3641" w:hanging="360"/>
      </w:pPr>
    </w:lvl>
    <w:lvl w:ilvl="4" w:tentative="0">
      <w:start w:val="1"/>
      <w:numFmt w:val="lowerLetter"/>
      <w:lvlText w:val="%5."/>
      <w:lvlJc w:val="left"/>
      <w:pPr>
        <w:ind w:left="4361" w:hanging="360"/>
      </w:pPr>
    </w:lvl>
    <w:lvl w:ilvl="5" w:tentative="0">
      <w:start w:val="1"/>
      <w:numFmt w:val="lowerRoman"/>
      <w:lvlText w:val="%6."/>
      <w:lvlJc w:val="right"/>
      <w:pPr>
        <w:ind w:left="5081" w:hanging="180"/>
      </w:pPr>
    </w:lvl>
    <w:lvl w:ilvl="6" w:tentative="0">
      <w:start w:val="1"/>
      <w:numFmt w:val="decimal"/>
      <w:lvlText w:val="%7."/>
      <w:lvlJc w:val="left"/>
      <w:pPr>
        <w:ind w:left="5801" w:hanging="360"/>
      </w:pPr>
    </w:lvl>
    <w:lvl w:ilvl="7" w:tentative="0">
      <w:start w:val="1"/>
      <w:numFmt w:val="lowerLetter"/>
      <w:lvlText w:val="%8."/>
      <w:lvlJc w:val="left"/>
      <w:pPr>
        <w:ind w:left="6521" w:hanging="360"/>
      </w:pPr>
    </w:lvl>
    <w:lvl w:ilvl="8" w:tentative="0">
      <w:start w:val="1"/>
      <w:numFmt w:val="lowerRoman"/>
      <w:lvlText w:val="%9."/>
      <w:lvlJc w:val="right"/>
      <w:pPr>
        <w:ind w:left="7241" w:hanging="180"/>
      </w:pPr>
    </w:lvl>
  </w:abstractNum>
  <w:abstractNum w:abstractNumId="4">
    <w:nsid w:val="2BA80257"/>
    <w:multiLevelType w:val="multilevel"/>
    <w:tmpl w:val="2BA80257"/>
    <w:lvl w:ilvl="0" w:tentative="0">
      <w:start w:val="1"/>
      <w:numFmt w:val="decimal"/>
      <w:lvlText w:val="(%1)"/>
      <w:lvlJc w:val="left"/>
      <w:pPr>
        <w:ind w:left="3479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7533A"/>
    <w:multiLevelType w:val="multilevel"/>
    <w:tmpl w:val="4DA7533A"/>
    <w:lvl w:ilvl="0" w:tentative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B872465"/>
    <w:multiLevelType w:val="multilevel"/>
    <w:tmpl w:val="5B872465"/>
    <w:lvl w:ilvl="0" w:tentative="0">
      <w:start w:val="1"/>
      <w:numFmt w:val="lowerLetter"/>
      <w:lvlText w:val="%1)"/>
      <w:lvlJc w:val="left"/>
      <w:pPr>
        <w:ind w:left="1920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2640" w:hanging="360"/>
      </w:pPr>
    </w:lvl>
    <w:lvl w:ilvl="2" w:tentative="0">
      <w:start w:val="1"/>
      <w:numFmt w:val="lowerRoman"/>
      <w:lvlText w:val="%3."/>
      <w:lvlJc w:val="right"/>
      <w:pPr>
        <w:ind w:left="3360" w:hanging="180"/>
      </w:pPr>
    </w:lvl>
    <w:lvl w:ilvl="3" w:tentative="0">
      <w:start w:val="1"/>
      <w:numFmt w:val="decimal"/>
      <w:lvlText w:val="%4."/>
      <w:lvlJc w:val="left"/>
      <w:pPr>
        <w:ind w:left="4080" w:hanging="360"/>
      </w:pPr>
    </w:lvl>
    <w:lvl w:ilvl="4" w:tentative="0">
      <w:start w:val="1"/>
      <w:numFmt w:val="lowerLetter"/>
      <w:lvlText w:val="%5."/>
      <w:lvlJc w:val="left"/>
      <w:pPr>
        <w:ind w:left="4800" w:hanging="360"/>
      </w:pPr>
    </w:lvl>
    <w:lvl w:ilvl="5" w:tentative="0">
      <w:start w:val="1"/>
      <w:numFmt w:val="lowerRoman"/>
      <w:lvlText w:val="%6."/>
      <w:lvlJc w:val="right"/>
      <w:pPr>
        <w:ind w:left="5520" w:hanging="180"/>
      </w:pPr>
    </w:lvl>
    <w:lvl w:ilvl="6" w:tentative="0">
      <w:start w:val="1"/>
      <w:numFmt w:val="decimal"/>
      <w:lvlText w:val="%7."/>
      <w:lvlJc w:val="left"/>
      <w:pPr>
        <w:ind w:left="6240" w:hanging="360"/>
      </w:pPr>
    </w:lvl>
    <w:lvl w:ilvl="7" w:tentative="0">
      <w:start w:val="1"/>
      <w:numFmt w:val="lowerLetter"/>
      <w:lvlText w:val="%8."/>
      <w:lvlJc w:val="left"/>
      <w:pPr>
        <w:ind w:left="6960" w:hanging="360"/>
      </w:pPr>
    </w:lvl>
    <w:lvl w:ilvl="8" w:tentative="0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5E6C10A4"/>
    <w:multiLevelType w:val="multilevel"/>
    <w:tmpl w:val="5E6C10A4"/>
    <w:lvl w:ilvl="0" w:tentative="0">
      <w:start w:val="1"/>
      <w:numFmt w:val="lowerLetter"/>
      <w:lvlText w:val="%1)"/>
      <w:lvlJc w:val="left"/>
      <w:pPr>
        <w:ind w:left="1841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4613"/>
        </w:tabs>
        <w:ind w:left="3893" w:firstLine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vertAlign w:val="baseline"/>
      </w:rPr>
    </w:lvl>
    <w:lvl w:ilvl="1" w:tentative="0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 w:tentative="0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 w:tentative="0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abstractNum w:abstractNumId="9">
    <w:nsid w:val="722E19D6"/>
    <w:multiLevelType w:val="multilevel"/>
    <w:tmpl w:val="722E19D6"/>
    <w:lvl w:ilvl="0" w:tentative="0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056FA8"/>
    <w:multiLevelType w:val="multilevel"/>
    <w:tmpl w:val="7A056FA8"/>
    <w:lvl w:ilvl="0" w:tentative="0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9"/>
  <w:hyphenationZone w:val="425"/>
  <w:noPunctuationKerning w:val="1"/>
  <w:characterSpacingControl w:val="doNotCompress"/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22B5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4F94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43C8A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2C49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5BB2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0087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62B0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80634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0C9E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1FE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44D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3743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  <w:rsid w:val="75DE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kern w:val="32"/>
      <w:sz w:val="24"/>
      <w:szCs w:val="32"/>
      <w:lang w:val="sk-SK" w:eastAsia="sk-SK" w:bidi="ar-SA"/>
    </w:rPr>
  </w:style>
  <w:style w:type="paragraph" w:styleId="3">
    <w:name w:val="heading 2"/>
    <w:basedOn w:val="1"/>
    <w:next w:val="1"/>
    <w:qFormat/>
    <w:uiPriority w:val="0"/>
    <w:pPr>
      <w:keepNext/>
      <w:spacing w:after="120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jc w:val="both"/>
      <w:outlineLvl w:val="2"/>
    </w:pPr>
    <w:rPr>
      <w:b/>
      <w:u w:val="single"/>
    </w:rPr>
  </w:style>
  <w:style w:type="paragraph" w:styleId="5">
    <w:name w:val="heading 4"/>
    <w:basedOn w:val="1"/>
    <w:next w:val="1"/>
    <w:qFormat/>
    <w:uiPriority w:val="0"/>
    <w:pPr>
      <w:keepNext/>
      <w:keepLines/>
      <w:ind w:firstLine="357"/>
      <w:jc w:val="both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ind w:firstLine="360"/>
      <w:jc w:val="both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31"/>
    <w:semiHidden/>
    <w:unhideWhenUsed/>
    <w:qFormat/>
    <w:uiPriority w:val="99"/>
    <w:rPr>
      <w:rFonts w:ascii="Tahoma" w:hAnsi="Tahoma"/>
      <w:sz w:val="16"/>
      <w:szCs w:val="16"/>
    </w:rPr>
  </w:style>
  <w:style w:type="paragraph" w:styleId="11">
    <w:name w:val="Block Text"/>
    <w:basedOn w:val="1"/>
    <w:semiHidden/>
    <w:qFormat/>
    <w:uiPriority w:val="0"/>
    <w:pPr>
      <w:ind w:left="1680" w:right="-468" w:hanging="240"/>
    </w:pPr>
  </w:style>
  <w:style w:type="paragraph" w:styleId="12">
    <w:name w:val="Body Text"/>
    <w:basedOn w:val="1"/>
    <w:semiHidden/>
    <w:qFormat/>
    <w:uiPriority w:val="0"/>
    <w:rPr>
      <w:rFonts w:ascii="Arial" w:hAnsi="Arial" w:cs="Arial"/>
      <w:sz w:val="20"/>
      <w:szCs w:val="18"/>
      <w:lang w:val="en-GB"/>
    </w:rPr>
  </w:style>
  <w:style w:type="paragraph" w:styleId="13">
    <w:name w:val="Body Text 2"/>
    <w:basedOn w:val="1"/>
    <w:semiHidden/>
    <w:qFormat/>
    <w:uiPriority w:val="0"/>
    <w:pPr>
      <w:jc w:val="both"/>
    </w:pPr>
  </w:style>
  <w:style w:type="paragraph" w:styleId="14">
    <w:name w:val="Body Text 3"/>
    <w:basedOn w:val="1"/>
    <w:semiHidden/>
    <w:qFormat/>
    <w:uiPriority w:val="0"/>
    <w:pPr>
      <w:ind w:right="-468"/>
      <w:jc w:val="both"/>
    </w:pPr>
    <w:rPr>
      <w:b/>
      <w:bCs/>
    </w:rPr>
  </w:style>
  <w:style w:type="paragraph" w:styleId="15">
    <w:name w:val="Body Text Indent"/>
    <w:basedOn w:val="1"/>
    <w:semiHidden/>
    <w:qFormat/>
    <w:uiPriority w:val="0"/>
    <w:pPr>
      <w:ind w:firstLine="360"/>
      <w:jc w:val="both"/>
    </w:pPr>
  </w:style>
  <w:style w:type="paragraph" w:styleId="16">
    <w:name w:val="Body Text Indent 2"/>
    <w:basedOn w:val="1"/>
    <w:semiHidden/>
    <w:qFormat/>
    <w:uiPriority w:val="0"/>
    <w:pPr>
      <w:ind w:firstLine="360"/>
    </w:pPr>
  </w:style>
  <w:style w:type="paragraph" w:styleId="17">
    <w:name w:val="Body Text Indent 3"/>
    <w:basedOn w:val="1"/>
    <w:semiHidden/>
    <w:qFormat/>
    <w:uiPriority w:val="0"/>
    <w:pPr>
      <w:ind w:right="-468" w:firstLine="720"/>
      <w:jc w:val="both"/>
    </w:pPr>
    <w:rPr>
      <w:bCs/>
    </w:rPr>
  </w:style>
  <w:style w:type="character" w:styleId="18">
    <w:name w:val="endnote reference"/>
    <w:semiHidden/>
    <w:unhideWhenUsed/>
    <w:qFormat/>
    <w:uiPriority w:val="99"/>
    <w:rPr>
      <w:vertAlign w:val="superscript"/>
    </w:rPr>
  </w:style>
  <w:style w:type="paragraph" w:styleId="19">
    <w:name w:val="endnote text"/>
    <w:basedOn w:val="1"/>
    <w:link w:val="29"/>
    <w:semiHidden/>
    <w:unhideWhenUsed/>
    <w:qFormat/>
    <w:uiPriority w:val="99"/>
    <w:rPr>
      <w:sz w:val="20"/>
      <w:szCs w:val="20"/>
    </w:rPr>
  </w:style>
  <w:style w:type="paragraph" w:styleId="20">
    <w:name w:val="footer"/>
    <w:basedOn w:val="1"/>
    <w:link w:val="27"/>
    <w:qFormat/>
    <w:uiPriority w:val="99"/>
    <w:pPr>
      <w:tabs>
        <w:tab w:val="center" w:pos="4536"/>
        <w:tab w:val="right" w:pos="9072"/>
      </w:tabs>
      <w:jc w:val="right"/>
    </w:pPr>
  </w:style>
  <w:style w:type="character" w:styleId="21">
    <w:name w:val="footnote reference"/>
    <w:semiHidden/>
    <w:qFormat/>
    <w:uiPriority w:val="0"/>
    <w:rPr>
      <w:vertAlign w:val="superscript"/>
    </w:rPr>
  </w:style>
  <w:style w:type="paragraph" w:styleId="22">
    <w:name w:val="footnote text"/>
    <w:basedOn w:val="1"/>
    <w:semiHidden/>
    <w:qFormat/>
    <w:uiPriority w:val="0"/>
    <w:rPr>
      <w:sz w:val="20"/>
      <w:szCs w:val="20"/>
    </w:rPr>
  </w:style>
  <w:style w:type="paragraph" w:styleId="23">
    <w:name w:val="header"/>
    <w:basedOn w:val="1"/>
    <w:link w:val="30"/>
    <w:qFormat/>
    <w:uiPriority w:val="99"/>
    <w:pPr>
      <w:tabs>
        <w:tab w:val="center" w:pos="4703"/>
        <w:tab w:val="right" w:pos="9406"/>
      </w:tabs>
    </w:pPr>
  </w:style>
  <w:style w:type="character" w:styleId="24">
    <w:name w:val="page number"/>
    <w:basedOn w:val="8"/>
    <w:semiHidden/>
    <w:qFormat/>
    <w:uiPriority w:val="0"/>
  </w:style>
  <w:style w:type="table" w:styleId="25">
    <w:name w:val="Table Grid"/>
    <w:basedOn w:val="9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6">
    <w:name w:val="Základní text1"/>
    <w:qFormat/>
    <w:uiPriority w:val="0"/>
    <w:pPr>
      <w:spacing w:after="240"/>
      <w:jc w:val="both"/>
    </w:pPr>
    <w:rPr>
      <w:rFonts w:ascii="Times New Roman" w:hAnsi="Times New Roman" w:eastAsia="Times New Roman" w:cs="Times New Roman"/>
      <w:snapToGrid w:val="0"/>
      <w:color w:val="000000"/>
      <w:sz w:val="24"/>
      <w:lang w:val="sk-SK" w:eastAsia="sk-SK" w:bidi="ar-SA"/>
    </w:rPr>
  </w:style>
  <w:style w:type="character" w:customStyle="1" w:styleId="27">
    <w:name w:val="Päta Char"/>
    <w:link w:val="20"/>
    <w:qFormat/>
    <w:uiPriority w:val="99"/>
    <w:rPr>
      <w:sz w:val="24"/>
      <w:szCs w:val="24"/>
    </w:rPr>
  </w:style>
  <w:style w:type="paragraph" w:styleId="28">
    <w:name w:val="List Paragraph"/>
    <w:basedOn w:val="1"/>
    <w:link w:val="36"/>
    <w:qFormat/>
    <w:uiPriority w:val="34"/>
    <w:pPr>
      <w:ind w:left="708"/>
    </w:pPr>
  </w:style>
  <w:style w:type="character" w:customStyle="1" w:styleId="29">
    <w:name w:val="Text vysvetlivky Char"/>
    <w:basedOn w:val="8"/>
    <w:link w:val="19"/>
    <w:semiHidden/>
    <w:qFormat/>
    <w:uiPriority w:val="99"/>
  </w:style>
  <w:style w:type="character" w:customStyle="1" w:styleId="30">
    <w:name w:val="Hlavička Char"/>
    <w:link w:val="23"/>
    <w:uiPriority w:val="99"/>
    <w:rPr>
      <w:sz w:val="24"/>
      <w:szCs w:val="24"/>
    </w:rPr>
  </w:style>
  <w:style w:type="character" w:customStyle="1" w:styleId="31">
    <w:name w:val="Text bubliny Char"/>
    <w:link w:val="10"/>
    <w:semiHidden/>
    <w:uiPriority w:val="99"/>
    <w:rPr>
      <w:rFonts w:ascii="Tahoma" w:hAnsi="Tahoma" w:cs="Tahoma"/>
      <w:sz w:val="16"/>
      <w:szCs w:val="16"/>
    </w:rPr>
  </w:style>
  <w:style w:type="paragraph" w:customStyle="1" w:styleId="32">
    <w:name w:val="Štýl1"/>
    <w:basedOn w:val="20"/>
    <w:link w:val="34"/>
    <w:qFormat/>
    <w:uiPriority w:val="0"/>
  </w:style>
  <w:style w:type="character" w:customStyle="1" w:styleId="33">
    <w:name w:val="tl"/>
    <w:basedOn w:val="8"/>
    <w:uiPriority w:val="0"/>
  </w:style>
  <w:style w:type="character" w:customStyle="1" w:styleId="34">
    <w:name w:val="Štýl1 Char"/>
    <w:basedOn w:val="27"/>
    <w:link w:val="32"/>
    <w:uiPriority w:val="0"/>
    <w:rPr>
      <w:sz w:val="24"/>
      <w:szCs w:val="24"/>
    </w:rPr>
  </w:style>
  <w:style w:type="character" w:customStyle="1" w:styleId="35">
    <w:name w:val="ra"/>
    <w:basedOn w:val="8"/>
    <w:qFormat/>
    <w:uiPriority w:val="0"/>
  </w:style>
  <w:style w:type="character" w:customStyle="1" w:styleId="36">
    <w:name w:val="Odsek zoznamu Char"/>
    <w:link w:val="28"/>
    <w:locked/>
    <w:uiPriority w:val="34"/>
    <w:rPr>
      <w:sz w:val="24"/>
      <w:szCs w:val="24"/>
    </w:rPr>
  </w:style>
  <w:style w:type="paragraph" w:customStyle="1" w:styleId="37">
    <w:name w:val="Top Header"/>
    <w:basedOn w:val="1"/>
    <w:qFormat/>
    <w:uiPriority w:val="0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290DD-4373-4628-9E3F-5D98051B0E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1177</Words>
  <Characters>7103</Characters>
  <Lines>60</Lines>
  <Paragraphs>17</Paragraphs>
  <TotalTime>10</TotalTime>
  <ScaleCrop>false</ScaleCrop>
  <LinksUpToDate>false</LinksUpToDate>
  <CharactersWithSpaces>8204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2016-03-30T06:29:00Z</dcterms:created>
  <dc:creator>maria</dc:creator>
  <cp:lastModifiedBy>PizurovaR</cp:lastModifiedBy>
  <cp:lastPrinted>2016-01-30T12:28:00Z</cp:lastPrinted>
  <dcterms:modified xsi:type="dcterms:W3CDTF">2026-06-25T09:06:48Z</dcterms:modified>
  <dc:title>Opatrenie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eyJoZGlkIjoiYzE5NjNmYzc4ZjZiYWI1MmU4YTUyM2U4Nzc0NGU5OWEifQ==</vt:lpwstr>
  </property>
  <property fmtid="{D5CDD505-2E9C-101B-9397-08002B2CF9AE}" pid="3" name="KSOProductBuildVer">
    <vt:lpwstr>1033-12.1.0.26880</vt:lpwstr>
  </property>
  <property fmtid="{D5CDD505-2E9C-101B-9397-08002B2CF9AE}" pid="4" name="ICV">
    <vt:lpwstr>CBD5DF1E37FE4F6093169AED86CA223A_12</vt:lpwstr>
  </property>
</Properties>
</file>