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08BFE51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r>
        <w:rPr>
          <w:rFonts w:ascii="Arial" w:hAnsi="Arial" w:cs="Arial"/>
          <w:b/>
          <w:bCs/>
          <w:sz w:val="20"/>
        </w:rPr>
        <w:t>Čl. I</w:t>
      </w:r>
    </w:p>
    <w:p w14:paraId="15A80933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>
        <w:rPr>
          <w:rFonts w:ascii="Arial" w:hAnsi="Arial" w:cs="Arial"/>
          <w:b/>
          <w:bCs/>
          <w:sz w:val="20"/>
        </w:rPr>
        <w:tab/>
      </w:r>
      <w:r>
        <w:rPr>
          <w:rFonts w:ascii="Arial" w:hAnsi="Arial" w:cs="Arial"/>
          <w:b/>
          <w:bCs/>
          <w:sz w:val="20"/>
        </w:rPr>
        <w:tab/>
      </w:r>
      <w:r>
        <w:rPr>
          <w:rFonts w:ascii="Arial" w:hAnsi="Arial" w:cs="Arial"/>
          <w:b/>
          <w:bCs/>
          <w:sz w:val="20"/>
        </w:rPr>
        <w:t>Všeobecné údaje</w:t>
      </w:r>
    </w:p>
    <w:p w14:paraId="6A759D9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14:paraId="3D2C0B81">
      <w:pPr>
        <w:numPr>
          <w:ilvl w:val="0"/>
          <w:numId w:val="2"/>
        </w:numPr>
        <w:ind w:hanging="1339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Style w:val="9"/>
        <w:tblW w:w="9072" w:type="dxa"/>
        <w:tblInd w:w="10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989"/>
        <w:gridCol w:w="7083"/>
      </w:tblGrid>
      <w:tr w14:paraId="3E361D5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00" w:hRule="atLeast"/>
        </w:trPr>
        <w:tc>
          <w:tcPr>
            <w:tcW w:w="1096" w:type="pct"/>
            <w:vAlign w:val="center"/>
          </w:tcPr>
          <w:p w14:paraId="5DC21AE5">
            <w:pPr>
              <w:rPr>
                <w:rFonts w:ascii="Arial" w:hAnsi="Arial" w:cs="Arial"/>
                <w:sz w:val="20"/>
                <w:szCs w:val="22"/>
              </w:rPr>
            </w:pPr>
          </w:p>
          <w:p w14:paraId="7A8EA485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14:paraId="4D4A80A5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DM ARMY, s.r.o.</w:t>
            </w:r>
          </w:p>
        </w:tc>
      </w:tr>
      <w:tr w14:paraId="20AFF87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096" w:type="pct"/>
            <w:vAlign w:val="center"/>
          </w:tcPr>
          <w:p w14:paraId="3D11A0C6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14:paraId="6851AEE8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Karparské námestie 10A, Bratislava</w:t>
            </w:r>
          </w:p>
        </w:tc>
      </w:tr>
    </w:tbl>
    <w:p w14:paraId="19DB9C37">
      <w:pPr>
        <w:jc w:val="both"/>
        <w:rPr>
          <w:rFonts w:ascii="Arial" w:hAnsi="Arial" w:cs="Arial"/>
          <w:sz w:val="20"/>
        </w:rPr>
      </w:pPr>
    </w:p>
    <w:p w14:paraId="19049930">
      <w:pPr>
        <w:numPr>
          <w:ilvl w:val="0"/>
          <w:numId w:val="2"/>
        </w:numPr>
        <w:ind w:left="1480" w:hanging="1338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Údaje o konsolidovanom celku:   Účtovná jednotka </w:t>
      </w:r>
      <w:r>
        <w:rPr>
          <w:rFonts w:ascii="Arial" w:hAnsi="Arial" w:cs="Arial"/>
          <w:b/>
          <w:sz w:val="20"/>
        </w:rPr>
        <w:t>nie je</w:t>
      </w:r>
      <w:r>
        <w:rPr>
          <w:rFonts w:ascii="Arial" w:hAnsi="Arial" w:cs="Arial"/>
          <w:sz w:val="20"/>
        </w:rPr>
        <w:t xml:space="preserve"> súčasťou konsolidovaného celku.</w:t>
      </w:r>
    </w:p>
    <w:p w14:paraId="60758A8C">
      <w:pPr>
        <w:numPr>
          <w:ilvl w:val="0"/>
          <w:numId w:val="2"/>
        </w:numPr>
        <w:ind w:hanging="1339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Priemerný prepočítaný počet zamestnancov:   </w:t>
      </w:r>
      <w:r>
        <w:rPr>
          <w:rFonts w:hint="default" w:ascii="Arial" w:hAnsi="Arial" w:cs="Arial"/>
          <w:sz w:val="20"/>
          <w:lang w:val="sk-SK"/>
        </w:rPr>
        <w:t>1</w:t>
      </w:r>
    </w:p>
    <w:p w14:paraId="1850FAF9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75B8DB53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4FC2FA2F">
      <w:pPr>
        <w:jc w:val="center"/>
        <w:rPr>
          <w:rFonts w:ascii="Arial" w:hAnsi="Arial" w:cs="Arial"/>
          <w:b/>
          <w:sz w:val="20"/>
        </w:rPr>
      </w:pPr>
      <w:r>
        <w:rPr>
          <w:rFonts w:ascii="Arial" w:hAnsi="Arial" w:cs="Arial"/>
          <w:b/>
          <w:sz w:val="20"/>
        </w:rPr>
        <w:t>Čl. II</w:t>
      </w:r>
    </w:p>
    <w:p w14:paraId="0604C0CF">
      <w:pPr>
        <w:jc w:val="center"/>
        <w:rPr>
          <w:rFonts w:ascii="Arial" w:hAnsi="Arial" w:cs="Arial"/>
          <w:b/>
          <w:sz w:val="20"/>
        </w:rPr>
      </w:pPr>
      <w:r>
        <w:rPr>
          <w:rFonts w:ascii="Arial" w:hAnsi="Arial" w:cs="Arial"/>
          <w:b/>
          <w:sz w:val="20"/>
        </w:rPr>
        <w:t>Informácie o prijatých postupoch</w:t>
      </w:r>
    </w:p>
    <w:p w14:paraId="7F656F9B">
      <w:pPr>
        <w:ind w:left="1121"/>
        <w:jc w:val="both"/>
        <w:rPr>
          <w:rFonts w:ascii="Arial" w:hAnsi="Arial" w:cs="Arial"/>
          <w:b/>
          <w:sz w:val="20"/>
        </w:rPr>
      </w:pPr>
    </w:p>
    <w:p w14:paraId="7177862A">
      <w:pPr>
        <w:numPr>
          <w:ilvl w:val="0"/>
          <w:numId w:val="3"/>
        </w:numPr>
        <w:ind w:left="709" w:hanging="567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Účtovná závierka zostavená za splnenia predpokladu, že účtovná jednotka </w:t>
      </w:r>
      <w:r>
        <w:rPr>
          <w:rFonts w:ascii="Arial" w:hAnsi="Arial" w:cs="Arial"/>
          <w:b/>
          <w:sz w:val="20"/>
          <w:u w:val="single"/>
        </w:rPr>
        <w:t>bude</w:t>
      </w:r>
      <w:r>
        <w:rPr>
          <w:rFonts w:ascii="Arial" w:hAnsi="Arial" w:cs="Arial"/>
          <w:sz w:val="20"/>
        </w:rPr>
        <w:t xml:space="preserve"> nepretržite</w:t>
      </w:r>
    </w:p>
    <w:p w14:paraId="1162F904">
      <w:pPr>
        <w:ind w:left="709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 pokračovať vo svojej činnosti</w:t>
      </w:r>
    </w:p>
    <w:p w14:paraId="1CF7B664">
      <w:pPr>
        <w:numPr>
          <w:ilvl w:val="0"/>
          <w:numId w:val="3"/>
        </w:numPr>
        <w:ind w:left="709" w:hanging="567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Spôsob oceňovania jednotlivých položiek majetku a záväzkov </w:t>
      </w:r>
    </w:p>
    <w:tbl>
      <w:tblPr>
        <w:tblStyle w:val="9"/>
        <w:tblW w:w="9072" w:type="dxa"/>
        <w:tblInd w:w="108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789"/>
        <w:gridCol w:w="283"/>
      </w:tblGrid>
      <w:tr w14:paraId="7EBED39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072" w:type="dxa"/>
            <w:gridSpan w:val="2"/>
            <w:vAlign w:val="center"/>
          </w:tcPr>
          <w:p w14:paraId="661CED0C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Obstarávacou cenou</w:t>
            </w:r>
          </w:p>
        </w:tc>
      </w:tr>
      <w:tr w14:paraId="516AC69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789" w:type="dxa"/>
            <w:vAlign w:val="center"/>
          </w:tcPr>
          <w:p w14:paraId="79C7B605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14:paraId="7D9ED55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14:paraId="462CB71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789" w:type="dxa"/>
            <w:vAlign w:val="center"/>
          </w:tcPr>
          <w:p w14:paraId="0850746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14:paraId="118F6BF1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14:paraId="3E5C96C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789" w:type="dxa"/>
            <w:vAlign w:val="center"/>
          </w:tcPr>
          <w:p w14:paraId="3C78020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14:paraId="62F3CF17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14:paraId="0E77777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789" w:type="dxa"/>
            <w:vAlign w:val="center"/>
          </w:tcPr>
          <w:p w14:paraId="0111EA1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14:paraId="274EA0B1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14:paraId="68EF02F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789" w:type="dxa"/>
            <w:vAlign w:val="center"/>
          </w:tcPr>
          <w:p w14:paraId="182E5142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14:paraId="43EFFDF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14:paraId="5D16A30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789" w:type="dxa"/>
            <w:vAlign w:val="center"/>
          </w:tcPr>
          <w:p w14:paraId="3452E860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14:paraId="6BA9686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487980E3">
      <w:pPr>
        <w:jc w:val="both"/>
        <w:rPr>
          <w:rFonts w:ascii="Arial" w:hAnsi="Arial" w:cs="Arial"/>
          <w:sz w:val="20"/>
          <w:szCs w:val="22"/>
        </w:rPr>
      </w:pPr>
    </w:p>
    <w:tbl>
      <w:tblPr>
        <w:tblStyle w:val="9"/>
        <w:tblW w:w="9072" w:type="dxa"/>
        <w:tblInd w:w="108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789"/>
        <w:gridCol w:w="283"/>
      </w:tblGrid>
      <w:tr w14:paraId="0B0147A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072" w:type="dxa"/>
            <w:gridSpan w:val="2"/>
            <w:vAlign w:val="center"/>
          </w:tcPr>
          <w:p w14:paraId="78525E87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Vlastnými nákladmi</w:t>
            </w:r>
          </w:p>
        </w:tc>
      </w:tr>
      <w:tr w14:paraId="426D9E6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789" w:type="dxa"/>
            <w:vAlign w:val="center"/>
          </w:tcPr>
          <w:p w14:paraId="4B256BDD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14:paraId="75A7D39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14:paraId="60A7AF5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789" w:type="dxa"/>
            <w:vAlign w:val="center"/>
          </w:tcPr>
          <w:p w14:paraId="0261A437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14:paraId="76E59590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14:paraId="3B0E32F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789" w:type="dxa"/>
            <w:vAlign w:val="center"/>
          </w:tcPr>
          <w:p w14:paraId="1BFFBC3C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14:paraId="3CE512C7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14:paraId="433FB1C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789" w:type="dxa"/>
            <w:vAlign w:val="center"/>
          </w:tcPr>
          <w:p w14:paraId="2AC6CD75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14:paraId="27C4C82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7D92D8F4">
      <w:pPr>
        <w:jc w:val="both"/>
        <w:rPr>
          <w:rFonts w:ascii="Arial" w:hAnsi="Arial" w:cs="Arial"/>
          <w:sz w:val="20"/>
          <w:szCs w:val="22"/>
        </w:rPr>
      </w:pPr>
    </w:p>
    <w:tbl>
      <w:tblPr>
        <w:tblStyle w:val="9"/>
        <w:tblW w:w="9072" w:type="dxa"/>
        <w:tblInd w:w="108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789"/>
        <w:gridCol w:w="283"/>
      </w:tblGrid>
      <w:tr w14:paraId="02746B1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072" w:type="dxa"/>
            <w:gridSpan w:val="2"/>
          </w:tcPr>
          <w:p w14:paraId="059A106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Menovitou hodnotou</w:t>
            </w:r>
          </w:p>
        </w:tc>
      </w:tr>
      <w:tr w14:paraId="11197E5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789" w:type="dxa"/>
          </w:tcPr>
          <w:p w14:paraId="473CBD6D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14:paraId="003BCC4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14:paraId="702825C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789" w:type="dxa"/>
          </w:tcPr>
          <w:p w14:paraId="1A0FA2D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14:paraId="64E63FBD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14:paraId="6B284BD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789" w:type="dxa"/>
          </w:tcPr>
          <w:p w14:paraId="4F3F54AF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14:paraId="4BA0995C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03F17243">
      <w:pPr>
        <w:jc w:val="both"/>
        <w:rPr>
          <w:rFonts w:ascii="Arial" w:hAnsi="Arial" w:cs="Arial"/>
          <w:sz w:val="20"/>
          <w:szCs w:val="22"/>
        </w:rPr>
      </w:pPr>
    </w:p>
    <w:tbl>
      <w:tblPr>
        <w:tblStyle w:val="9"/>
        <w:tblW w:w="9072" w:type="dxa"/>
        <w:tblInd w:w="108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789"/>
        <w:gridCol w:w="283"/>
      </w:tblGrid>
      <w:tr w14:paraId="39F451B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072" w:type="dxa"/>
            <w:gridSpan w:val="2"/>
            <w:vAlign w:val="center"/>
          </w:tcPr>
          <w:p w14:paraId="60B9260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Reálnou hodnotou </w:t>
            </w:r>
          </w:p>
        </w:tc>
      </w:tr>
      <w:tr w14:paraId="720EB67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789" w:type="dxa"/>
            <w:vAlign w:val="center"/>
          </w:tcPr>
          <w:p w14:paraId="6CEF2F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1.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14:paraId="2F01C5D1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397B07BD">
      <w:pPr>
        <w:jc w:val="both"/>
        <w:rPr>
          <w:rFonts w:ascii="Arial" w:hAnsi="Arial" w:cs="Arial"/>
          <w:sz w:val="20"/>
          <w:szCs w:val="22"/>
        </w:rPr>
      </w:pPr>
    </w:p>
    <w:tbl>
      <w:tblPr>
        <w:tblStyle w:val="9"/>
        <w:tblW w:w="9072" w:type="dxa"/>
        <w:tblInd w:w="108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789"/>
        <w:gridCol w:w="283"/>
      </w:tblGrid>
      <w:tr w14:paraId="44777A2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072" w:type="dxa"/>
            <w:gridSpan w:val="2"/>
            <w:vAlign w:val="center"/>
          </w:tcPr>
          <w:p w14:paraId="3FE4B8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14:paraId="34E9592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789" w:type="dxa"/>
            <w:vAlign w:val="center"/>
          </w:tcPr>
          <w:p w14:paraId="36956F80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14:paraId="1DE352B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14:paraId="44D1225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789" w:type="dxa"/>
            <w:vAlign w:val="center"/>
          </w:tcPr>
          <w:p w14:paraId="770DEDC1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14:paraId="6C66F4FB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14:paraId="71898AF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789" w:type="dxa"/>
            <w:vAlign w:val="center"/>
          </w:tcPr>
          <w:p w14:paraId="26203A41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14:paraId="3D679BB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14:paraId="4ACE907B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14:paraId="3686116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789" w:type="dxa"/>
            <w:vAlign w:val="center"/>
          </w:tcPr>
          <w:p w14:paraId="44A4D5C2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14:paraId="02A95DF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5055E233">
      <w:pPr>
        <w:jc w:val="both"/>
        <w:rPr>
          <w:rFonts w:ascii="Arial" w:hAnsi="Arial" w:cs="Arial"/>
          <w:sz w:val="20"/>
          <w:szCs w:val="22"/>
        </w:rPr>
      </w:pPr>
    </w:p>
    <w:tbl>
      <w:tblPr>
        <w:tblStyle w:val="9"/>
        <w:tblW w:w="9072" w:type="dxa"/>
        <w:tblInd w:w="108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789"/>
        <w:gridCol w:w="283"/>
      </w:tblGrid>
      <w:tr w14:paraId="64C535B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789" w:type="dxa"/>
            <w:vAlign w:val="center"/>
          </w:tcPr>
          <w:p w14:paraId="09D3AA3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14:paraId="1835410B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14:paraId="4E0D06A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14:paraId="79E372D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789" w:type="dxa"/>
            <w:vAlign w:val="center"/>
          </w:tcPr>
          <w:p w14:paraId="7CA9BF42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14:paraId="171B3FC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14:paraId="0B69EE31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14:paraId="0F78765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789" w:type="dxa"/>
            <w:vAlign w:val="center"/>
          </w:tcPr>
          <w:p w14:paraId="25B88B6D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 ocenení</w:t>
            </w:r>
          </w:p>
          <w:p w14:paraId="33C9A3C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14:paraId="599DA2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14:paraId="429395F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789" w:type="dxa"/>
            <w:vAlign w:val="center"/>
          </w:tcPr>
          <w:p w14:paraId="1B60A6F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 xml:space="preserve">Daň z príjmov splatná – daň sa  určuje z účtovného zisku pred zdanením, po úpravách na daňové účelypodľa zákona o daniach z príjmov pri sadzbe </w:t>
            </w:r>
            <w:r>
              <w:rPr>
                <w:rFonts w:hint="default" w:ascii="Arial" w:hAnsi="Arial" w:cs="Arial"/>
                <w:bCs/>
                <w:sz w:val="20"/>
                <w:szCs w:val="22"/>
                <w:lang w:val="sk-SK"/>
              </w:rPr>
              <w:t>10</w:t>
            </w:r>
            <w:r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14:paraId="65F351BC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14:paraId="6EF4C7E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789" w:type="dxa"/>
          </w:tcPr>
          <w:p w14:paraId="32ED7B40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 nerozlišujú náklady a výnosy, ak ide o nevýznamneý </w:t>
            </w:r>
          </w:p>
          <w:p w14:paraId="5B9E218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14:paraId="5C788192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14:paraId="160F95DC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14:paraId="3AD9DD2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789" w:type="dxa"/>
          </w:tcPr>
          <w:p w14:paraId="3FA5BE7D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kvót.</w:t>
            </w:r>
          </w:p>
        </w:tc>
        <w:tc>
          <w:tcPr>
            <w:tcW w:w="283" w:type="dxa"/>
            <w:vAlign w:val="center"/>
          </w:tcPr>
          <w:p w14:paraId="548985AB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5306919D">
      <w:pPr>
        <w:jc w:val="both"/>
        <w:rPr>
          <w:rFonts w:ascii="Arial" w:hAnsi="Arial" w:cs="Arial"/>
          <w:sz w:val="20"/>
          <w:szCs w:val="22"/>
        </w:rPr>
      </w:pPr>
    </w:p>
    <w:p w14:paraId="3E0D0974">
      <w:pPr>
        <w:jc w:val="both"/>
        <w:rPr>
          <w:rFonts w:ascii="Arial" w:hAnsi="Arial" w:cs="Arial"/>
          <w:sz w:val="20"/>
          <w:szCs w:val="22"/>
        </w:rPr>
      </w:pPr>
    </w:p>
    <w:p w14:paraId="153083AE">
      <w:pPr>
        <w:numPr>
          <w:ilvl w:val="0"/>
          <w:numId w:val="3"/>
        </w:numPr>
        <w:ind w:left="709" w:hanging="567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Spôsob zostavenia odpisového plánu pre jednotlivé druhy dlhodobého hmotného</w:t>
      </w:r>
    </w:p>
    <w:p w14:paraId="01386A34">
      <w:pPr>
        <w:ind w:left="709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 majetku  a dlhodobého nehmotného majetku,doba odpisovania, použité sadzby </w:t>
      </w:r>
    </w:p>
    <w:p w14:paraId="6C4F0502">
      <w:pPr>
        <w:ind w:left="709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Style w:val="9"/>
        <w:tblW w:w="9072" w:type="dxa"/>
        <w:tblInd w:w="108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070"/>
        <w:gridCol w:w="1665"/>
        <w:gridCol w:w="337"/>
      </w:tblGrid>
      <w:tr w14:paraId="4954C77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735" w:type="dxa"/>
            <w:gridSpan w:val="2"/>
            <w:tcBorders>
              <w:right w:val="single" w:color="auto" w:sz="4" w:space="0"/>
            </w:tcBorders>
          </w:tcPr>
          <w:p w14:paraId="2E801FCE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Nehmotný majetok odpisuje účtovná jednotka počas predpokladanej doby používania zodpovedajúcej spotrebe budúcich ekonomických úžitkov z majetku. Nehmotný majetok, ktorým sú náklady na vývoj sa odpisuje  najneskôr do piat</w:t>
            </w:r>
            <w:bookmarkStart w:id="1" w:name="_GoBack"/>
            <w:bookmarkEnd w:id="1"/>
            <w:r>
              <w:rPr>
                <w:rFonts w:ascii="Arial" w:hAnsi="Arial" w:cs="Arial"/>
                <w:sz w:val="20"/>
                <w:szCs w:val="22"/>
              </w:rPr>
              <w:t xml:space="preserve">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color="auto" w:sz="4" w:space="0"/>
            </w:tcBorders>
            <w:vAlign w:val="center"/>
          </w:tcPr>
          <w:p w14:paraId="0450ED71">
            <w:pPr>
              <w:rPr>
                <w:rFonts w:ascii="Arial" w:hAnsi="Arial" w:cs="Arial"/>
                <w:sz w:val="18"/>
              </w:rPr>
            </w:pPr>
          </w:p>
          <w:p w14:paraId="2FB1C618">
            <w:pPr>
              <w:rPr>
                <w:rFonts w:ascii="Arial" w:hAnsi="Arial" w:cs="Arial"/>
                <w:sz w:val="18"/>
              </w:rPr>
            </w:pPr>
          </w:p>
          <w:p w14:paraId="5209497B">
            <w:pPr>
              <w:rPr>
                <w:rFonts w:ascii="Arial" w:hAnsi="Arial" w:cs="Arial"/>
                <w:sz w:val="18"/>
              </w:rPr>
            </w:pPr>
          </w:p>
        </w:tc>
      </w:tr>
      <w:tr w14:paraId="27B28EC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3" w:hRule="atLeast"/>
        </w:trPr>
        <w:tc>
          <w:tcPr>
            <w:tcW w:w="8735" w:type="dxa"/>
            <w:gridSpan w:val="2"/>
            <w:tcBorders>
              <w:right w:val="single" w:color="auto" w:sz="4" w:space="0"/>
            </w:tcBorders>
          </w:tcPr>
          <w:p w14:paraId="547489D3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</w:t>
            </w:r>
          </w:p>
        </w:tc>
        <w:tc>
          <w:tcPr>
            <w:tcW w:w="337" w:type="dxa"/>
            <w:tcBorders>
              <w:left w:val="single" w:color="auto" w:sz="4" w:space="0"/>
            </w:tcBorders>
            <w:vAlign w:val="center"/>
          </w:tcPr>
          <w:p w14:paraId="15D857F2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14:paraId="025BACA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" w:hRule="atLeast"/>
        </w:trPr>
        <w:tc>
          <w:tcPr>
            <w:tcW w:w="7070" w:type="dxa"/>
            <w:tcBorders>
              <w:right w:val="single" w:color="auto" w:sz="4" w:space="0"/>
            </w:tcBorders>
          </w:tcPr>
          <w:p w14:paraId="081CDE3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Dlhodobý nehmotný majetok =doba použiteľnosti viac ako rok a vstupná cena je  viac ako :</w:t>
            </w:r>
          </w:p>
        </w:tc>
        <w:tc>
          <w:tcPr>
            <w:tcW w:w="1665" w:type="dxa"/>
            <w:tcBorders>
              <w:right w:val="single" w:color="auto" w:sz="4" w:space="0"/>
            </w:tcBorders>
          </w:tcPr>
          <w:p w14:paraId="568576A3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color="auto" w:sz="4" w:space="0"/>
            </w:tcBorders>
            <w:vAlign w:val="center"/>
          </w:tcPr>
          <w:p w14:paraId="59252DD2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14:paraId="03A8975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" w:hRule="atLeast"/>
        </w:trPr>
        <w:tc>
          <w:tcPr>
            <w:tcW w:w="7070" w:type="dxa"/>
            <w:tcBorders>
              <w:right w:val="single" w:color="auto" w:sz="4" w:space="0"/>
            </w:tcBorders>
          </w:tcPr>
          <w:p w14:paraId="11FA6014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color="auto" w:sz="4" w:space="0"/>
            </w:tcBorders>
          </w:tcPr>
          <w:p w14:paraId="4D448C99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color="auto" w:sz="4" w:space="0"/>
            </w:tcBorders>
            <w:vAlign w:val="center"/>
          </w:tcPr>
          <w:p w14:paraId="59D2B64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</w:tbl>
    <w:p w14:paraId="75C1D51D">
      <w:pPr>
        <w:jc w:val="both"/>
        <w:rPr>
          <w:rFonts w:ascii="Arial" w:hAnsi="Arial" w:cs="Arial"/>
          <w:sz w:val="18"/>
        </w:rPr>
      </w:pPr>
    </w:p>
    <w:p w14:paraId="2819BFCF">
      <w:pPr>
        <w:jc w:val="both"/>
        <w:rPr>
          <w:rFonts w:ascii="Arial" w:hAnsi="Arial" w:cs="Arial"/>
          <w:sz w:val="18"/>
        </w:rPr>
      </w:pPr>
    </w:p>
    <w:tbl>
      <w:tblPr>
        <w:tblStyle w:val="9"/>
        <w:tblW w:w="9072" w:type="dxa"/>
        <w:tblInd w:w="108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949"/>
        <w:gridCol w:w="1061"/>
        <w:gridCol w:w="1284"/>
        <w:gridCol w:w="1162"/>
        <w:gridCol w:w="1095"/>
        <w:gridCol w:w="1521"/>
      </w:tblGrid>
      <w:tr w14:paraId="086172A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949" w:type="dxa"/>
          </w:tcPr>
          <w:p w14:paraId="7EE02EDA">
            <w:pPr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1061" w:type="dxa"/>
          </w:tcPr>
          <w:p w14:paraId="79726C69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284" w:type="dxa"/>
          </w:tcPr>
          <w:p w14:paraId="35B5E4DE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62" w:type="dxa"/>
            <w:tcBorders>
              <w:right w:val="single" w:color="auto" w:sz="4" w:space="0"/>
            </w:tcBorders>
          </w:tcPr>
          <w:p w14:paraId="1E19E1B5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095" w:type="dxa"/>
            <w:tcBorders>
              <w:left w:val="single" w:color="auto" w:sz="4" w:space="0"/>
              <w:right w:val="single" w:color="auto" w:sz="4" w:space="0"/>
            </w:tcBorders>
          </w:tcPr>
          <w:p w14:paraId="61F4940D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521" w:type="dxa"/>
            <w:tcBorders>
              <w:left w:val="single" w:color="auto" w:sz="4" w:space="0"/>
            </w:tcBorders>
          </w:tcPr>
          <w:p w14:paraId="7EE09282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14:paraId="1D771F19">
      <w:pPr>
        <w:ind w:left="709"/>
        <w:jc w:val="both"/>
        <w:rPr>
          <w:rFonts w:ascii="Arial" w:hAnsi="Arial" w:cs="Arial"/>
          <w:sz w:val="20"/>
        </w:rPr>
      </w:pPr>
    </w:p>
    <w:p w14:paraId="7DF0B3AE">
      <w:pPr>
        <w:numPr>
          <w:ilvl w:val="0"/>
          <w:numId w:val="3"/>
        </w:numPr>
        <w:ind w:left="709" w:hanging="567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14:paraId="162A23DB">
      <w:pPr>
        <w:ind w:left="709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a vyčíslením ich vplyvu na finančnú hodnotu majetku, záväzkov, základného imania</w:t>
      </w:r>
    </w:p>
    <w:p w14:paraId="69AE55F5">
      <w:pPr>
        <w:ind w:left="709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 a výsledku hospodárenia ÚJ</w:t>
      </w:r>
    </w:p>
    <w:tbl>
      <w:tblPr>
        <w:tblStyle w:val="9"/>
        <w:tblW w:w="9072" w:type="dxa"/>
        <w:tblInd w:w="10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088"/>
        <w:gridCol w:w="824"/>
        <w:gridCol w:w="291"/>
        <w:gridCol w:w="578"/>
        <w:gridCol w:w="291"/>
      </w:tblGrid>
      <w:tr w14:paraId="21E3BE5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</w:trPr>
        <w:tc>
          <w:tcPr>
            <w:tcW w:w="7088" w:type="dxa"/>
            <w:vAlign w:val="center"/>
          </w:tcPr>
          <w:p w14:paraId="60248A31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14:paraId="74D6731B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14:paraId="620AD5EE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14:paraId="54BE06DE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14:paraId="191A52B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</w:tbl>
    <w:p w14:paraId="390A38F2">
      <w:pPr>
        <w:pStyle w:val="28"/>
        <w:rPr>
          <w:rFonts w:ascii="Arial" w:hAnsi="Arial" w:cs="Arial"/>
          <w:sz w:val="20"/>
        </w:rPr>
      </w:pPr>
    </w:p>
    <w:p w14:paraId="583762DF">
      <w:pPr>
        <w:pStyle w:val="28"/>
        <w:rPr>
          <w:rFonts w:ascii="Arial" w:hAnsi="Arial" w:cs="Arial"/>
          <w:sz w:val="20"/>
        </w:rPr>
      </w:pPr>
    </w:p>
    <w:p w14:paraId="5FD8DF60">
      <w:pPr>
        <w:numPr>
          <w:ilvl w:val="0"/>
          <w:numId w:val="3"/>
        </w:numPr>
        <w:ind w:left="709" w:hanging="567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Informácie o dotáciách a ich oceňovanie v účtovníctve </w:t>
      </w:r>
    </w:p>
    <w:tbl>
      <w:tblPr>
        <w:tblStyle w:val="9"/>
        <w:tblW w:w="9072" w:type="dxa"/>
        <w:tblInd w:w="108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081"/>
        <w:gridCol w:w="2857"/>
        <w:gridCol w:w="1134"/>
      </w:tblGrid>
      <w:tr w14:paraId="08B1D84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5081" w:type="dxa"/>
            <w:tcBorders>
              <w:right w:val="single" w:color="auto" w:sz="4" w:space="0"/>
            </w:tcBorders>
            <w:vAlign w:val="center"/>
          </w:tcPr>
          <w:p w14:paraId="1DFE41F7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color="auto" w:sz="4" w:space="0"/>
            </w:tcBorders>
            <w:vAlign w:val="center"/>
          </w:tcPr>
          <w:p w14:paraId="3E355D46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color="auto" w:sz="4" w:space="0"/>
            </w:tcBorders>
            <w:vAlign w:val="center"/>
          </w:tcPr>
          <w:p w14:paraId="20481748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EUR</w:t>
            </w:r>
          </w:p>
        </w:tc>
      </w:tr>
      <w:tr w14:paraId="3BCB241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5081" w:type="dxa"/>
            <w:tcBorders>
              <w:bottom w:val="single" w:color="auto" w:sz="4" w:space="0"/>
              <w:right w:val="single" w:color="auto" w:sz="4" w:space="0"/>
            </w:tcBorders>
          </w:tcPr>
          <w:p w14:paraId="29C2312C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color="auto" w:sz="4" w:space="0"/>
              <w:right w:val="single" w:color="auto" w:sz="4" w:space="0"/>
            </w:tcBorders>
          </w:tcPr>
          <w:p w14:paraId="19E52C9E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color="auto" w:sz="4" w:space="0"/>
              <w:bottom w:val="single" w:color="auto" w:sz="4" w:space="0"/>
            </w:tcBorders>
          </w:tcPr>
          <w:p w14:paraId="07ED75C1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14:paraId="692E355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5081" w:type="dxa"/>
            <w:tcBorders>
              <w:top w:val="single" w:color="auto" w:sz="4" w:space="0"/>
              <w:right w:val="single" w:color="auto" w:sz="4" w:space="0"/>
            </w:tcBorders>
          </w:tcPr>
          <w:p w14:paraId="7B352C72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color="auto" w:sz="4" w:space="0"/>
              <w:right w:val="single" w:color="auto" w:sz="4" w:space="0"/>
            </w:tcBorders>
          </w:tcPr>
          <w:p w14:paraId="41F70F4B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</w:tcBorders>
          </w:tcPr>
          <w:p w14:paraId="3E129014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14:paraId="2CC04D67">
      <w:pPr>
        <w:ind w:left="709"/>
        <w:jc w:val="both"/>
        <w:rPr>
          <w:rFonts w:ascii="Arial" w:hAnsi="Arial" w:cs="Arial"/>
          <w:sz w:val="18"/>
          <w:szCs w:val="22"/>
        </w:rPr>
      </w:pPr>
    </w:p>
    <w:p w14:paraId="68662E40">
      <w:pPr>
        <w:ind w:left="709"/>
        <w:jc w:val="both"/>
        <w:rPr>
          <w:rFonts w:ascii="Arial" w:hAnsi="Arial" w:cs="Arial"/>
          <w:sz w:val="18"/>
          <w:szCs w:val="22"/>
        </w:rPr>
      </w:pPr>
    </w:p>
    <w:p w14:paraId="3309322E">
      <w:pPr>
        <w:numPr>
          <w:ilvl w:val="0"/>
          <w:numId w:val="3"/>
        </w:numPr>
        <w:ind w:left="709" w:hanging="567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Informácie o účtovaní významných opráv chýb minulých účtovných období v bežnom</w:t>
      </w:r>
    </w:p>
    <w:p w14:paraId="02D6DBE4">
      <w:pPr>
        <w:ind w:left="709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 účtovnom období </w:t>
      </w:r>
    </w:p>
    <w:tbl>
      <w:tblPr>
        <w:tblStyle w:val="9"/>
        <w:tblW w:w="9498" w:type="dxa"/>
        <w:tblInd w:w="108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977"/>
        <w:gridCol w:w="992"/>
        <w:gridCol w:w="851"/>
        <w:gridCol w:w="2126"/>
        <w:gridCol w:w="2552"/>
      </w:tblGrid>
      <w:tr w14:paraId="2E32757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977" w:type="dxa"/>
            <w:vAlign w:val="center"/>
          </w:tcPr>
          <w:p w14:paraId="07BE70C1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14:paraId="2FF85510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Patrí do obdobia</w:t>
            </w:r>
          </w:p>
        </w:tc>
        <w:tc>
          <w:tcPr>
            <w:tcW w:w="851" w:type="dxa"/>
            <w:vAlign w:val="center"/>
          </w:tcPr>
          <w:p w14:paraId="64E41314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Účet</w:t>
            </w:r>
          </w:p>
        </w:tc>
        <w:tc>
          <w:tcPr>
            <w:tcW w:w="2126" w:type="dxa"/>
            <w:vAlign w:val="center"/>
          </w:tcPr>
          <w:p w14:paraId="1CBCD3C7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Účtované na účet HV min. období (EUR)</w:t>
            </w:r>
          </w:p>
        </w:tc>
        <w:tc>
          <w:tcPr>
            <w:tcW w:w="2552" w:type="dxa"/>
            <w:vAlign w:val="center"/>
          </w:tcPr>
          <w:p w14:paraId="13152B7F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Účtované do HV bežného  obdobia(EUR)</w:t>
            </w:r>
          </w:p>
        </w:tc>
      </w:tr>
      <w:tr w14:paraId="66F328D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977" w:type="dxa"/>
          </w:tcPr>
          <w:p w14:paraId="60D01C68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14:paraId="2ADEB001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14:paraId="3C12D142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14:paraId="38F2A1FA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14:paraId="4F3CB4DC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14:paraId="759F9DD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977" w:type="dxa"/>
          </w:tcPr>
          <w:p w14:paraId="1973E1C2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0DA894CA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14:paraId="1760BD89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14:paraId="7553F46D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14:paraId="30D4FAA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14:paraId="0D168B6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977" w:type="dxa"/>
          </w:tcPr>
          <w:p w14:paraId="0778546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2E498AC4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14:paraId="565D5B44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14:paraId="56832647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14:paraId="0060653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14:paraId="776EA11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977" w:type="dxa"/>
          </w:tcPr>
          <w:p w14:paraId="34EF95CA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66522948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14:paraId="7906A7FA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14:paraId="0F670AE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14:paraId="7F18D9F6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14:paraId="761D91B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977" w:type="dxa"/>
          </w:tcPr>
          <w:p w14:paraId="6A279AFE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0C71EACD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14:paraId="09497CDD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14:paraId="6347DB36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14:paraId="56B197E8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14:paraId="080FEDA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977" w:type="dxa"/>
          </w:tcPr>
          <w:p w14:paraId="676B4183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18BD3581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14:paraId="2DBA5375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14:paraId="60206ED1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14:paraId="5748346C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14:paraId="0D85A05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977" w:type="dxa"/>
          </w:tcPr>
          <w:p w14:paraId="661DC28A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1EBD06EB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14:paraId="54BF3698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14:paraId="469E3B29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14:paraId="3F507AD9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14:paraId="5A64E459">
      <w:pPr>
        <w:jc w:val="both"/>
        <w:rPr>
          <w:rFonts w:ascii="Arial" w:hAnsi="Arial" w:cs="Arial"/>
          <w:sz w:val="18"/>
          <w:szCs w:val="22"/>
        </w:rPr>
      </w:pPr>
    </w:p>
    <w:p w14:paraId="6B9913C1">
      <w:pPr>
        <w:ind w:left="360"/>
        <w:rPr>
          <w:rFonts w:ascii="Arial" w:hAnsi="Arial" w:cs="Arial"/>
          <w:sz w:val="20"/>
        </w:rPr>
      </w:pPr>
    </w:p>
    <w:p w14:paraId="6A97C2C1">
      <w:pPr>
        <w:jc w:val="center"/>
        <w:rPr>
          <w:rFonts w:ascii="Arial" w:hAnsi="Arial" w:cs="Arial"/>
          <w:b/>
          <w:sz w:val="20"/>
        </w:rPr>
      </w:pPr>
      <w:r>
        <w:rPr>
          <w:rFonts w:ascii="Arial" w:hAnsi="Arial" w:cs="Arial"/>
          <w:b/>
          <w:sz w:val="20"/>
        </w:rPr>
        <w:t>Čl. III</w:t>
      </w:r>
    </w:p>
    <w:p w14:paraId="5B1758D4">
      <w:pPr>
        <w:jc w:val="center"/>
        <w:rPr>
          <w:rFonts w:ascii="Arial" w:hAnsi="Arial" w:cs="Arial"/>
          <w:b/>
          <w:sz w:val="20"/>
        </w:rPr>
      </w:pPr>
      <w:r>
        <w:rPr>
          <w:rFonts w:ascii="Arial" w:hAnsi="Arial" w:cs="Arial"/>
          <w:b/>
          <w:sz w:val="20"/>
        </w:rPr>
        <w:t>Informácie, ktoré vysvetľujú a dopĺňajú súvahu a výkaz ziskov a strát</w:t>
      </w:r>
    </w:p>
    <w:p w14:paraId="29B79A61">
      <w:pPr>
        <w:ind w:left="1841"/>
        <w:jc w:val="center"/>
        <w:rPr>
          <w:rFonts w:ascii="Arial" w:hAnsi="Arial" w:cs="Arial"/>
          <w:b/>
          <w:sz w:val="20"/>
        </w:rPr>
      </w:pPr>
    </w:p>
    <w:p w14:paraId="03AA3B28">
      <w:pPr>
        <w:numPr>
          <w:ilvl w:val="0"/>
          <w:numId w:val="4"/>
        </w:numPr>
        <w:ind w:left="709" w:hanging="567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Informácia o sume a dôvodoch vzniku jednotlivých položiek </w:t>
      </w:r>
      <w:r>
        <w:rPr>
          <w:rFonts w:ascii="Arial" w:hAnsi="Arial" w:cs="Arial"/>
          <w:b/>
          <w:sz w:val="20"/>
        </w:rPr>
        <w:t>nákladov alebo výnosov, ktoré majú výnimočný rozsah alebo výskyt</w:t>
      </w:r>
      <w:r>
        <w:rPr>
          <w:rFonts w:ascii="Arial" w:hAnsi="Arial" w:cs="Arial"/>
          <w:sz w:val="20"/>
        </w:rPr>
        <w:t>, napríklad výnosy z predaja podniku alebo časti podniku, náklady z dôvodu predaja podniku alebo časti podniku, škody z dôvodu živelných pohrôm</w:t>
      </w:r>
    </w:p>
    <w:tbl>
      <w:tblPr>
        <w:tblStyle w:val="9"/>
        <w:tblW w:w="9498" w:type="dxa"/>
        <w:tblInd w:w="108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899"/>
        <w:gridCol w:w="4181"/>
        <w:gridCol w:w="1418"/>
      </w:tblGrid>
      <w:tr w14:paraId="65E8FAE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3899" w:type="dxa"/>
            <w:tcBorders>
              <w:right w:val="single" w:color="auto" w:sz="4" w:space="0"/>
            </w:tcBorders>
          </w:tcPr>
          <w:p w14:paraId="34AC1EAF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Popis nákladov ,výnosov </w:t>
            </w:r>
          </w:p>
          <w:p w14:paraId="4A21FF68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Výnimočného  rozsahu</w:t>
            </w:r>
          </w:p>
        </w:tc>
        <w:tc>
          <w:tcPr>
            <w:tcW w:w="4181" w:type="dxa"/>
            <w:tcBorders>
              <w:right w:val="single" w:color="auto" w:sz="4" w:space="0"/>
            </w:tcBorders>
          </w:tcPr>
          <w:p w14:paraId="15501ED6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Dôvod vzniku</w:t>
            </w:r>
          </w:p>
        </w:tc>
        <w:tc>
          <w:tcPr>
            <w:tcW w:w="1418" w:type="dxa"/>
            <w:tcBorders>
              <w:left w:val="single" w:color="auto" w:sz="4" w:space="0"/>
            </w:tcBorders>
          </w:tcPr>
          <w:p w14:paraId="3DBBBA5B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EUR</w:t>
            </w:r>
          </w:p>
        </w:tc>
      </w:tr>
      <w:tr w14:paraId="0E9762F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3899" w:type="dxa"/>
            <w:tcBorders>
              <w:bottom w:val="single" w:color="auto" w:sz="4" w:space="0"/>
              <w:right w:val="single" w:color="auto" w:sz="4" w:space="0"/>
            </w:tcBorders>
          </w:tcPr>
          <w:p w14:paraId="35EDE1C2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color="auto" w:sz="4" w:space="0"/>
              <w:right w:val="single" w:color="auto" w:sz="4" w:space="0"/>
            </w:tcBorders>
          </w:tcPr>
          <w:p w14:paraId="01FA9CA8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color="auto" w:sz="4" w:space="0"/>
              <w:bottom w:val="single" w:color="auto" w:sz="4" w:space="0"/>
            </w:tcBorders>
          </w:tcPr>
          <w:p w14:paraId="06588FF5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14:paraId="7B23889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3899" w:type="dxa"/>
            <w:tcBorders>
              <w:top w:val="single" w:color="auto" w:sz="4" w:space="0"/>
              <w:right w:val="single" w:color="auto" w:sz="4" w:space="0"/>
            </w:tcBorders>
          </w:tcPr>
          <w:p w14:paraId="60BBF6E8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color="auto" w:sz="4" w:space="0"/>
              <w:right w:val="single" w:color="auto" w:sz="4" w:space="0"/>
            </w:tcBorders>
          </w:tcPr>
          <w:p w14:paraId="25FC0FCA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color="auto" w:sz="4" w:space="0"/>
              <w:left w:val="single" w:color="auto" w:sz="4" w:space="0"/>
            </w:tcBorders>
          </w:tcPr>
          <w:p w14:paraId="51F690F3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14:paraId="1D3B687D">
      <w:pPr>
        <w:ind w:left="1481"/>
        <w:jc w:val="both"/>
        <w:rPr>
          <w:rFonts w:ascii="Arial" w:hAnsi="Arial" w:cs="Arial"/>
          <w:sz w:val="20"/>
        </w:rPr>
      </w:pPr>
    </w:p>
    <w:p w14:paraId="0B244B45">
      <w:pPr>
        <w:ind w:left="1134"/>
        <w:jc w:val="both"/>
        <w:rPr>
          <w:rFonts w:ascii="Arial" w:hAnsi="Arial" w:cs="Arial"/>
          <w:sz w:val="20"/>
        </w:rPr>
      </w:pPr>
    </w:p>
    <w:p w14:paraId="0A6850F7">
      <w:pPr>
        <w:numPr>
          <w:ilvl w:val="0"/>
          <w:numId w:val="4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Style w:val="9"/>
        <w:tblW w:w="5000" w:type="pct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189"/>
        <w:gridCol w:w="1495"/>
      </w:tblGrid>
      <w:tr w14:paraId="24228FB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4228" w:type="pct"/>
            <w:tcBorders>
              <w:right w:val="single" w:color="auto" w:sz="4" w:space="0"/>
            </w:tcBorders>
            <w:vAlign w:val="center"/>
          </w:tcPr>
          <w:p w14:paraId="5EF6BE5D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color="auto" w:sz="4" w:space="0"/>
            </w:tcBorders>
            <w:noWrap/>
          </w:tcPr>
          <w:p w14:paraId="3AF1DD30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  <w:p w14:paraId="6BBF4763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14:paraId="4F4CCDF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5000" w:type="pct"/>
            <w:gridSpan w:val="2"/>
            <w:vAlign w:val="center"/>
          </w:tcPr>
          <w:p w14:paraId="5CEFFE93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14:paraId="7E0635D9">
            <w:pPr>
              <w:pStyle w:val="37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14:paraId="4EAEC12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4228" w:type="pct"/>
            <w:vAlign w:val="center"/>
          </w:tcPr>
          <w:p w14:paraId="5086CB4F">
            <w:pPr>
              <w:pStyle w:val="37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</w:tcPr>
          <w:p w14:paraId="5E326738">
            <w:pPr>
              <w:pStyle w:val="37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14:paraId="18E4826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4228" w:type="pct"/>
            <w:vAlign w:val="center"/>
          </w:tcPr>
          <w:p w14:paraId="2135185D">
            <w:pPr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14:paraId="0CF472CB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14:paraId="77B2EF4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4228" w:type="pct"/>
            <w:vAlign w:val="center"/>
          </w:tcPr>
          <w:p w14:paraId="116B8D2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</w:tcPr>
          <w:p w14:paraId="6612BB9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14:paraId="3FDF70C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4228" w:type="pct"/>
            <w:vAlign w:val="center"/>
          </w:tcPr>
          <w:p w14:paraId="2691B6A8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</w:tcPr>
          <w:p w14:paraId="3F19124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14:paraId="49407E3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4228" w:type="pct"/>
            <w:noWrap/>
            <w:vAlign w:val="center"/>
          </w:tcPr>
          <w:p w14:paraId="79F58E13">
            <w:pPr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</w:tcPr>
          <w:p w14:paraId="5C5879AB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14:paraId="4A380AA8">
      <w:pPr>
        <w:ind w:left="1134"/>
        <w:jc w:val="both"/>
        <w:rPr>
          <w:rFonts w:ascii="Arial" w:hAnsi="Arial" w:cs="Arial"/>
          <w:sz w:val="20"/>
        </w:rPr>
      </w:pPr>
    </w:p>
    <w:p w14:paraId="62FDABB7">
      <w:pPr>
        <w:numPr>
          <w:ilvl w:val="0"/>
          <w:numId w:val="4"/>
        </w:numPr>
        <w:ind w:left="709" w:hanging="567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bCs/>
          <w:kern w:val="28"/>
          <w:sz w:val="20"/>
          <w:lang w:eastAsia="en-US"/>
        </w:rPr>
        <w:t>Informácie o vlastných akciách, a to</w:t>
      </w:r>
    </w:p>
    <w:p w14:paraId="38B17FC5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dôvod nadobudnutia vlastných akcií počas účtovného obdobia,</w:t>
      </w:r>
    </w:p>
    <w:p w14:paraId="0C7F7ED0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informácie</w:t>
      </w:r>
    </w:p>
    <w:p w14:paraId="1230A7AA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14:paraId="6F9CDDC7">
      <w:pPr>
        <w:numPr>
          <w:ilvl w:val="0"/>
          <w:numId w:val="7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14:paraId="6FF4FDE5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>
        <w:rPr>
          <w:rFonts w:ascii="Arial" w:hAnsi="Arial" w:cs="Arial"/>
          <w:sz w:val="20"/>
        </w:rPr>
        <w:t xml:space="preserve">počet, menovitá hodnota a hodnota, za ktorú sa vlastné akcie nadobudli a ktoré účtovná jednotka má v držbe k poslednému dňu účtovného obdobia; </w:t>
      </w:r>
      <w:r>
        <w:rPr>
          <w:rFonts w:ascii="Arial" w:hAnsi="Arial" w:cs="Arial"/>
          <w:bCs/>
          <w:kern w:val="28"/>
          <w:sz w:val="20"/>
          <w:lang w:eastAsia="en-US"/>
        </w:rPr>
        <w:t>uvádza  sa aj ich percentuálny podiel na upísanom základnom imaní.</w:t>
      </w:r>
    </w:p>
    <w:p w14:paraId="24BD3BE5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14:paraId="0AAF83DB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14:paraId="0A621CDD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14:paraId="70F9F584">
      <w:pPr>
        <w:numPr>
          <w:ilvl w:val="0"/>
          <w:numId w:val="4"/>
        </w:numPr>
        <w:ind w:left="709" w:hanging="567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Informácie o orgánoch účtovnej jednotky</w:t>
      </w:r>
    </w:p>
    <w:tbl>
      <w:tblPr>
        <w:tblStyle w:val="9"/>
        <w:tblW w:w="9498" w:type="dxa"/>
        <w:tblInd w:w="108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670"/>
        <w:gridCol w:w="1560"/>
        <w:gridCol w:w="425"/>
        <w:gridCol w:w="417"/>
        <w:gridCol w:w="1426"/>
      </w:tblGrid>
      <w:tr w14:paraId="5BB1420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atLeast"/>
        </w:trPr>
        <w:tc>
          <w:tcPr>
            <w:tcW w:w="9498" w:type="dxa"/>
            <w:gridSpan w:val="5"/>
            <w:tcBorders>
              <w:left w:val="single" w:color="auto" w:sz="4" w:space="0"/>
            </w:tcBorders>
          </w:tcPr>
          <w:p w14:paraId="404CC1BD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a</w:t>
            </w:r>
            <w:r>
              <w:rPr>
                <w:rFonts w:ascii="Arial" w:hAnsi="Arial" w:cs="Arial"/>
                <w:b/>
                <w:sz w:val="20"/>
              </w:rPr>
              <w:t>)</w:t>
            </w:r>
            <w:r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14:paraId="29CFAF4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5670" w:type="dxa"/>
            <w:tcBorders>
              <w:left w:val="single" w:color="auto" w:sz="4" w:space="0"/>
              <w:right w:val="single" w:color="auto" w:sz="4" w:space="0"/>
            </w:tcBorders>
          </w:tcPr>
          <w:p w14:paraId="3A3E121B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color="auto" w:sz="4" w:space="0"/>
            </w:tcBorders>
          </w:tcPr>
          <w:p w14:paraId="7A49654E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color="auto" w:sz="4" w:space="0"/>
            </w:tcBorders>
          </w:tcPr>
          <w:p w14:paraId="6CC056D2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EUR</w:t>
            </w:r>
          </w:p>
        </w:tc>
      </w:tr>
      <w:tr w14:paraId="3B108A5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5670" w:type="dxa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1F84DDF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color="auto" w:sz="4" w:space="0"/>
              <w:right w:val="single" w:color="auto" w:sz="4" w:space="0"/>
            </w:tcBorders>
          </w:tcPr>
          <w:p w14:paraId="4743062C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color="auto" w:sz="4" w:space="0"/>
              <w:bottom w:val="single" w:color="auto" w:sz="4" w:space="0"/>
            </w:tcBorders>
          </w:tcPr>
          <w:p w14:paraId="7150927C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14:paraId="57AE59F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5670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</w:tcPr>
          <w:p w14:paraId="04983002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color="auto" w:sz="4" w:space="0"/>
              <w:right w:val="single" w:color="auto" w:sz="4" w:space="0"/>
            </w:tcBorders>
          </w:tcPr>
          <w:p w14:paraId="5D766EA1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color="auto" w:sz="4" w:space="0"/>
              <w:left w:val="single" w:color="auto" w:sz="4" w:space="0"/>
            </w:tcBorders>
          </w:tcPr>
          <w:p w14:paraId="237EEF48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14:paraId="0A792A6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9498" w:type="dxa"/>
            <w:gridSpan w:val="5"/>
          </w:tcPr>
          <w:p w14:paraId="56BF785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14:paraId="32625F1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atLeast"/>
        </w:trPr>
        <w:tc>
          <w:tcPr>
            <w:tcW w:w="5670" w:type="dxa"/>
            <w:tcBorders>
              <w:right w:val="single" w:color="auto" w:sz="4" w:space="0"/>
            </w:tcBorders>
          </w:tcPr>
          <w:p w14:paraId="655C881C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Celková suma poskytnutých pôžičiek k poslednému dňu ÚO. obdobia</w:t>
            </w:r>
          </w:p>
        </w:tc>
        <w:tc>
          <w:tcPr>
            <w:tcW w:w="1560" w:type="dxa"/>
            <w:tcBorders>
              <w:left w:val="single" w:color="auto" w:sz="4" w:space="0"/>
              <w:right w:val="single" w:color="auto" w:sz="4" w:space="0"/>
            </w:tcBorders>
          </w:tcPr>
          <w:p w14:paraId="29DE7A15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842" w:type="dxa"/>
            <w:gridSpan w:val="2"/>
            <w:tcBorders>
              <w:left w:val="single" w:color="auto" w:sz="4" w:space="0"/>
              <w:right w:val="single" w:color="auto" w:sz="4" w:space="0"/>
            </w:tcBorders>
          </w:tcPr>
          <w:p w14:paraId="56FE3E49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Úrok v %</w:t>
            </w:r>
          </w:p>
        </w:tc>
        <w:tc>
          <w:tcPr>
            <w:tcW w:w="1426" w:type="dxa"/>
            <w:tcBorders>
              <w:left w:val="single" w:color="auto" w:sz="4" w:space="0"/>
            </w:tcBorders>
          </w:tcPr>
          <w:p w14:paraId="72A85B5F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EUR</w:t>
            </w:r>
          </w:p>
          <w:p w14:paraId="3FC63815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14:paraId="0263D3E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5670" w:type="dxa"/>
            <w:tcBorders>
              <w:right w:val="single" w:color="auto" w:sz="4" w:space="0"/>
            </w:tcBorders>
          </w:tcPr>
          <w:p w14:paraId="02E79B14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color="auto" w:sz="4" w:space="0"/>
              <w:right w:val="single" w:color="auto" w:sz="4" w:space="0"/>
            </w:tcBorders>
          </w:tcPr>
          <w:p w14:paraId="0A3502F2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color="auto" w:sz="4" w:space="0"/>
              <w:right w:val="single" w:color="auto" w:sz="4" w:space="0"/>
            </w:tcBorders>
          </w:tcPr>
          <w:p w14:paraId="2EBEA5A1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color="auto" w:sz="4" w:space="0"/>
            </w:tcBorders>
          </w:tcPr>
          <w:p w14:paraId="62E4E64C">
            <w:pPr>
              <w:rPr>
                <w:rFonts w:ascii="Arial" w:hAnsi="Arial" w:cs="Arial"/>
                <w:sz w:val="20"/>
              </w:rPr>
            </w:pPr>
          </w:p>
        </w:tc>
      </w:tr>
      <w:tr w14:paraId="6462BA3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5670" w:type="dxa"/>
            <w:tcBorders>
              <w:right w:val="single" w:color="auto" w:sz="4" w:space="0"/>
            </w:tcBorders>
          </w:tcPr>
          <w:p w14:paraId="4AC42DDD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color="auto" w:sz="4" w:space="0"/>
              <w:right w:val="single" w:color="auto" w:sz="4" w:space="0"/>
            </w:tcBorders>
          </w:tcPr>
          <w:p w14:paraId="632049E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color="auto" w:sz="4" w:space="0"/>
              <w:right w:val="single" w:color="auto" w:sz="4" w:space="0"/>
            </w:tcBorders>
          </w:tcPr>
          <w:p w14:paraId="68C12DB7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color="auto" w:sz="4" w:space="0"/>
            </w:tcBorders>
          </w:tcPr>
          <w:p w14:paraId="5603A1CB">
            <w:pPr>
              <w:rPr>
                <w:rFonts w:ascii="Arial" w:hAnsi="Arial" w:cs="Arial"/>
                <w:sz w:val="20"/>
              </w:rPr>
            </w:pPr>
          </w:p>
        </w:tc>
      </w:tr>
      <w:tr w14:paraId="6E23BEE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atLeast"/>
        </w:trPr>
        <w:tc>
          <w:tcPr>
            <w:tcW w:w="9498" w:type="dxa"/>
            <w:gridSpan w:val="5"/>
          </w:tcPr>
          <w:p w14:paraId="3A8DD4A6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14:paraId="7881305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5670" w:type="dxa"/>
            <w:tcBorders>
              <w:right w:val="single" w:color="auto" w:sz="4" w:space="0"/>
            </w:tcBorders>
          </w:tcPr>
          <w:p w14:paraId="6C5F21D1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color="auto" w:sz="4" w:space="0"/>
              <w:right w:val="single" w:color="auto" w:sz="4" w:space="0"/>
            </w:tcBorders>
          </w:tcPr>
          <w:p w14:paraId="18A14BD5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color="auto" w:sz="4" w:space="0"/>
              <w:right w:val="single" w:color="auto" w:sz="4" w:space="0"/>
            </w:tcBorders>
          </w:tcPr>
          <w:p w14:paraId="7EE6FC6C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color="auto" w:sz="4" w:space="0"/>
            </w:tcBorders>
          </w:tcPr>
          <w:p w14:paraId="7E6EB776">
            <w:pPr>
              <w:rPr>
                <w:rFonts w:ascii="Arial" w:hAnsi="Arial" w:cs="Arial"/>
                <w:sz w:val="20"/>
              </w:rPr>
            </w:pPr>
          </w:p>
        </w:tc>
      </w:tr>
      <w:tr w14:paraId="3D8C3B6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5670" w:type="dxa"/>
            <w:tcBorders>
              <w:right w:val="single" w:color="auto" w:sz="4" w:space="0"/>
            </w:tcBorders>
          </w:tcPr>
          <w:p w14:paraId="0F293B6D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color="auto" w:sz="4" w:space="0"/>
              <w:right w:val="single" w:color="auto" w:sz="4" w:space="0"/>
            </w:tcBorders>
          </w:tcPr>
          <w:p w14:paraId="3BD97DC5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color="auto" w:sz="4" w:space="0"/>
              <w:right w:val="single" w:color="auto" w:sz="4" w:space="0"/>
            </w:tcBorders>
          </w:tcPr>
          <w:p w14:paraId="21BAB8BF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color="auto" w:sz="4" w:space="0"/>
            </w:tcBorders>
          </w:tcPr>
          <w:p w14:paraId="134E4A7C">
            <w:pPr>
              <w:rPr>
                <w:rFonts w:ascii="Arial" w:hAnsi="Arial" w:cs="Arial"/>
                <w:sz w:val="20"/>
              </w:rPr>
            </w:pPr>
          </w:p>
        </w:tc>
      </w:tr>
      <w:tr w14:paraId="6823EF7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atLeast"/>
        </w:trPr>
        <w:tc>
          <w:tcPr>
            <w:tcW w:w="9498" w:type="dxa"/>
            <w:gridSpan w:val="5"/>
          </w:tcPr>
          <w:p w14:paraId="47CEEB41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14:paraId="5956001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5670" w:type="dxa"/>
            <w:tcBorders>
              <w:right w:val="single" w:color="auto" w:sz="4" w:space="0"/>
            </w:tcBorders>
          </w:tcPr>
          <w:p w14:paraId="45A73DD7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color="auto" w:sz="4" w:space="0"/>
              <w:right w:val="single" w:color="auto" w:sz="4" w:space="0"/>
            </w:tcBorders>
          </w:tcPr>
          <w:p w14:paraId="3BFC3A1F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color="auto" w:sz="4" w:space="0"/>
              <w:right w:val="single" w:color="auto" w:sz="4" w:space="0"/>
            </w:tcBorders>
          </w:tcPr>
          <w:p w14:paraId="564E8902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color="auto" w:sz="4" w:space="0"/>
            </w:tcBorders>
          </w:tcPr>
          <w:p w14:paraId="1DEAF216">
            <w:pPr>
              <w:rPr>
                <w:rFonts w:ascii="Arial" w:hAnsi="Arial" w:cs="Arial"/>
                <w:sz w:val="20"/>
              </w:rPr>
            </w:pPr>
          </w:p>
        </w:tc>
      </w:tr>
      <w:tr w14:paraId="398C26D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5670" w:type="dxa"/>
            <w:tcBorders>
              <w:right w:val="single" w:color="auto" w:sz="4" w:space="0"/>
            </w:tcBorders>
          </w:tcPr>
          <w:p w14:paraId="534E8B35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color="auto" w:sz="4" w:space="0"/>
              <w:right w:val="single" w:color="auto" w:sz="4" w:space="0"/>
            </w:tcBorders>
          </w:tcPr>
          <w:p w14:paraId="073F5F1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color="auto" w:sz="4" w:space="0"/>
              <w:right w:val="single" w:color="auto" w:sz="4" w:space="0"/>
            </w:tcBorders>
          </w:tcPr>
          <w:p w14:paraId="252F282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color="auto" w:sz="4" w:space="0"/>
            </w:tcBorders>
          </w:tcPr>
          <w:p w14:paraId="1D25431B">
            <w:pPr>
              <w:rPr>
                <w:rFonts w:ascii="Arial" w:hAnsi="Arial" w:cs="Arial"/>
                <w:sz w:val="20"/>
              </w:rPr>
            </w:pPr>
          </w:p>
        </w:tc>
      </w:tr>
      <w:tr w14:paraId="31865B0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atLeast"/>
        </w:trPr>
        <w:tc>
          <w:tcPr>
            <w:tcW w:w="9498" w:type="dxa"/>
            <w:gridSpan w:val="5"/>
          </w:tcPr>
          <w:p w14:paraId="50BB039C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c)celková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14:paraId="1D73679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5670" w:type="dxa"/>
            <w:tcBorders>
              <w:right w:val="single" w:color="auto" w:sz="4" w:space="0"/>
            </w:tcBorders>
          </w:tcPr>
          <w:p w14:paraId="0A5EEFD7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color="auto" w:sz="4" w:space="0"/>
            </w:tcBorders>
          </w:tcPr>
          <w:p w14:paraId="7723CBD7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color="auto" w:sz="4" w:space="0"/>
            </w:tcBorders>
          </w:tcPr>
          <w:p w14:paraId="334FF4E9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EUR</w:t>
            </w:r>
          </w:p>
        </w:tc>
      </w:tr>
      <w:tr w14:paraId="388F476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5670" w:type="dxa"/>
            <w:tcBorders>
              <w:bottom w:val="single" w:color="auto" w:sz="4" w:space="0"/>
              <w:right w:val="single" w:color="auto" w:sz="4" w:space="0"/>
            </w:tcBorders>
          </w:tcPr>
          <w:p w14:paraId="6F59B045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color="auto" w:sz="4" w:space="0"/>
              <w:right w:val="single" w:color="auto" w:sz="4" w:space="0"/>
            </w:tcBorders>
          </w:tcPr>
          <w:p w14:paraId="5ECC2B8B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color="auto" w:sz="4" w:space="0"/>
              <w:bottom w:val="single" w:color="auto" w:sz="4" w:space="0"/>
            </w:tcBorders>
          </w:tcPr>
          <w:p w14:paraId="59AF63AA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14:paraId="4EF5577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5670" w:type="dxa"/>
            <w:tcBorders>
              <w:top w:val="single" w:color="auto" w:sz="4" w:space="0"/>
              <w:right w:val="single" w:color="auto" w:sz="4" w:space="0"/>
            </w:tcBorders>
          </w:tcPr>
          <w:p w14:paraId="6BB206D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color="auto" w:sz="4" w:space="0"/>
              <w:right w:val="single" w:color="auto" w:sz="4" w:space="0"/>
            </w:tcBorders>
          </w:tcPr>
          <w:p w14:paraId="27BC4AB5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color="auto" w:sz="4" w:space="0"/>
              <w:left w:val="single" w:color="auto" w:sz="4" w:space="0"/>
            </w:tcBorders>
          </w:tcPr>
          <w:p w14:paraId="7D8AC004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14:paraId="3529F79B">
      <w:pPr>
        <w:jc w:val="both"/>
        <w:rPr>
          <w:rFonts w:ascii="Arial" w:hAnsi="Arial" w:cs="Arial"/>
          <w:sz w:val="20"/>
        </w:rPr>
      </w:pPr>
    </w:p>
    <w:p w14:paraId="260CBAB2">
      <w:pPr>
        <w:numPr>
          <w:ilvl w:val="0"/>
          <w:numId w:val="4"/>
        </w:numPr>
        <w:ind w:left="1480" w:hanging="1338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Informácie o povinnostiach účtovnej jednotky, a to</w:t>
      </w:r>
    </w:p>
    <w:p w14:paraId="5162F9C8">
      <w:pPr>
        <w:numPr>
          <w:ilvl w:val="0"/>
          <w:numId w:val="8"/>
        </w:numPr>
        <w:ind w:left="1276" w:hanging="567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celková suma 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14:paraId="5D15538F">
      <w:pPr>
        <w:numPr>
          <w:ilvl w:val="0"/>
          <w:numId w:val="8"/>
        </w:numPr>
        <w:ind w:left="1276" w:hanging="567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celková suma významných podmienených záväzkov, ktorými sa rozumie</w:t>
      </w:r>
    </w:p>
    <w:p w14:paraId="16336FF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14:paraId="4E5C0AFC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14:paraId="3C1E49BA">
      <w:pPr>
        <w:numPr>
          <w:ilvl w:val="0"/>
          <w:numId w:val="10"/>
        </w:numPr>
        <w:ind w:left="2127" w:hanging="426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14:paraId="70FF38C9">
      <w:pPr>
        <w:numPr>
          <w:ilvl w:val="0"/>
          <w:numId w:val="11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výška tejto povinnosti sa nedá spoľahlivo oceniť,</w:t>
      </w:r>
    </w:p>
    <w:p w14:paraId="0A327D85">
      <w:pPr>
        <w:numPr>
          <w:ilvl w:val="0"/>
          <w:numId w:val="8"/>
        </w:numPr>
        <w:ind w:left="1276" w:hanging="567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opise významných finančných povinností a významných podmienených záväzkov,</w:t>
      </w:r>
    </w:p>
    <w:p w14:paraId="4E060C97">
      <w:pPr>
        <w:numPr>
          <w:ilvl w:val="0"/>
          <w:numId w:val="8"/>
        </w:numPr>
        <w:ind w:left="1276" w:hanging="567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14:paraId="591DDC50">
      <w:pPr>
        <w:numPr>
          <w:ilvl w:val="0"/>
          <w:numId w:val="8"/>
        </w:numPr>
        <w:ind w:left="1276" w:hanging="567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14:paraId="6999D2A2">
      <w:pPr>
        <w:jc w:val="both"/>
        <w:rPr>
          <w:rFonts w:ascii="Arial" w:hAnsi="Arial" w:cs="Arial"/>
          <w:sz w:val="20"/>
        </w:rPr>
      </w:pPr>
    </w:p>
    <w:p w14:paraId="4D328E6E">
      <w:pPr>
        <w:numPr>
          <w:ilvl w:val="0"/>
          <w:numId w:val="4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14:paraId="278EFC49">
      <w:pPr>
        <w:jc w:val="right"/>
        <w:rPr>
          <w:rFonts w:ascii="Arial" w:hAnsi="Arial" w:cs="Arial"/>
          <w:sz w:val="20"/>
        </w:rPr>
      </w:pPr>
    </w:p>
    <w:p w14:paraId="33714CB2">
      <w:p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Údaje v poznámkach sú uvádzané za bežne účtovné obdobie. Sumy sú uvádzané v celých eurách.</w:t>
      </w:r>
    </w:p>
    <w:p w14:paraId="1C9809C7">
      <w:pPr>
        <w:rPr>
          <w:rFonts w:ascii="Arial" w:hAnsi="Arial" w:cs="Arial"/>
          <w:sz w:val="20"/>
        </w:rPr>
      </w:pPr>
    </w:p>
    <w:p w14:paraId="0FBBEB37">
      <w:pPr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ÚJ - účtovná jednotka; BO- bežné obdobie; X= ÚJ má náplň pre jednotlivú položku </w:t>
      </w:r>
    </w:p>
    <w:p w14:paraId="373B613E">
      <w:pPr>
        <w:rPr>
          <w:rFonts w:ascii="Arial" w:hAnsi="Arial" w:cs="Arial"/>
          <w:sz w:val="20"/>
        </w:rPr>
      </w:pPr>
    </w:p>
    <w:sectPr>
      <w:headerReference r:id="rId3" w:type="default"/>
      <w:footerReference r:id="rId4" w:type="default"/>
      <w:pgSz w:w="11907" w:h="16840"/>
      <w:pgMar w:top="1418" w:right="1418" w:bottom="1418" w:left="1021" w:header="567" w:footer="567" w:gutter="0"/>
      <w:pgNumType w:start="1"/>
      <w:cols w:space="708" w:num="1"/>
      <w:docGrid w:linePitch="326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default"/>
    <w:sig w:usb0="E0002EFF" w:usb1="C000785B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SimHei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等线">
    <w:altName w:val="Microsoft YaHei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Arial">
    <w:panose1 w:val="020B0604020202020204"/>
    <w:charset w:val="EE"/>
    <w:family w:val="swiss"/>
    <w:pitch w:val="default"/>
    <w:sig w:usb0="E0002EFF" w:usb1="C000785B" w:usb2="00000009" w:usb3="00000000" w:csb0="400001FF" w:csb1="FFFF0000"/>
  </w:font>
  <w:font w:name="Arial Narrow">
    <w:panose1 w:val="020B0606020202030204"/>
    <w:charset w:val="EE"/>
    <w:family w:val="swiss"/>
    <w:pitch w:val="default"/>
    <w:sig w:usb0="00000287" w:usb1="00000800" w:usb2="00000000" w:usb3="00000000" w:csb0="2000009F" w:csb1="DFD70000"/>
  </w:font>
  <w:font w:name="Tahoma">
    <w:panose1 w:val="020B0604030504040204"/>
    <w:charset w:val="EE"/>
    <w:family w:val="swiss"/>
    <w:pitch w:val="default"/>
    <w:sig w:usb0="E1002EFF" w:usb1="C000605B" w:usb2="00000029" w:usb3="00000000" w:csb0="200101FF" w:csb1="2028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02C4350">
    <w:pPr>
      <w:pStyle w:val="2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t>1</w:t>
    </w:r>
    <w:r>
      <w:fldChar w:fldCharType="end"/>
    </w:r>
  </w:p>
  <w:p w14:paraId="5D1F0630">
    <w:pPr>
      <w:pStyle w:val="20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tbl>
    <w:tblPr>
      <w:tblStyle w:val="9"/>
      <w:tblW w:w="10311" w:type="dxa"/>
      <w:tblInd w:w="55" w:type="dxa"/>
      <w:tblLayout w:type="autofit"/>
      <w:tblCellMar>
        <w:top w:w="0" w:type="dxa"/>
        <w:left w:w="70" w:type="dxa"/>
        <w:bottom w:w="0" w:type="dxa"/>
        <w:right w:w="70" w:type="dxa"/>
      </w:tblCellMar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273"/>
      <w:gridCol w:w="415"/>
      <w:gridCol w:w="344"/>
      <w:gridCol w:w="344"/>
      <w:gridCol w:w="344"/>
      <w:gridCol w:w="344"/>
    </w:tblGrid>
    <w:tr w14:paraId="26487567">
      <w:tblPrEx>
        <w:tblCellMar>
          <w:top w:w="0" w:type="dxa"/>
          <w:left w:w="70" w:type="dxa"/>
          <w:bottom w:w="0" w:type="dxa"/>
          <w:right w:w="70" w:type="dxa"/>
        </w:tblCellMar>
      </w:tblPrEx>
      <w:trPr>
        <w:trHeight w:val="330" w:hRule="atLeast"/>
      </w:trPr>
      <w:tc>
        <w:tcPr>
          <w:tcW w:w="2710" w:type="dxa"/>
          <w:tc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</w:tcBorders>
          <w:noWrap/>
          <w:vAlign w:val="bottom"/>
        </w:tcPr>
        <w:p w14:paraId="53F3CF5E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Poznámky Úč MÚJ 3 - 01</w:t>
          </w:r>
        </w:p>
      </w:tc>
      <w:tc>
        <w:tcPr>
          <w:tcW w:w="707" w:type="dxa"/>
          <w:tcBorders>
            <w:left w:val="single" w:color="auto" w:sz="4" w:space="0"/>
            <w:right w:val="single" w:color="auto" w:sz="4" w:space="0"/>
          </w:tcBorders>
          <w:vAlign w:val="bottom"/>
        </w:tcPr>
        <w:p w14:paraId="4B672B01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</w:tcBorders>
          <w:noWrap/>
          <w:vAlign w:val="bottom"/>
        </w:tcPr>
        <w:p w14:paraId="4FE9A7BE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</w:tcBorders>
          <w:vAlign w:val="bottom"/>
        </w:tcPr>
        <w:p w14:paraId="51D510D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</w:tcBorders>
          <w:vAlign w:val="bottom"/>
        </w:tcPr>
        <w:p w14:paraId="75F3183C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</w:tcBorders>
          <w:vAlign w:val="bottom"/>
        </w:tcPr>
        <w:p w14:paraId="09F5AEBC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</w:tcBorders>
          <w:vAlign w:val="bottom"/>
        </w:tcPr>
        <w:p w14:paraId="313D1C5E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</w:tcBorders>
          <w:vAlign w:val="bottom"/>
        </w:tcPr>
        <w:p w14:paraId="10761339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</w:tcBorders>
          <w:vAlign w:val="bottom"/>
        </w:tcPr>
        <w:p w14:paraId="1CCC39B7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</w:tcBorders>
          <w:vAlign w:val="bottom"/>
        </w:tcPr>
        <w:p w14:paraId="61CEEA4F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681" w:type="dxa"/>
          <w:tcBorders>
            <w:top w:val="nil"/>
            <w:left w:val="single" w:color="auto" w:sz="4" w:space="0"/>
            <w:bottom w:val="nil"/>
            <w:right w:val="nil"/>
          </w:tcBorders>
          <w:noWrap/>
          <w:vAlign w:val="bottom"/>
        </w:tcPr>
        <w:p w14:paraId="59FFC7D1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</w:tcBorders>
          <w:noWrap/>
          <w:vAlign w:val="center"/>
        </w:tcPr>
        <w:p w14:paraId="44A18513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color="auto" w:sz="4" w:space="0"/>
            <w:left w:val="nil"/>
            <w:bottom w:val="single" w:color="auto" w:sz="4" w:space="0"/>
            <w:right w:val="single" w:color="auto" w:sz="4" w:space="0"/>
          </w:tcBorders>
          <w:noWrap/>
          <w:vAlign w:val="center"/>
        </w:tcPr>
        <w:p w14:paraId="037B162E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color="auto" w:sz="4" w:space="0"/>
            <w:left w:val="nil"/>
            <w:bottom w:val="single" w:color="auto" w:sz="4" w:space="0"/>
            <w:right w:val="single" w:color="auto" w:sz="4" w:space="0"/>
          </w:tcBorders>
          <w:noWrap/>
          <w:vAlign w:val="center"/>
        </w:tcPr>
        <w:p w14:paraId="240E81E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color="auto" w:sz="4" w:space="0"/>
            <w:left w:val="nil"/>
            <w:bottom w:val="single" w:color="auto" w:sz="4" w:space="0"/>
            <w:right w:val="single" w:color="auto" w:sz="4" w:space="0"/>
          </w:tcBorders>
          <w:noWrap/>
          <w:vAlign w:val="center"/>
        </w:tcPr>
        <w:p w14:paraId="5B998428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273" w:type="dxa"/>
          <w:tcBorders>
            <w:top w:val="single" w:color="auto" w:sz="4" w:space="0"/>
            <w:left w:val="nil"/>
            <w:bottom w:val="single" w:color="auto" w:sz="4" w:space="0"/>
            <w:right w:val="single" w:color="auto" w:sz="4" w:space="0"/>
          </w:tcBorders>
          <w:noWrap/>
          <w:vAlign w:val="center"/>
        </w:tcPr>
        <w:p w14:paraId="2B6FD031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415" w:type="dxa"/>
          <w:tcBorders>
            <w:top w:val="single" w:color="auto" w:sz="4" w:space="0"/>
            <w:left w:val="nil"/>
            <w:bottom w:val="single" w:color="auto" w:sz="4" w:space="0"/>
            <w:right w:val="single" w:color="auto" w:sz="4" w:space="0"/>
          </w:tcBorders>
          <w:noWrap/>
          <w:vAlign w:val="center"/>
        </w:tcPr>
        <w:p w14:paraId="7B92C396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color="auto" w:sz="4" w:space="0"/>
            <w:left w:val="nil"/>
            <w:bottom w:val="single" w:color="auto" w:sz="4" w:space="0"/>
            <w:right w:val="single" w:color="auto" w:sz="4" w:space="0"/>
          </w:tcBorders>
          <w:noWrap/>
          <w:vAlign w:val="center"/>
        </w:tcPr>
        <w:p w14:paraId="48663EE3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color="auto" w:sz="4" w:space="0"/>
            <w:left w:val="nil"/>
            <w:bottom w:val="single" w:color="auto" w:sz="4" w:space="0"/>
            <w:right w:val="single" w:color="auto" w:sz="4" w:space="0"/>
          </w:tcBorders>
          <w:noWrap/>
          <w:vAlign w:val="center"/>
        </w:tcPr>
        <w:p w14:paraId="15876BCD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</w:p>
      </w:tc>
      <w:tc>
        <w:tcPr>
          <w:tcW w:w="344" w:type="dxa"/>
          <w:tcBorders>
            <w:top w:val="single" w:color="auto" w:sz="4" w:space="0"/>
            <w:left w:val="nil"/>
            <w:bottom w:val="single" w:color="auto" w:sz="4" w:space="0"/>
            <w:right w:val="single" w:color="auto" w:sz="4" w:space="0"/>
          </w:tcBorders>
          <w:noWrap/>
          <w:vAlign w:val="center"/>
        </w:tcPr>
        <w:p w14:paraId="073F4914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</w:p>
      </w:tc>
      <w:tc>
        <w:tcPr>
          <w:tcW w:w="344" w:type="dxa"/>
          <w:tcBorders>
            <w:top w:val="single" w:color="auto" w:sz="4" w:space="0"/>
            <w:left w:val="nil"/>
            <w:bottom w:val="single" w:color="auto" w:sz="4" w:space="0"/>
            <w:right w:val="single" w:color="auto" w:sz="4" w:space="0"/>
          </w:tcBorders>
          <w:noWrap/>
          <w:vAlign w:val="center"/>
        </w:tcPr>
        <w:p w14:paraId="21E3412F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</w:p>
      </w:tc>
    </w:tr>
  </w:tbl>
  <w:p w14:paraId="44CCB547">
    <w:pPr>
      <w:pStyle w:val="2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87A5526"/>
    <w:multiLevelType w:val="multilevel"/>
    <w:tmpl w:val="087A5526"/>
    <w:lvl w:ilvl="0" w:tentative="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39C6A32"/>
    <w:multiLevelType w:val="multilevel"/>
    <w:tmpl w:val="139C6A32"/>
    <w:lvl w:ilvl="0" w:tentative="0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entative="0">
      <w:start w:val="1"/>
      <w:numFmt w:val="lowerLetter"/>
      <w:lvlText w:val="%2."/>
      <w:lvlJc w:val="left"/>
      <w:pPr>
        <w:ind w:left="3281" w:hanging="360"/>
      </w:pPr>
    </w:lvl>
    <w:lvl w:ilvl="2" w:tentative="0">
      <w:start w:val="1"/>
      <w:numFmt w:val="lowerRoman"/>
      <w:lvlText w:val="%3."/>
      <w:lvlJc w:val="right"/>
      <w:pPr>
        <w:ind w:left="4001" w:hanging="180"/>
      </w:pPr>
    </w:lvl>
    <w:lvl w:ilvl="3" w:tentative="0">
      <w:start w:val="1"/>
      <w:numFmt w:val="decimal"/>
      <w:lvlText w:val="%4."/>
      <w:lvlJc w:val="left"/>
      <w:pPr>
        <w:ind w:left="4721" w:hanging="360"/>
      </w:pPr>
    </w:lvl>
    <w:lvl w:ilvl="4" w:tentative="0">
      <w:start w:val="1"/>
      <w:numFmt w:val="lowerLetter"/>
      <w:lvlText w:val="%5."/>
      <w:lvlJc w:val="left"/>
      <w:pPr>
        <w:ind w:left="5441" w:hanging="360"/>
      </w:pPr>
    </w:lvl>
    <w:lvl w:ilvl="5" w:tentative="0">
      <w:start w:val="1"/>
      <w:numFmt w:val="lowerRoman"/>
      <w:lvlText w:val="%6."/>
      <w:lvlJc w:val="right"/>
      <w:pPr>
        <w:ind w:left="6161" w:hanging="180"/>
      </w:pPr>
    </w:lvl>
    <w:lvl w:ilvl="6" w:tentative="0">
      <w:start w:val="1"/>
      <w:numFmt w:val="decimal"/>
      <w:lvlText w:val="%7."/>
      <w:lvlJc w:val="left"/>
      <w:pPr>
        <w:ind w:left="6881" w:hanging="360"/>
      </w:pPr>
    </w:lvl>
    <w:lvl w:ilvl="7" w:tentative="0">
      <w:start w:val="1"/>
      <w:numFmt w:val="lowerLetter"/>
      <w:lvlText w:val="%8."/>
      <w:lvlJc w:val="left"/>
      <w:pPr>
        <w:ind w:left="7601" w:hanging="360"/>
      </w:pPr>
    </w:lvl>
    <w:lvl w:ilvl="8" w:tentative="0">
      <w:start w:val="1"/>
      <w:numFmt w:val="lowerRoman"/>
      <w:lvlText w:val="%9."/>
      <w:lvlJc w:val="right"/>
      <w:pPr>
        <w:ind w:left="8321" w:hanging="180"/>
      </w:pPr>
    </w:lvl>
  </w:abstractNum>
  <w:abstractNum w:abstractNumId="2">
    <w:nsid w:val="1DFE5B14"/>
    <w:multiLevelType w:val="multilevel"/>
    <w:tmpl w:val="1DFE5B14"/>
    <w:lvl w:ilvl="0" w:tentative="0">
      <w:start w:val="1"/>
      <w:numFmt w:val="decimal"/>
      <w:lvlText w:val="(%1)"/>
      <w:lvlJc w:val="left"/>
      <w:pPr>
        <w:ind w:left="1481" w:hanging="360"/>
      </w:pPr>
      <w:rPr>
        <w:rFonts w:hint="default" w:ascii="Times New Roman" w:hAnsi="Times New Roman" w:cs="Times New Roman"/>
        <w:b w:val="0"/>
        <w:i w:val="0"/>
        <w:sz w:val="20"/>
        <w:szCs w:val="24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4C959BA"/>
    <w:multiLevelType w:val="multilevel"/>
    <w:tmpl w:val="24C959BA"/>
    <w:lvl w:ilvl="0" w:tentative="0">
      <w:start w:val="1"/>
      <w:numFmt w:val="decimal"/>
      <w:lvlText w:val="(%1)"/>
      <w:lvlJc w:val="left"/>
      <w:pPr>
        <w:ind w:left="1481" w:hanging="360"/>
      </w:pPr>
      <w:rPr>
        <w:rFonts w:hint="default" w:ascii="Times New Roman" w:hAnsi="Times New Roman" w:cs="Times New Roman"/>
        <w:b w:val="0"/>
        <w:i w:val="0"/>
        <w:sz w:val="20"/>
        <w:szCs w:val="24"/>
      </w:rPr>
    </w:lvl>
    <w:lvl w:ilvl="1" w:tentative="0">
      <w:start w:val="1"/>
      <w:numFmt w:val="lowerLetter"/>
      <w:lvlText w:val="%2."/>
      <w:lvlJc w:val="left"/>
      <w:pPr>
        <w:ind w:left="2201" w:hanging="360"/>
      </w:pPr>
    </w:lvl>
    <w:lvl w:ilvl="2" w:tentative="0">
      <w:start w:val="1"/>
      <w:numFmt w:val="lowerRoman"/>
      <w:lvlText w:val="%3."/>
      <w:lvlJc w:val="right"/>
      <w:pPr>
        <w:ind w:left="2921" w:hanging="180"/>
      </w:pPr>
    </w:lvl>
    <w:lvl w:ilvl="3" w:tentative="0">
      <w:start w:val="1"/>
      <w:numFmt w:val="decimal"/>
      <w:lvlText w:val="%4."/>
      <w:lvlJc w:val="left"/>
      <w:pPr>
        <w:ind w:left="3641" w:hanging="360"/>
      </w:pPr>
    </w:lvl>
    <w:lvl w:ilvl="4" w:tentative="0">
      <w:start w:val="1"/>
      <w:numFmt w:val="lowerLetter"/>
      <w:lvlText w:val="%5."/>
      <w:lvlJc w:val="left"/>
      <w:pPr>
        <w:ind w:left="4361" w:hanging="360"/>
      </w:pPr>
    </w:lvl>
    <w:lvl w:ilvl="5" w:tentative="0">
      <w:start w:val="1"/>
      <w:numFmt w:val="lowerRoman"/>
      <w:lvlText w:val="%6."/>
      <w:lvlJc w:val="right"/>
      <w:pPr>
        <w:ind w:left="5081" w:hanging="180"/>
      </w:pPr>
    </w:lvl>
    <w:lvl w:ilvl="6" w:tentative="0">
      <w:start w:val="1"/>
      <w:numFmt w:val="decimal"/>
      <w:lvlText w:val="%7."/>
      <w:lvlJc w:val="left"/>
      <w:pPr>
        <w:ind w:left="5801" w:hanging="360"/>
      </w:pPr>
    </w:lvl>
    <w:lvl w:ilvl="7" w:tentative="0">
      <w:start w:val="1"/>
      <w:numFmt w:val="lowerLetter"/>
      <w:lvlText w:val="%8."/>
      <w:lvlJc w:val="left"/>
      <w:pPr>
        <w:ind w:left="6521" w:hanging="360"/>
      </w:pPr>
    </w:lvl>
    <w:lvl w:ilvl="8" w:tentative="0">
      <w:start w:val="1"/>
      <w:numFmt w:val="lowerRoman"/>
      <w:lvlText w:val="%9."/>
      <w:lvlJc w:val="right"/>
      <w:pPr>
        <w:ind w:left="7241" w:hanging="180"/>
      </w:pPr>
    </w:lvl>
  </w:abstractNum>
  <w:abstractNum w:abstractNumId="4">
    <w:nsid w:val="2BA80257"/>
    <w:multiLevelType w:val="multilevel"/>
    <w:tmpl w:val="2BA80257"/>
    <w:lvl w:ilvl="0" w:tentative="0">
      <w:start w:val="1"/>
      <w:numFmt w:val="decimal"/>
      <w:lvlText w:val="(%1)"/>
      <w:lvlJc w:val="left"/>
      <w:pPr>
        <w:ind w:left="3479" w:hanging="360"/>
      </w:pPr>
      <w:rPr>
        <w:rFonts w:hint="default" w:ascii="Times New Roman" w:hAnsi="Times New Roman" w:cs="Times New Roman"/>
        <w:b w:val="0"/>
        <w:i w:val="0"/>
        <w:sz w:val="20"/>
        <w:szCs w:val="24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DA7533A"/>
    <w:multiLevelType w:val="multilevel"/>
    <w:tmpl w:val="4DA7533A"/>
    <w:lvl w:ilvl="0" w:tentative="0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entative="0">
      <w:start w:val="1"/>
      <w:numFmt w:val="lowerLetter"/>
      <w:lvlText w:val="%2."/>
      <w:lvlJc w:val="left"/>
      <w:pPr>
        <w:ind w:left="2007" w:hanging="360"/>
      </w:pPr>
    </w:lvl>
    <w:lvl w:ilvl="2" w:tentative="0">
      <w:start w:val="1"/>
      <w:numFmt w:val="lowerRoman"/>
      <w:lvlText w:val="%3."/>
      <w:lvlJc w:val="right"/>
      <w:pPr>
        <w:ind w:left="2727" w:hanging="180"/>
      </w:pPr>
    </w:lvl>
    <w:lvl w:ilvl="3" w:tentative="0">
      <w:start w:val="1"/>
      <w:numFmt w:val="decimal"/>
      <w:lvlText w:val="%4."/>
      <w:lvlJc w:val="left"/>
      <w:pPr>
        <w:ind w:left="3447" w:hanging="360"/>
      </w:pPr>
    </w:lvl>
    <w:lvl w:ilvl="4" w:tentative="0">
      <w:start w:val="1"/>
      <w:numFmt w:val="lowerLetter"/>
      <w:lvlText w:val="%5."/>
      <w:lvlJc w:val="left"/>
      <w:pPr>
        <w:ind w:left="4167" w:hanging="360"/>
      </w:pPr>
    </w:lvl>
    <w:lvl w:ilvl="5" w:tentative="0">
      <w:start w:val="1"/>
      <w:numFmt w:val="lowerRoman"/>
      <w:lvlText w:val="%6."/>
      <w:lvlJc w:val="right"/>
      <w:pPr>
        <w:ind w:left="4887" w:hanging="180"/>
      </w:pPr>
    </w:lvl>
    <w:lvl w:ilvl="6" w:tentative="0">
      <w:start w:val="1"/>
      <w:numFmt w:val="decimal"/>
      <w:lvlText w:val="%7."/>
      <w:lvlJc w:val="left"/>
      <w:pPr>
        <w:ind w:left="5607" w:hanging="360"/>
      </w:pPr>
    </w:lvl>
    <w:lvl w:ilvl="7" w:tentative="0">
      <w:start w:val="1"/>
      <w:numFmt w:val="lowerLetter"/>
      <w:lvlText w:val="%8."/>
      <w:lvlJc w:val="left"/>
      <w:pPr>
        <w:ind w:left="6327" w:hanging="360"/>
      </w:pPr>
    </w:lvl>
    <w:lvl w:ilvl="8" w:tentative="0">
      <w:start w:val="1"/>
      <w:numFmt w:val="lowerRoman"/>
      <w:lvlText w:val="%9."/>
      <w:lvlJc w:val="right"/>
      <w:pPr>
        <w:ind w:left="7047" w:hanging="180"/>
      </w:pPr>
    </w:lvl>
  </w:abstractNum>
  <w:abstractNum w:abstractNumId="6">
    <w:nsid w:val="5B872465"/>
    <w:multiLevelType w:val="multilevel"/>
    <w:tmpl w:val="5B872465"/>
    <w:lvl w:ilvl="0" w:tentative="0">
      <w:start w:val="1"/>
      <w:numFmt w:val="lowerLetter"/>
      <w:lvlText w:val="%1)"/>
      <w:lvlJc w:val="left"/>
      <w:pPr>
        <w:ind w:left="1920" w:hanging="360"/>
      </w:pPr>
      <w:rPr>
        <w:rFonts w:hint="default" w:ascii="Times New Roman" w:hAnsi="Times New Roman" w:cs="Times New Roman"/>
        <w:sz w:val="24"/>
        <w:szCs w:val="24"/>
      </w:rPr>
    </w:lvl>
    <w:lvl w:ilvl="1" w:tentative="0">
      <w:start w:val="1"/>
      <w:numFmt w:val="lowerLetter"/>
      <w:lvlText w:val="%2."/>
      <w:lvlJc w:val="left"/>
      <w:pPr>
        <w:ind w:left="2640" w:hanging="360"/>
      </w:pPr>
    </w:lvl>
    <w:lvl w:ilvl="2" w:tentative="0">
      <w:start w:val="1"/>
      <w:numFmt w:val="lowerRoman"/>
      <w:lvlText w:val="%3."/>
      <w:lvlJc w:val="right"/>
      <w:pPr>
        <w:ind w:left="3360" w:hanging="180"/>
      </w:pPr>
    </w:lvl>
    <w:lvl w:ilvl="3" w:tentative="0">
      <w:start w:val="1"/>
      <w:numFmt w:val="decimal"/>
      <w:lvlText w:val="%4."/>
      <w:lvlJc w:val="left"/>
      <w:pPr>
        <w:ind w:left="4080" w:hanging="360"/>
      </w:pPr>
    </w:lvl>
    <w:lvl w:ilvl="4" w:tentative="0">
      <w:start w:val="1"/>
      <w:numFmt w:val="lowerLetter"/>
      <w:lvlText w:val="%5."/>
      <w:lvlJc w:val="left"/>
      <w:pPr>
        <w:ind w:left="4800" w:hanging="360"/>
      </w:pPr>
    </w:lvl>
    <w:lvl w:ilvl="5" w:tentative="0">
      <w:start w:val="1"/>
      <w:numFmt w:val="lowerRoman"/>
      <w:lvlText w:val="%6."/>
      <w:lvlJc w:val="right"/>
      <w:pPr>
        <w:ind w:left="5520" w:hanging="180"/>
      </w:pPr>
    </w:lvl>
    <w:lvl w:ilvl="6" w:tentative="0">
      <w:start w:val="1"/>
      <w:numFmt w:val="decimal"/>
      <w:lvlText w:val="%7."/>
      <w:lvlJc w:val="left"/>
      <w:pPr>
        <w:ind w:left="6240" w:hanging="360"/>
      </w:pPr>
    </w:lvl>
    <w:lvl w:ilvl="7" w:tentative="0">
      <w:start w:val="1"/>
      <w:numFmt w:val="lowerLetter"/>
      <w:lvlText w:val="%8."/>
      <w:lvlJc w:val="left"/>
      <w:pPr>
        <w:ind w:left="6960" w:hanging="360"/>
      </w:pPr>
    </w:lvl>
    <w:lvl w:ilvl="8" w:tentative="0">
      <w:start w:val="1"/>
      <w:numFmt w:val="lowerRoman"/>
      <w:lvlText w:val="%9."/>
      <w:lvlJc w:val="right"/>
      <w:pPr>
        <w:ind w:left="7680" w:hanging="180"/>
      </w:pPr>
    </w:lvl>
  </w:abstractNum>
  <w:abstractNum w:abstractNumId="7">
    <w:nsid w:val="5E6C10A4"/>
    <w:multiLevelType w:val="multilevel"/>
    <w:tmpl w:val="5E6C10A4"/>
    <w:lvl w:ilvl="0" w:tentative="0">
      <w:start w:val="1"/>
      <w:numFmt w:val="lowerLetter"/>
      <w:lvlText w:val="%1)"/>
      <w:lvlJc w:val="left"/>
      <w:pPr>
        <w:ind w:left="1841" w:hanging="360"/>
      </w:pPr>
      <w:rPr>
        <w:rFonts w:hint="default" w:ascii="Times New Roman" w:hAnsi="Times New Roman" w:cs="Times New Roman"/>
        <w:sz w:val="24"/>
        <w:szCs w:val="24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67487002"/>
    <w:multiLevelType w:val="multilevel"/>
    <w:tmpl w:val="67487002"/>
    <w:lvl w:ilvl="0" w:tentative="0">
      <w:start w:val="1"/>
      <w:numFmt w:val="decimal"/>
      <w:pStyle w:val="2"/>
      <w:lvlText w:val="§ %1"/>
      <w:lvlJc w:val="center"/>
      <w:pPr>
        <w:tabs>
          <w:tab w:val="left" w:pos="4613"/>
        </w:tabs>
        <w:ind w:left="3893" w:firstLine="360"/>
      </w:pPr>
      <w:rPr>
        <w:rFonts w:hint="default" w:ascii="Times New Roman" w:hAnsi="Times New Roman" w:cs="Times New Roman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spacing w:val="0"/>
        <w:kern w:val="0"/>
        <w:position w:val="0"/>
        <w:sz w:val="24"/>
        <w:szCs w:val="24"/>
        <w:u w:val="none"/>
        <w:vertAlign w:val="baseline"/>
      </w:rPr>
    </w:lvl>
    <w:lvl w:ilvl="1" w:tentative="0">
      <w:start w:val="1"/>
      <w:numFmt w:val="lowerLetter"/>
      <w:lvlText w:val="%2."/>
      <w:lvlJc w:val="left"/>
      <w:pPr>
        <w:tabs>
          <w:tab w:val="left" w:pos="833"/>
        </w:tabs>
        <w:ind w:left="833" w:hanging="360"/>
      </w:pPr>
    </w:lvl>
    <w:lvl w:ilvl="2" w:tentative="0">
      <w:start w:val="1"/>
      <w:numFmt w:val="lowerRoman"/>
      <w:lvlText w:val="%3."/>
      <w:lvlJc w:val="right"/>
      <w:pPr>
        <w:tabs>
          <w:tab w:val="left" w:pos="1553"/>
        </w:tabs>
        <w:ind w:left="1553" w:hanging="180"/>
      </w:pPr>
    </w:lvl>
    <w:lvl w:ilvl="3" w:tentative="0">
      <w:start w:val="1"/>
      <w:numFmt w:val="decimal"/>
      <w:lvlText w:val="%4."/>
      <w:lvlJc w:val="left"/>
      <w:pPr>
        <w:tabs>
          <w:tab w:val="left" w:pos="2273"/>
        </w:tabs>
        <w:ind w:left="2273" w:hanging="360"/>
      </w:pPr>
    </w:lvl>
    <w:lvl w:ilvl="4" w:tentative="0">
      <w:start w:val="1"/>
      <w:numFmt w:val="lowerLetter"/>
      <w:lvlText w:val="%5."/>
      <w:lvlJc w:val="left"/>
      <w:pPr>
        <w:tabs>
          <w:tab w:val="left" w:pos="2993"/>
        </w:tabs>
        <w:ind w:left="2993" w:hanging="360"/>
      </w:pPr>
    </w:lvl>
    <w:lvl w:ilvl="5" w:tentative="0">
      <w:start w:val="1"/>
      <w:numFmt w:val="lowerRoman"/>
      <w:lvlText w:val="%6."/>
      <w:lvlJc w:val="right"/>
      <w:pPr>
        <w:tabs>
          <w:tab w:val="left" w:pos="3713"/>
        </w:tabs>
        <w:ind w:left="3713" w:hanging="180"/>
      </w:pPr>
    </w:lvl>
    <w:lvl w:ilvl="6" w:tentative="0">
      <w:start w:val="1"/>
      <w:numFmt w:val="decimal"/>
      <w:lvlText w:val="(%7)"/>
      <w:lvlJc w:val="left"/>
      <w:pPr>
        <w:tabs>
          <w:tab w:val="left" w:pos="4463"/>
        </w:tabs>
        <w:ind w:left="4463" w:hanging="390"/>
      </w:pPr>
      <w:rPr>
        <w:rFonts w:hint="default"/>
      </w:rPr>
    </w:lvl>
    <w:lvl w:ilvl="7" w:tentative="0">
      <w:start w:val="1"/>
      <w:numFmt w:val="lowerLetter"/>
      <w:lvlText w:val="%8."/>
      <w:lvlJc w:val="left"/>
      <w:pPr>
        <w:tabs>
          <w:tab w:val="left" w:pos="5153"/>
        </w:tabs>
        <w:ind w:left="5153" w:hanging="360"/>
      </w:pPr>
    </w:lvl>
    <w:lvl w:ilvl="8" w:tentative="0">
      <w:start w:val="1"/>
      <w:numFmt w:val="lowerRoman"/>
      <w:lvlText w:val="%9."/>
      <w:lvlJc w:val="right"/>
      <w:pPr>
        <w:tabs>
          <w:tab w:val="left" w:pos="5873"/>
        </w:tabs>
        <w:ind w:left="5873" w:hanging="180"/>
      </w:pPr>
    </w:lvl>
  </w:abstractNum>
  <w:abstractNum w:abstractNumId="9">
    <w:nsid w:val="722E19D6"/>
    <w:multiLevelType w:val="multilevel"/>
    <w:tmpl w:val="722E19D6"/>
    <w:lvl w:ilvl="0" w:tentative="0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7A056FA8"/>
    <w:multiLevelType w:val="multilevel"/>
    <w:tmpl w:val="7A056FA8"/>
    <w:lvl w:ilvl="0" w:tentative="0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3"/>
  </w:num>
  <w:num w:numId="3">
    <w:abstractNumId w:val="4"/>
  </w:num>
  <w:num w:numId="4">
    <w:abstractNumId w:val="2"/>
  </w:num>
  <w:num w:numId="5">
    <w:abstractNumId w:val="6"/>
  </w:num>
  <w:num w:numId="6">
    <w:abstractNumId w:val="5"/>
  </w:num>
  <w:num w:numId="7">
    <w:abstractNumId w:val="0"/>
  </w:num>
  <w:num w:numId="8">
    <w:abstractNumId w:val="7"/>
  </w:num>
  <w:num w:numId="9">
    <w:abstractNumId w:val="1"/>
  </w:num>
  <w:num w:numId="10">
    <w:abstractNumId w:val="10"/>
  </w:num>
  <w:num w:numId="11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NotDisplayPageBoundaries w:val="1"/>
  <w:documentProtection w:enforcement="0"/>
  <w:defaultTabStop w:val="709"/>
  <w:hyphenationZone w:val="425"/>
  <w:noPunctuationKerning w:val="1"/>
  <w:characterSpacingControl w:val="doNotCompress"/>
  <w:compat>
    <w:compatSetting w:name="compatibilityMode" w:uri="http://schemas.microsoft.com/office/word" w:val="12"/>
  </w:compat>
  <w:rsids>
    <w:rsidRoot w:val="0002184E"/>
    <w:rsid w:val="00017769"/>
    <w:rsid w:val="0002184E"/>
    <w:rsid w:val="00033903"/>
    <w:rsid w:val="00035DF7"/>
    <w:rsid w:val="000363E9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22B5"/>
    <w:rsid w:val="000C50DA"/>
    <w:rsid w:val="000C67DA"/>
    <w:rsid w:val="000D00F5"/>
    <w:rsid w:val="000D2BAA"/>
    <w:rsid w:val="000E000C"/>
    <w:rsid w:val="000F4315"/>
    <w:rsid w:val="000F7A09"/>
    <w:rsid w:val="00106EF5"/>
    <w:rsid w:val="00114AF7"/>
    <w:rsid w:val="0011529D"/>
    <w:rsid w:val="00115986"/>
    <w:rsid w:val="00117DCC"/>
    <w:rsid w:val="0012092D"/>
    <w:rsid w:val="00136819"/>
    <w:rsid w:val="0015355C"/>
    <w:rsid w:val="001636EA"/>
    <w:rsid w:val="00176DB6"/>
    <w:rsid w:val="00180E8F"/>
    <w:rsid w:val="001869C8"/>
    <w:rsid w:val="00197F6B"/>
    <w:rsid w:val="001A51A7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4F94"/>
    <w:rsid w:val="002A6261"/>
    <w:rsid w:val="002B06B6"/>
    <w:rsid w:val="002C07D3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295E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2380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43C8A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3DB8"/>
    <w:rsid w:val="004E4D49"/>
    <w:rsid w:val="004F3255"/>
    <w:rsid w:val="004F748F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32C49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75BB2"/>
    <w:rsid w:val="005807A7"/>
    <w:rsid w:val="0058167E"/>
    <w:rsid w:val="0058574B"/>
    <w:rsid w:val="00585DA3"/>
    <w:rsid w:val="005931D5"/>
    <w:rsid w:val="00593920"/>
    <w:rsid w:val="005A0D3D"/>
    <w:rsid w:val="005A1EBD"/>
    <w:rsid w:val="005C18A1"/>
    <w:rsid w:val="005C520B"/>
    <w:rsid w:val="005D5573"/>
    <w:rsid w:val="005E076F"/>
    <w:rsid w:val="005E2BB6"/>
    <w:rsid w:val="005E5955"/>
    <w:rsid w:val="005E6063"/>
    <w:rsid w:val="005E6D20"/>
    <w:rsid w:val="005E730F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80087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3465D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9F62B0"/>
    <w:rsid w:val="00A06093"/>
    <w:rsid w:val="00A077C8"/>
    <w:rsid w:val="00A2262B"/>
    <w:rsid w:val="00A362B4"/>
    <w:rsid w:val="00A37E53"/>
    <w:rsid w:val="00A42995"/>
    <w:rsid w:val="00A459C4"/>
    <w:rsid w:val="00A47523"/>
    <w:rsid w:val="00A5461B"/>
    <w:rsid w:val="00A55517"/>
    <w:rsid w:val="00A600D2"/>
    <w:rsid w:val="00A667BB"/>
    <w:rsid w:val="00A72848"/>
    <w:rsid w:val="00A755E0"/>
    <w:rsid w:val="00A775B6"/>
    <w:rsid w:val="00A80634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0C9E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83CD4"/>
    <w:rsid w:val="00B861E8"/>
    <w:rsid w:val="00B91F3E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1FE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44D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E3743"/>
    <w:rsid w:val="00CF00BD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7541"/>
    <w:rsid w:val="00F376CC"/>
    <w:rsid w:val="00F379D1"/>
    <w:rsid w:val="00F4105A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B2096"/>
    <w:rsid w:val="00FC09CE"/>
    <w:rsid w:val="00FD0B26"/>
    <w:rsid w:val="00FE5C71"/>
    <w:rsid w:val="00FE678A"/>
    <w:rsid w:val="00FF49FC"/>
    <w:rsid w:val="75DE7A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Times New Roman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nhideWhenUsed="0" w:uiPriority="0" w:semiHidden="0" w:name="heading 3"/>
    <w:lsdException w:qFormat="1" w:unhideWhenUsed="0" w:uiPriority="0" w:semiHidden="0" w:name="heading 4"/>
    <w:lsdException w:qFormat="1" w:unhideWhenUsed="0" w:uiPriority="0" w:semiHidden="0" w:name="heading 5"/>
    <w:lsdException w:qFormat="1" w:unhideWhenUsed="0" w:uiPriority="0" w:semiHidden="0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qFormat="1" w:unhideWhenUsed="0" w:uiPriority="0" w:name="footnote text"/>
    <w:lsdException w:uiPriority="99" w:name="annotation text"/>
    <w:lsdException w:qFormat="1" w:unhideWhenUsed="0" w:uiPriority="99" w:semiHidden="0" w:name="header"/>
    <w:lsdException w:qFormat="1" w:unhideWhenUsed="0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qFormat="1" w:unhideWhenUsed="0" w:uiPriority="0" w:name="footnote reference"/>
    <w:lsdException w:uiPriority="99" w:name="annotation reference"/>
    <w:lsdException w:uiPriority="99" w:name="line number"/>
    <w:lsdException w:qFormat="1" w:unhideWhenUsed="0" w:uiPriority="0" w:name="page number"/>
    <w:lsdException w:qFormat="1" w:uiPriority="99" w:name="endnote reference"/>
    <w:lsdException w:qFormat="1"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qFormat="1" w:unhideWhenUsed="0" w:uiPriority="0" w:name="Body Text"/>
    <w:lsdException w:qFormat="1" w:unhideWhenUsed="0" w:uiPriority="0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qFormat="1" w:unhideWhenUsed="0" w:uiPriority="0" w:name="Body Text 2"/>
    <w:lsdException w:qFormat="1" w:unhideWhenUsed="0" w:uiPriority="0" w:name="Body Text 3"/>
    <w:lsdException w:qFormat="1" w:unhideWhenUsed="0" w:uiPriority="0" w:name="Body Text Indent 2"/>
    <w:lsdException w:qFormat="1" w:unhideWhenUsed="0" w:uiPriority="0" w:name="Body Text Indent 3"/>
    <w:lsdException w:qFormat="1" w:unhideWhenUsed="0" w:uiPriority="0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qFormat="1" w:unhideWhenUsed="0" w:uiPriority="9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rPr>
      <w:rFonts w:ascii="Times New Roman" w:hAnsi="Times New Roman" w:eastAsia="Times New Roman" w:cs="Times New Roman"/>
      <w:sz w:val="24"/>
      <w:szCs w:val="24"/>
      <w:lang w:val="sk-SK" w:eastAsia="sk-SK" w:bidi="ar-SA"/>
    </w:rPr>
  </w:style>
  <w:style w:type="paragraph" w:styleId="2">
    <w:name w:val="heading 1"/>
    <w:next w:val="3"/>
    <w:qFormat/>
    <w:uiPriority w:val="0"/>
    <w:pPr>
      <w:keepNext/>
      <w:numPr>
        <w:ilvl w:val="0"/>
        <w:numId w:val="1"/>
      </w:numPr>
      <w:spacing w:before="240" w:after="60"/>
      <w:jc w:val="center"/>
      <w:outlineLvl w:val="0"/>
    </w:pPr>
    <w:rPr>
      <w:rFonts w:ascii="Times New Roman" w:hAnsi="Times New Roman" w:eastAsia="Times New Roman" w:cs="Arial"/>
      <w:b/>
      <w:bCs/>
      <w:kern w:val="32"/>
      <w:sz w:val="24"/>
      <w:szCs w:val="32"/>
      <w:lang w:val="sk-SK" w:eastAsia="sk-SK" w:bidi="ar-SA"/>
    </w:rPr>
  </w:style>
  <w:style w:type="paragraph" w:styleId="3">
    <w:name w:val="heading 2"/>
    <w:basedOn w:val="1"/>
    <w:next w:val="1"/>
    <w:qFormat/>
    <w:uiPriority w:val="0"/>
    <w:pPr>
      <w:keepNext/>
      <w:spacing w:after="120"/>
      <w:jc w:val="center"/>
      <w:outlineLvl w:val="1"/>
    </w:pPr>
    <w:rPr>
      <w:b/>
    </w:rPr>
  </w:style>
  <w:style w:type="paragraph" w:styleId="4">
    <w:name w:val="heading 3"/>
    <w:basedOn w:val="1"/>
    <w:next w:val="1"/>
    <w:qFormat/>
    <w:uiPriority w:val="0"/>
    <w:pPr>
      <w:keepNext/>
      <w:jc w:val="both"/>
      <w:outlineLvl w:val="2"/>
    </w:pPr>
    <w:rPr>
      <w:b/>
      <w:u w:val="single"/>
    </w:rPr>
  </w:style>
  <w:style w:type="paragraph" w:styleId="5">
    <w:name w:val="heading 4"/>
    <w:basedOn w:val="1"/>
    <w:next w:val="1"/>
    <w:qFormat/>
    <w:uiPriority w:val="0"/>
    <w:pPr>
      <w:keepNext/>
      <w:keepLines/>
      <w:ind w:firstLine="357"/>
      <w:jc w:val="both"/>
      <w:outlineLvl w:val="3"/>
    </w:pPr>
    <w:rPr>
      <w:b/>
    </w:rPr>
  </w:style>
  <w:style w:type="paragraph" w:styleId="6">
    <w:name w:val="heading 5"/>
    <w:basedOn w:val="1"/>
    <w:next w:val="1"/>
    <w:qFormat/>
    <w:uiPriority w:val="0"/>
    <w:pPr>
      <w:keepNext/>
      <w:keepLines/>
      <w:ind w:firstLine="360"/>
      <w:jc w:val="both"/>
      <w:outlineLvl w:val="4"/>
    </w:pPr>
    <w:rPr>
      <w:b/>
    </w:rPr>
  </w:style>
  <w:style w:type="paragraph" w:styleId="7">
    <w:name w:val="heading 6"/>
    <w:basedOn w:val="1"/>
    <w:next w:val="1"/>
    <w:qFormat/>
    <w:uiPriority w:val="0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8">
    <w:name w:val="Default Paragraph Font"/>
    <w:semiHidden/>
    <w:unhideWhenUsed/>
    <w:qFormat/>
    <w:uiPriority w:val="1"/>
  </w:style>
  <w:style w:type="table" w:default="1" w:styleId="9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10">
    <w:name w:val="Balloon Text"/>
    <w:basedOn w:val="1"/>
    <w:link w:val="31"/>
    <w:semiHidden/>
    <w:unhideWhenUsed/>
    <w:qFormat/>
    <w:uiPriority w:val="99"/>
    <w:rPr>
      <w:rFonts w:ascii="Tahoma" w:hAnsi="Tahoma"/>
      <w:sz w:val="16"/>
      <w:szCs w:val="16"/>
    </w:rPr>
  </w:style>
  <w:style w:type="paragraph" w:styleId="11">
    <w:name w:val="Block Text"/>
    <w:basedOn w:val="1"/>
    <w:semiHidden/>
    <w:qFormat/>
    <w:uiPriority w:val="0"/>
    <w:pPr>
      <w:ind w:left="1680" w:right="-468" w:hanging="240"/>
    </w:pPr>
  </w:style>
  <w:style w:type="paragraph" w:styleId="12">
    <w:name w:val="Body Text"/>
    <w:basedOn w:val="1"/>
    <w:semiHidden/>
    <w:qFormat/>
    <w:uiPriority w:val="0"/>
    <w:rPr>
      <w:rFonts w:ascii="Arial" w:hAnsi="Arial" w:cs="Arial"/>
      <w:sz w:val="20"/>
      <w:szCs w:val="18"/>
      <w:lang w:val="en-GB"/>
    </w:rPr>
  </w:style>
  <w:style w:type="paragraph" w:styleId="13">
    <w:name w:val="Body Text 2"/>
    <w:basedOn w:val="1"/>
    <w:semiHidden/>
    <w:qFormat/>
    <w:uiPriority w:val="0"/>
    <w:pPr>
      <w:jc w:val="both"/>
    </w:pPr>
  </w:style>
  <w:style w:type="paragraph" w:styleId="14">
    <w:name w:val="Body Text 3"/>
    <w:basedOn w:val="1"/>
    <w:semiHidden/>
    <w:qFormat/>
    <w:uiPriority w:val="0"/>
    <w:pPr>
      <w:ind w:right="-468"/>
      <w:jc w:val="both"/>
    </w:pPr>
    <w:rPr>
      <w:b/>
      <w:bCs/>
    </w:rPr>
  </w:style>
  <w:style w:type="paragraph" w:styleId="15">
    <w:name w:val="Body Text Indent"/>
    <w:basedOn w:val="1"/>
    <w:semiHidden/>
    <w:qFormat/>
    <w:uiPriority w:val="0"/>
    <w:pPr>
      <w:ind w:firstLine="360"/>
      <w:jc w:val="both"/>
    </w:pPr>
  </w:style>
  <w:style w:type="paragraph" w:styleId="16">
    <w:name w:val="Body Text Indent 2"/>
    <w:basedOn w:val="1"/>
    <w:semiHidden/>
    <w:qFormat/>
    <w:uiPriority w:val="0"/>
    <w:pPr>
      <w:ind w:firstLine="360"/>
    </w:pPr>
  </w:style>
  <w:style w:type="paragraph" w:styleId="17">
    <w:name w:val="Body Text Indent 3"/>
    <w:basedOn w:val="1"/>
    <w:semiHidden/>
    <w:qFormat/>
    <w:uiPriority w:val="0"/>
    <w:pPr>
      <w:ind w:right="-468" w:firstLine="720"/>
      <w:jc w:val="both"/>
    </w:pPr>
    <w:rPr>
      <w:bCs/>
    </w:rPr>
  </w:style>
  <w:style w:type="character" w:styleId="18">
    <w:name w:val="endnote reference"/>
    <w:semiHidden/>
    <w:unhideWhenUsed/>
    <w:qFormat/>
    <w:uiPriority w:val="99"/>
    <w:rPr>
      <w:vertAlign w:val="superscript"/>
    </w:rPr>
  </w:style>
  <w:style w:type="paragraph" w:styleId="19">
    <w:name w:val="endnote text"/>
    <w:basedOn w:val="1"/>
    <w:link w:val="29"/>
    <w:semiHidden/>
    <w:unhideWhenUsed/>
    <w:qFormat/>
    <w:uiPriority w:val="99"/>
    <w:rPr>
      <w:sz w:val="20"/>
      <w:szCs w:val="20"/>
    </w:rPr>
  </w:style>
  <w:style w:type="paragraph" w:styleId="20">
    <w:name w:val="footer"/>
    <w:basedOn w:val="1"/>
    <w:link w:val="27"/>
    <w:qFormat/>
    <w:uiPriority w:val="99"/>
    <w:pPr>
      <w:tabs>
        <w:tab w:val="center" w:pos="4536"/>
        <w:tab w:val="right" w:pos="9072"/>
      </w:tabs>
      <w:jc w:val="right"/>
    </w:pPr>
  </w:style>
  <w:style w:type="character" w:styleId="21">
    <w:name w:val="footnote reference"/>
    <w:semiHidden/>
    <w:qFormat/>
    <w:uiPriority w:val="0"/>
    <w:rPr>
      <w:vertAlign w:val="superscript"/>
    </w:rPr>
  </w:style>
  <w:style w:type="paragraph" w:styleId="22">
    <w:name w:val="footnote text"/>
    <w:basedOn w:val="1"/>
    <w:semiHidden/>
    <w:qFormat/>
    <w:uiPriority w:val="0"/>
    <w:rPr>
      <w:sz w:val="20"/>
      <w:szCs w:val="20"/>
    </w:rPr>
  </w:style>
  <w:style w:type="paragraph" w:styleId="23">
    <w:name w:val="header"/>
    <w:basedOn w:val="1"/>
    <w:link w:val="30"/>
    <w:qFormat/>
    <w:uiPriority w:val="99"/>
    <w:pPr>
      <w:tabs>
        <w:tab w:val="center" w:pos="4703"/>
        <w:tab w:val="right" w:pos="9406"/>
      </w:tabs>
    </w:pPr>
  </w:style>
  <w:style w:type="character" w:styleId="24">
    <w:name w:val="page number"/>
    <w:basedOn w:val="8"/>
    <w:semiHidden/>
    <w:qFormat/>
    <w:uiPriority w:val="0"/>
  </w:style>
  <w:style w:type="table" w:styleId="25">
    <w:name w:val="Table Grid"/>
    <w:basedOn w:val="9"/>
    <w:qFormat/>
    <w:uiPriority w:val="99"/>
    <w:tblPr>
      <w:tblBorders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  <w:insideH w:val="single" w:color="000000" w:sz="4" w:space="0"/>
        <w:insideV w:val="single" w:color="000000" w:sz="4" w:space="0"/>
      </w:tblBorders>
    </w:tblPr>
  </w:style>
  <w:style w:type="paragraph" w:customStyle="1" w:styleId="26">
    <w:name w:val="Základní text1"/>
    <w:qFormat/>
    <w:uiPriority w:val="0"/>
    <w:pPr>
      <w:spacing w:after="240"/>
      <w:jc w:val="both"/>
    </w:pPr>
    <w:rPr>
      <w:rFonts w:ascii="Times New Roman" w:hAnsi="Times New Roman" w:eastAsia="Times New Roman" w:cs="Times New Roman"/>
      <w:snapToGrid w:val="0"/>
      <w:color w:val="000000"/>
      <w:sz w:val="24"/>
      <w:lang w:val="sk-SK" w:eastAsia="sk-SK" w:bidi="ar-SA"/>
    </w:rPr>
  </w:style>
  <w:style w:type="character" w:customStyle="1" w:styleId="27">
    <w:name w:val="Päta Char"/>
    <w:link w:val="20"/>
    <w:qFormat/>
    <w:uiPriority w:val="99"/>
    <w:rPr>
      <w:sz w:val="24"/>
      <w:szCs w:val="24"/>
    </w:rPr>
  </w:style>
  <w:style w:type="paragraph" w:styleId="28">
    <w:name w:val="List Paragraph"/>
    <w:basedOn w:val="1"/>
    <w:link w:val="36"/>
    <w:qFormat/>
    <w:uiPriority w:val="34"/>
    <w:pPr>
      <w:ind w:left="708"/>
    </w:pPr>
  </w:style>
  <w:style w:type="character" w:customStyle="1" w:styleId="29">
    <w:name w:val="Text vysvetlivky Char"/>
    <w:basedOn w:val="8"/>
    <w:link w:val="19"/>
    <w:semiHidden/>
    <w:qFormat/>
    <w:uiPriority w:val="99"/>
  </w:style>
  <w:style w:type="character" w:customStyle="1" w:styleId="30">
    <w:name w:val="Hlavička Char"/>
    <w:link w:val="23"/>
    <w:uiPriority w:val="99"/>
    <w:rPr>
      <w:sz w:val="24"/>
      <w:szCs w:val="24"/>
    </w:rPr>
  </w:style>
  <w:style w:type="character" w:customStyle="1" w:styleId="31">
    <w:name w:val="Text bubliny Char"/>
    <w:link w:val="10"/>
    <w:semiHidden/>
    <w:uiPriority w:val="99"/>
    <w:rPr>
      <w:rFonts w:ascii="Tahoma" w:hAnsi="Tahoma" w:cs="Tahoma"/>
      <w:sz w:val="16"/>
      <w:szCs w:val="16"/>
    </w:rPr>
  </w:style>
  <w:style w:type="paragraph" w:customStyle="1" w:styleId="32">
    <w:name w:val="Štýl1"/>
    <w:basedOn w:val="20"/>
    <w:link w:val="34"/>
    <w:qFormat/>
    <w:uiPriority w:val="0"/>
  </w:style>
  <w:style w:type="character" w:customStyle="1" w:styleId="33">
    <w:name w:val="tl"/>
    <w:basedOn w:val="8"/>
    <w:uiPriority w:val="0"/>
  </w:style>
  <w:style w:type="character" w:customStyle="1" w:styleId="34">
    <w:name w:val="Štýl1 Char"/>
    <w:basedOn w:val="27"/>
    <w:link w:val="32"/>
    <w:uiPriority w:val="0"/>
    <w:rPr>
      <w:sz w:val="24"/>
      <w:szCs w:val="24"/>
    </w:rPr>
  </w:style>
  <w:style w:type="character" w:customStyle="1" w:styleId="35">
    <w:name w:val="ra"/>
    <w:basedOn w:val="8"/>
    <w:qFormat/>
    <w:uiPriority w:val="0"/>
  </w:style>
  <w:style w:type="character" w:customStyle="1" w:styleId="36">
    <w:name w:val="Odsek zoznamu Char"/>
    <w:link w:val="28"/>
    <w:locked/>
    <w:uiPriority w:val="34"/>
    <w:rPr>
      <w:sz w:val="24"/>
      <w:szCs w:val="24"/>
    </w:rPr>
  </w:style>
  <w:style w:type="paragraph" w:customStyle="1" w:styleId="37">
    <w:name w:val="Top Header"/>
    <w:basedOn w:val="1"/>
    <w:qFormat/>
    <w:uiPriority w:val="0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numbering" Target="numbering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0C290DD-4373-4628-9E3F-5D98051B0E2E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4</Pages>
  <Words>1177</Words>
  <Characters>7103</Characters>
  <Lines>60</Lines>
  <Paragraphs>17</Paragraphs>
  <TotalTime>10</TotalTime>
  <ScaleCrop>false</ScaleCrop>
  <LinksUpToDate>false</LinksUpToDate>
  <CharactersWithSpaces>8204</CharactersWithSpaces>
  <Application>WPS Office_12.1.0.26880_F1E327BC-269C-435d-A152-05C5408002CA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2016-03-30T06:29:00Z</dcterms:created>
  <dc:creator>maria</dc:creator>
  <cp:lastModifiedBy>PizurovaR</cp:lastModifiedBy>
  <cp:lastPrinted>2016-01-30T12:28:00Z</cp:lastPrinted>
  <dcterms:modified xsi:type="dcterms:W3CDTF">2026-06-25T09:06:48Z</dcterms:modified>
  <dc:title>Opatrenie</dc:title>
  <cp:revision>8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eyJoZGlkIjoiYzE5NjNmYzc4ZjZiYWI1MmU4YTUyM2U4Nzc0NGU5OWEifQ==</vt:lpwstr>
  </property>
  <property fmtid="{D5CDD505-2E9C-101B-9397-08002B2CF9AE}" pid="3" name="KSOProductBuildVer">
    <vt:lpwstr>1033-12.1.0.26880</vt:lpwstr>
  </property>
  <property fmtid="{D5CDD505-2E9C-101B-9397-08002B2CF9AE}" pid="4" name="ICV">
    <vt:lpwstr>CBD5DF1E37FE4F6093169AED86CA223A_12</vt:lpwstr>
  </property>
</Properties>
</file>