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0C1649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Čl. I</w:t>
      </w:r>
    </w:p>
    <w:p w14:paraId="67BFBE17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>Všeobecné údaje</w:t>
      </w:r>
    </w:p>
    <w:p w14:paraId="41EC74D0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274A1E17">
      <w:pPr>
        <w:numPr>
          <w:ilvl w:val="0"/>
          <w:numId w:val="2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9"/>
        <w:gridCol w:w="7083"/>
      </w:tblGrid>
      <w:tr w14:paraId="2A0984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1096" w:type="pct"/>
            <w:vAlign w:val="center"/>
          </w:tcPr>
          <w:p w14:paraId="6171199E">
            <w:pPr>
              <w:rPr>
                <w:rFonts w:ascii="Arial" w:hAnsi="Arial" w:cs="Arial"/>
                <w:sz w:val="20"/>
                <w:szCs w:val="22"/>
              </w:rPr>
            </w:pPr>
          </w:p>
          <w:p w14:paraId="4AF0A44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CDA33F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NEVA STAV s.r.o.</w:t>
            </w:r>
          </w:p>
        </w:tc>
      </w:tr>
      <w:tr w14:paraId="620D5C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96" w:type="pct"/>
            <w:vAlign w:val="center"/>
          </w:tcPr>
          <w:p w14:paraId="4A1C767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0FA6BF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Štvrtok 123, 913 05</w:t>
            </w:r>
          </w:p>
        </w:tc>
      </w:tr>
    </w:tbl>
    <w:p w14:paraId="35A12ABB">
      <w:pPr>
        <w:jc w:val="both"/>
        <w:rPr>
          <w:rFonts w:ascii="Arial" w:hAnsi="Arial" w:cs="Arial"/>
          <w:sz w:val="20"/>
        </w:rPr>
      </w:pPr>
    </w:p>
    <w:p w14:paraId="02F11830">
      <w:pPr>
        <w:numPr>
          <w:ilvl w:val="0"/>
          <w:numId w:val="2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Údaje o konsolidovanom celku:   Účtovná jednotka </w:t>
      </w:r>
      <w:r>
        <w:rPr>
          <w:rFonts w:ascii="Arial" w:hAnsi="Arial" w:cs="Arial"/>
          <w:b/>
          <w:sz w:val="20"/>
        </w:rPr>
        <w:t>nie je</w:t>
      </w:r>
      <w:r>
        <w:rPr>
          <w:rFonts w:ascii="Arial" w:hAnsi="Arial" w:cs="Arial"/>
          <w:sz w:val="20"/>
        </w:rPr>
        <w:t xml:space="preserve"> súčasťou konsolidovaného celku.</w:t>
      </w:r>
    </w:p>
    <w:p w14:paraId="76398B27">
      <w:pPr>
        <w:numPr>
          <w:ilvl w:val="0"/>
          <w:numId w:val="2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Priemerný prepočítaný počet zamestnancov: 1  </w:t>
      </w:r>
    </w:p>
    <w:p w14:paraId="189C4D56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F4F9184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8E5469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</w:t>
      </w:r>
    </w:p>
    <w:p w14:paraId="714929B7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 o prijatých postupoch</w:t>
      </w:r>
    </w:p>
    <w:p w14:paraId="1ED24F10">
      <w:pPr>
        <w:ind w:left="1121"/>
        <w:jc w:val="both"/>
        <w:rPr>
          <w:rFonts w:ascii="Arial" w:hAnsi="Arial" w:cs="Arial"/>
          <w:b/>
          <w:sz w:val="20"/>
        </w:rPr>
      </w:pPr>
    </w:p>
    <w:p w14:paraId="052FDCC7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zostavená za splnenia predpokladu, že účtovná jednotka </w:t>
      </w:r>
      <w:r>
        <w:rPr>
          <w:rFonts w:ascii="Arial" w:hAnsi="Arial" w:cs="Arial"/>
          <w:b/>
          <w:sz w:val="20"/>
          <w:u w:val="single"/>
        </w:rPr>
        <w:t>bude</w:t>
      </w:r>
      <w:r>
        <w:rPr>
          <w:rFonts w:ascii="Arial" w:hAnsi="Arial" w:cs="Arial"/>
          <w:sz w:val="20"/>
        </w:rPr>
        <w:t xml:space="preserve"> nepretržite</w:t>
      </w:r>
    </w:p>
    <w:p w14:paraId="1835681B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pokračovať vo svojej činnosti</w:t>
      </w:r>
    </w:p>
    <w:p w14:paraId="53E794EC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6804F2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7648F5A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14:paraId="75A5CA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20CFED0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3C41D5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069F13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4547AB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7F394C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1E77C1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FBCB9D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263370B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75FADC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34CB46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0B0B41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76E969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3F5B8F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74C64F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455CAB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38D55D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023B82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F2386FB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0CCE97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60FE09E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14:paraId="650567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C9D502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A193B5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17A42B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B53C72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80CA1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F22D0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017D92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DF15A5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1FDCAB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5A11C4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0C710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FA9EA96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6B71D7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</w:tcPr>
          <w:p w14:paraId="649962D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14:paraId="39EADB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0955EA19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002790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2E4D7A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02017598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D09069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52F0F0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6D64A6C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95EBFC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0535780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5F95B9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1850674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Reálnou hodnotou </w:t>
            </w:r>
          </w:p>
        </w:tc>
      </w:tr>
      <w:tr w14:paraId="7F9D7C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E0D593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12550E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B622EF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6A9D63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0167150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14:paraId="393EB6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2F4E48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7EF7A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EDAD1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5DE616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F4BED4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7CFFF4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BB0705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AD331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3263D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725DDF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24D42F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90EA85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6481865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68B0BA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6DC9A2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812C4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30D1A2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C332F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EFE47D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C16F7D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82EF3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7966B3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2B7151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14B213B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EAC0C7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179C85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3FA7AA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účelypodľa zákona o daniach z príjmov pri sadzbe 2</w:t>
            </w:r>
            <w:r>
              <w:rPr>
                <w:rFonts w:hint="default" w:ascii="Arial" w:hAnsi="Arial" w:cs="Arial"/>
                <w:bCs/>
                <w:sz w:val="20"/>
                <w:szCs w:val="22"/>
                <w:lang w:val="sk-SK"/>
              </w:rPr>
              <w:t>1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B402A1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199E9F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6AB8BB2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nevýznamneý </w:t>
            </w:r>
          </w:p>
          <w:p w14:paraId="4BEFFB3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084599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06E116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5E8687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7569CBB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14:paraId="76BA276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A17F7D6">
      <w:pPr>
        <w:jc w:val="both"/>
        <w:rPr>
          <w:rFonts w:ascii="Arial" w:hAnsi="Arial" w:cs="Arial"/>
          <w:sz w:val="20"/>
          <w:szCs w:val="22"/>
        </w:rPr>
      </w:pPr>
    </w:p>
    <w:p w14:paraId="348BCDEB">
      <w:pPr>
        <w:jc w:val="both"/>
        <w:rPr>
          <w:rFonts w:ascii="Arial" w:hAnsi="Arial" w:cs="Arial"/>
          <w:sz w:val="20"/>
          <w:szCs w:val="22"/>
        </w:rPr>
      </w:pPr>
    </w:p>
    <w:p w14:paraId="72678FE7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zostavenia odpisového plánu pre jednotlivé druhy dlhodobého hmotného</w:t>
      </w:r>
    </w:p>
    <w:p w14:paraId="0A088177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035B5F1E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70"/>
        <w:gridCol w:w="1665"/>
        <w:gridCol w:w="337"/>
      </w:tblGrid>
      <w:tr w14:paraId="4A8909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5" w:type="dxa"/>
            <w:gridSpan w:val="2"/>
            <w:tcBorders>
              <w:right w:val="single" w:color="auto" w:sz="4" w:space="0"/>
            </w:tcBorders>
          </w:tcPr>
          <w:p w14:paraId="635CAD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</w:t>
            </w:r>
            <w:bookmarkStart w:id="1" w:name="_GoBack"/>
            <w:r>
              <w:rPr>
                <w:rFonts w:ascii="Arial" w:hAnsi="Arial" w:cs="Arial"/>
                <w:sz w:val="20"/>
                <w:szCs w:val="22"/>
              </w:rPr>
              <w:t>ú</w:t>
            </w:r>
            <w:bookmarkEnd w:id="1"/>
            <w:r>
              <w:rPr>
                <w:rFonts w:ascii="Arial" w:hAnsi="Arial" w:cs="Arial"/>
                <w:sz w:val="20"/>
                <w:szCs w:val="22"/>
              </w:rPr>
              <w:t xml:space="preserve">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7584A29B">
            <w:pPr>
              <w:rPr>
                <w:rFonts w:ascii="Arial" w:hAnsi="Arial" w:cs="Arial"/>
                <w:sz w:val="18"/>
              </w:rPr>
            </w:pPr>
          </w:p>
          <w:p w14:paraId="7C5F0E4A">
            <w:pPr>
              <w:rPr>
                <w:rFonts w:ascii="Arial" w:hAnsi="Arial" w:cs="Arial"/>
                <w:sz w:val="18"/>
              </w:rPr>
            </w:pPr>
          </w:p>
          <w:p w14:paraId="65B421FE">
            <w:pPr>
              <w:rPr>
                <w:rFonts w:ascii="Arial" w:hAnsi="Arial" w:cs="Arial"/>
                <w:sz w:val="18"/>
              </w:rPr>
            </w:pPr>
          </w:p>
        </w:tc>
      </w:tr>
      <w:tr w14:paraId="12A0C5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8735" w:type="dxa"/>
            <w:gridSpan w:val="2"/>
            <w:tcBorders>
              <w:right w:val="single" w:color="auto" w:sz="4" w:space="0"/>
            </w:tcBorders>
          </w:tcPr>
          <w:p w14:paraId="064CD9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4D3558E9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766682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 w14:paraId="3CBC039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color="auto" w:sz="4" w:space="0"/>
            </w:tcBorders>
          </w:tcPr>
          <w:p w14:paraId="13E27B7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72A671B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60015E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 w14:paraId="559A17D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color="auto" w:sz="4" w:space="0"/>
            </w:tcBorders>
          </w:tcPr>
          <w:p w14:paraId="1392028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6376CF7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F98C10D">
      <w:pPr>
        <w:jc w:val="both"/>
        <w:rPr>
          <w:rFonts w:ascii="Arial" w:hAnsi="Arial" w:cs="Arial"/>
          <w:sz w:val="18"/>
        </w:rPr>
      </w:pPr>
    </w:p>
    <w:p w14:paraId="1232D2C9">
      <w:pPr>
        <w:jc w:val="both"/>
        <w:rPr>
          <w:rFonts w:ascii="Arial" w:hAnsi="Arial" w:cs="Arial"/>
          <w:sz w:val="18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9"/>
        <w:gridCol w:w="1061"/>
        <w:gridCol w:w="1284"/>
        <w:gridCol w:w="1162"/>
        <w:gridCol w:w="1095"/>
        <w:gridCol w:w="1521"/>
      </w:tblGrid>
      <w:tr w14:paraId="43936D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9" w:type="dxa"/>
          </w:tcPr>
          <w:p w14:paraId="42CD324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550F80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4EB50DC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color="auto" w:sz="4" w:space="0"/>
            </w:tcBorders>
          </w:tcPr>
          <w:p w14:paraId="12DE2D1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color="auto" w:sz="4" w:space="0"/>
              <w:right w:val="single" w:color="auto" w:sz="4" w:space="0"/>
            </w:tcBorders>
          </w:tcPr>
          <w:p w14:paraId="70747B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color="auto" w:sz="4" w:space="0"/>
            </w:tcBorders>
          </w:tcPr>
          <w:p w14:paraId="3FBCA85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9E32552">
      <w:pPr>
        <w:ind w:left="709"/>
        <w:jc w:val="both"/>
        <w:rPr>
          <w:rFonts w:ascii="Arial" w:hAnsi="Arial" w:cs="Arial"/>
          <w:sz w:val="20"/>
        </w:rPr>
      </w:pPr>
    </w:p>
    <w:p w14:paraId="6A1B795A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3B0B653C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3F378C15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a výsledku hospodárenia ÚJ</w:t>
      </w: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8"/>
        <w:gridCol w:w="824"/>
        <w:gridCol w:w="291"/>
        <w:gridCol w:w="578"/>
        <w:gridCol w:w="291"/>
      </w:tblGrid>
      <w:tr w14:paraId="75AD57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7088" w:type="dxa"/>
            <w:vAlign w:val="center"/>
          </w:tcPr>
          <w:p w14:paraId="5105E0F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99332D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F11A81C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736B23B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0472D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15F9C251">
      <w:pPr>
        <w:pStyle w:val="28"/>
        <w:rPr>
          <w:rFonts w:ascii="Arial" w:hAnsi="Arial" w:cs="Arial"/>
          <w:sz w:val="20"/>
        </w:rPr>
      </w:pPr>
    </w:p>
    <w:p w14:paraId="29A06595">
      <w:pPr>
        <w:pStyle w:val="28"/>
        <w:rPr>
          <w:rFonts w:ascii="Arial" w:hAnsi="Arial" w:cs="Arial"/>
          <w:sz w:val="20"/>
        </w:rPr>
      </w:pPr>
    </w:p>
    <w:p w14:paraId="0965DBE6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Informácie o dotáciách a ich oceňovanie v účtovníctve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1"/>
        <w:gridCol w:w="2857"/>
        <w:gridCol w:w="1134"/>
      </w:tblGrid>
      <w:tr w14:paraId="5472A1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right w:val="single" w:color="auto" w:sz="4" w:space="0"/>
            </w:tcBorders>
            <w:vAlign w:val="center"/>
          </w:tcPr>
          <w:p w14:paraId="23B1C71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color="auto" w:sz="4" w:space="0"/>
            </w:tcBorders>
            <w:vAlign w:val="center"/>
          </w:tcPr>
          <w:p w14:paraId="762EC013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7A8B7E2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7A8198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bottom w:val="single" w:color="auto" w:sz="4" w:space="0"/>
              <w:right w:val="single" w:color="auto" w:sz="4" w:space="0"/>
            </w:tcBorders>
          </w:tcPr>
          <w:p w14:paraId="4C9BA961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color="auto" w:sz="4" w:space="0"/>
              <w:right w:val="single" w:color="auto" w:sz="4" w:space="0"/>
            </w:tcBorders>
          </w:tcPr>
          <w:p w14:paraId="0ABDD1E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color="auto" w:sz="4" w:space="0"/>
              <w:bottom w:val="single" w:color="auto" w:sz="4" w:space="0"/>
            </w:tcBorders>
          </w:tcPr>
          <w:p w14:paraId="2F2A07FF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373490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top w:val="single" w:color="auto" w:sz="4" w:space="0"/>
              <w:right w:val="single" w:color="auto" w:sz="4" w:space="0"/>
            </w:tcBorders>
          </w:tcPr>
          <w:p w14:paraId="58BACE8D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color="auto" w:sz="4" w:space="0"/>
              <w:right w:val="single" w:color="auto" w:sz="4" w:space="0"/>
            </w:tcBorders>
          </w:tcPr>
          <w:p w14:paraId="1192E871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</w:tcBorders>
          </w:tcPr>
          <w:p w14:paraId="4BEBFC2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691902C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4954E7E3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5950CBB3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účtovaní významných opráv chýb minulých účtovných období v bežnom</w:t>
      </w:r>
    </w:p>
    <w:p w14:paraId="0BA382DF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účtovnom období 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992"/>
        <w:gridCol w:w="851"/>
        <w:gridCol w:w="2126"/>
        <w:gridCol w:w="2552"/>
      </w:tblGrid>
      <w:tr w14:paraId="22A56B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1AE06D9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2EDA209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51" w:type="dxa"/>
            <w:vAlign w:val="center"/>
          </w:tcPr>
          <w:p w14:paraId="0121F53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126" w:type="dxa"/>
            <w:vAlign w:val="center"/>
          </w:tcPr>
          <w:p w14:paraId="0EC7F7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14:paraId="286415C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14:paraId="2F3837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3F27242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5BA2FD3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6D81D1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BE1B2FB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C9C320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5EFF92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1ABB8D8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8308287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80C47C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A29F20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6380AB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24026A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0DADB73B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C5AFFF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A1B778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AC588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710A12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8292B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0BC9C3F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67009B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33083C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73D014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A67B8C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64B237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7E663DE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360F9F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A62641B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BA71E7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547F5EB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4A2C3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24175264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DC0860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DE2306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968B1C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0799D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594A36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43237A5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319106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39827F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F42576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F1F92A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F1ECB82">
      <w:pPr>
        <w:jc w:val="both"/>
        <w:rPr>
          <w:rFonts w:ascii="Arial" w:hAnsi="Arial" w:cs="Arial"/>
          <w:sz w:val="18"/>
          <w:szCs w:val="22"/>
        </w:rPr>
      </w:pPr>
    </w:p>
    <w:p w14:paraId="2B71E7DC">
      <w:pPr>
        <w:ind w:left="360"/>
        <w:rPr>
          <w:rFonts w:ascii="Arial" w:hAnsi="Arial" w:cs="Arial"/>
          <w:sz w:val="20"/>
        </w:rPr>
      </w:pPr>
    </w:p>
    <w:p w14:paraId="4BD8AE26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III</w:t>
      </w:r>
    </w:p>
    <w:p w14:paraId="529DCFBB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Informácie, ktoré vysvetľujú a dopĺňajú súvahu a výkaz ziskov a strát</w:t>
      </w:r>
    </w:p>
    <w:p w14:paraId="0B37104E">
      <w:pPr>
        <w:ind w:left="1841"/>
        <w:jc w:val="center"/>
        <w:rPr>
          <w:rFonts w:ascii="Arial" w:hAnsi="Arial" w:cs="Arial"/>
          <w:b/>
          <w:sz w:val="20"/>
        </w:rPr>
      </w:pPr>
    </w:p>
    <w:p w14:paraId="5A792BDE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Informácia o sume a dôvodoch vzniku jednotlivých položiek </w:t>
      </w:r>
      <w:r>
        <w:rPr>
          <w:rFonts w:ascii="Arial" w:hAnsi="Arial" w:cs="Arial"/>
          <w:b/>
          <w:sz w:val="20"/>
        </w:rPr>
        <w:t>nákladov alebo výnosov, ktoré majú výnimočný rozsah alebo výskyt</w:t>
      </w:r>
      <w:r>
        <w:rPr>
          <w:rFonts w:ascii="Arial" w:hAnsi="Arial" w:cs="Arial"/>
          <w:sz w:val="20"/>
        </w:rPr>
        <w:t>, napríklad výnosy z predaja podniku alebo časti podniku, náklady z dôvodu predaja podniku alebo časti podniku, škody z dôvodu živelných pohrôm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99"/>
        <w:gridCol w:w="4181"/>
        <w:gridCol w:w="1418"/>
      </w:tblGrid>
      <w:tr w14:paraId="1CEC62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right w:val="single" w:color="auto" w:sz="4" w:space="0"/>
            </w:tcBorders>
          </w:tcPr>
          <w:p w14:paraId="7594D1F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Popis nákladov ,výnosov </w:t>
            </w:r>
          </w:p>
          <w:p w14:paraId="6946F2C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Výnimočného  rozsahu</w:t>
            </w:r>
          </w:p>
        </w:tc>
        <w:tc>
          <w:tcPr>
            <w:tcW w:w="4181" w:type="dxa"/>
            <w:tcBorders>
              <w:right w:val="single" w:color="auto" w:sz="4" w:space="0"/>
            </w:tcBorders>
          </w:tcPr>
          <w:p w14:paraId="61DC893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Dôvod vzniku</w:t>
            </w:r>
          </w:p>
        </w:tc>
        <w:tc>
          <w:tcPr>
            <w:tcW w:w="1418" w:type="dxa"/>
            <w:tcBorders>
              <w:left w:val="single" w:color="auto" w:sz="4" w:space="0"/>
            </w:tcBorders>
          </w:tcPr>
          <w:p w14:paraId="6489FE4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5A1236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bottom w:val="single" w:color="auto" w:sz="4" w:space="0"/>
              <w:right w:val="single" w:color="auto" w:sz="4" w:space="0"/>
            </w:tcBorders>
          </w:tcPr>
          <w:p w14:paraId="3386D76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color="auto" w:sz="4" w:space="0"/>
              <w:right w:val="single" w:color="auto" w:sz="4" w:space="0"/>
            </w:tcBorders>
          </w:tcPr>
          <w:p w14:paraId="5701DAFD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color="auto" w:sz="4" w:space="0"/>
              <w:bottom w:val="single" w:color="auto" w:sz="4" w:space="0"/>
            </w:tcBorders>
          </w:tcPr>
          <w:p w14:paraId="7D3AF69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019BA7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top w:val="single" w:color="auto" w:sz="4" w:space="0"/>
              <w:right w:val="single" w:color="auto" w:sz="4" w:space="0"/>
            </w:tcBorders>
          </w:tcPr>
          <w:p w14:paraId="07D4CD8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color="auto" w:sz="4" w:space="0"/>
              <w:right w:val="single" w:color="auto" w:sz="4" w:space="0"/>
            </w:tcBorders>
          </w:tcPr>
          <w:p w14:paraId="09DC5A7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</w:tcBorders>
          </w:tcPr>
          <w:p w14:paraId="6586DB65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862110">
      <w:pPr>
        <w:ind w:left="1481"/>
        <w:jc w:val="both"/>
        <w:rPr>
          <w:rFonts w:ascii="Arial" w:hAnsi="Arial" w:cs="Arial"/>
          <w:sz w:val="20"/>
        </w:rPr>
      </w:pPr>
    </w:p>
    <w:p w14:paraId="73AF4737">
      <w:pPr>
        <w:ind w:left="1134"/>
        <w:jc w:val="both"/>
        <w:rPr>
          <w:rFonts w:ascii="Arial" w:hAnsi="Arial" w:cs="Arial"/>
          <w:sz w:val="20"/>
        </w:rPr>
      </w:pPr>
    </w:p>
    <w:p w14:paraId="264BFD9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9"/>
        <w:gridCol w:w="1495"/>
      </w:tblGrid>
      <w:tr w14:paraId="1E175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tcBorders>
              <w:right w:val="single" w:color="auto" w:sz="4" w:space="0"/>
            </w:tcBorders>
            <w:vAlign w:val="center"/>
          </w:tcPr>
          <w:p w14:paraId="4C4B95CB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color="auto" w:sz="4" w:space="0"/>
            </w:tcBorders>
            <w:noWrap/>
          </w:tcPr>
          <w:p w14:paraId="0ABE58BA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35E921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2104BC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000" w:type="pct"/>
            <w:gridSpan w:val="2"/>
            <w:vAlign w:val="center"/>
          </w:tcPr>
          <w:p w14:paraId="7F867704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490C5E5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15F468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4DB9D00F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</w:tcPr>
          <w:p w14:paraId="6C6FBEB7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3A8AE5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5C5C66B4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5FDCF40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14:paraId="0EDA16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7D98C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68E75CA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0CBAB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5FA0460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22AAC7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2A7BB1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noWrap/>
            <w:vAlign w:val="center"/>
          </w:tcPr>
          <w:p w14:paraId="72375927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</w:tcPr>
          <w:p w14:paraId="506414B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663F92D">
      <w:pPr>
        <w:ind w:left="1134"/>
        <w:jc w:val="both"/>
        <w:rPr>
          <w:rFonts w:ascii="Arial" w:hAnsi="Arial" w:cs="Arial"/>
          <w:sz w:val="20"/>
        </w:rPr>
      </w:pPr>
    </w:p>
    <w:p w14:paraId="245B1787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Cs/>
          <w:kern w:val="28"/>
          <w:sz w:val="20"/>
          <w:lang w:eastAsia="en-US"/>
        </w:rPr>
        <w:t>Informácie o vlastných akciách, a to</w:t>
      </w:r>
    </w:p>
    <w:p w14:paraId="55A26A43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dôvod nadobudnutia vlastných akcií počas účtovného obdobia,</w:t>
      </w:r>
    </w:p>
    <w:p w14:paraId="52D36C79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</w:t>
      </w:r>
    </w:p>
    <w:p w14:paraId="13F53986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1AC7BCF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1167B89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kern w:val="28"/>
          <w:sz w:val="20"/>
          <w:lang w:eastAsia="en-US"/>
        </w:rPr>
        <w:t>uvádza  sa aj ich percentuálny podiel na upísanom základnom imaní.</w:t>
      </w:r>
    </w:p>
    <w:p w14:paraId="268DE740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CED49BC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6326FB7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7F47EB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orgánoch účtovnej jednotky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0"/>
        <w:gridCol w:w="1560"/>
        <w:gridCol w:w="425"/>
        <w:gridCol w:w="417"/>
        <w:gridCol w:w="1426"/>
      </w:tblGrid>
      <w:tr w14:paraId="2C9BA1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  <w:tcBorders>
              <w:left w:val="single" w:color="auto" w:sz="4" w:space="0"/>
            </w:tcBorders>
          </w:tcPr>
          <w:p w14:paraId="79AE3E5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</w:t>
            </w:r>
            <w:r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14:paraId="7B0951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left w:val="single" w:color="auto" w:sz="4" w:space="0"/>
              <w:right w:val="single" w:color="auto" w:sz="4" w:space="0"/>
            </w:tcBorders>
          </w:tcPr>
          <w:p w14:paraId="6981F22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 w14:paraId="39341A6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 w14:paraId="1EE610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59AD93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9B5DB5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7666B9E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5DF6A1E4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3ACD05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2EF30C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5D2F91C5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04F80B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171115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5"/>
          </w:tcPr>
          <w:p w14:paraId="6663A07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14:paraId="5B9DC2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058522F7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5F9B1CF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5CB33B9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6303215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0A222979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5EE09A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4E4AD762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28359EA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2C14FEA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3C7B3D04">
            <w:pPr>
              <w:rPr>
                <w:rFonts w:ascii="Arial" w:hAnsi="Arial" w:cs="Arial"/>
                <w:sz w:val="20"/>
              </w:rPr>
            </w:pPr>
          </w:p>
        </w:tc>
      </w:tr>
      <w:tr w14:paraId="00DE69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69883E89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2AD40D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24231B6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71DE8698">
            <w:pPr>
              <w:rPr>
                <w:rFonts w:ascii="Arial" w:hAnsi="Arial" w:cs="Arial"/>
                <w:sz w:val="20"/>
              </w:rPr>
            </w:pPr>
          </w:p>
        </w:tc>
      </w:tr>
      <w:tr w14:paraId="6566FA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6F713764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14:paraId="263CBE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3AA31493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1D591C7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7EA63C5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A652B58">
            <w:pPr>
              <w:rPr>
                <w:rFonts w:ascii="Arial" w:hAnsi="Arial" w:cs="Arial"/>
                <w:sz w:val="20"/>
              </w:rPr>
            </w:pPr>
          </w:p>
        </w:tc>
      </w:tr>
      <w:tr w14:paraId="7015D2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03553A2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77A4635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788439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03946C92">
            <w:pPr>
              <w:rPr>
                <w:rFonts w:ascii="Arial" w:hAnsi="Arial" w:cs="Arial"/>
                <w:sz w:val="20"/>
              </w:rPr>
            </w:pPr>
          </w:p>
        </w:tc>
      </w:tr>
      <w:tr w14:paraId="6EFCA6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103226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14:paraId="3C36CA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6D7AB2C9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1729AB4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349B952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FB70B3C">
            <w:pPr>
              <w:rPr>
                <w:rFonts w:ascii="Arial" w:hAnsi="Arial" w:cs="Arial"/>
                <w:sz w:val="20"/>
              </w:rPr>
            </w:pPr>
          </w:p>
        </w:tc>
      </w:tr>
      <w:tr w14:paraId="56D407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1D0351D7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2367679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50FD03E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158CD4FF">
            <w:pPr>
              <w:rPr>
                <w:rFonts w:ascii="Arial" w:hAnsi="Arial" w:cs="Arial"/>
                <w:sz w:val="20"/>
              </w:rPr>
            </w:pPr>
          </w:p>
        </w:tc>
      </w:tr>
      <w:tr w14:paraId="2340A8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1F1FD52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14:paraId="430BE3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0282DDB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 w14:paraId="717F853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 w14:paraId="4427B9B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317A89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bottom w:val="single" w:color="auto" w:sz="4" w:space="0"/>
              <w:right w:val="single" w:color="auto" w:sz="4" w:space="0"/>
            </w:tcBorders>
          </w:tcPr>
          <w:p w14:paraId="3A24107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1498E3C7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4866F96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1F40E0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right w:val="single" w:color="auto" w:sz="4" w:space="0"/>
            </w:tcBorders>
          </w:tcPr>
          <w:p w14:paraId="44E8D77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339EFA53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74F612E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6F5009C">
      <w:pPr>
        <w:jc w:val="both"/>
        <w:rPr>
          <w:rFonts w:ascii="Arial" w:hAnsi="Arial" w:cs="Arial"/>
          <w:sz w:val="20"/>
        </w:rPr>
      </w:pPr>
    </w:p>
    <w:p w14:paraId="50252EE5">
      <w:pPr>
        <w:numPr>
          <w:ilvl w:val="0"/>
          <w:numId w:val="4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jednotky, a to</w:t>
      </w:r>
    </w:p>
    <w:p w14:paraId="3D84F94F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315D17AD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významných podmienených záväzkov, ktorými sa rozumie</w:t>
      </w:r>
    </w:p>
    <w:p w14:paraId="5B6228BB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FC16273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18EAD1C9">
      <w:pPr>
        <w:numPr>
          <w:ilvl w:val="0"/>
          <w:numId w:val="10"/>
        </w:numPr>
        <w:ind w:left="2127" w:hanging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037ED71A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výška tejto povinnosti sa nedá spoľahlivo oceniť,</w:t>
      </w:r>
    </w:p>
    <w:p w14:paraId="340EB412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finančných povinností a významných podmienených záväzkov,</w:t>
      </w:r>
    </w:p>
    <w:p w14:paraId="331EF626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45D5E0F4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3923BF9E">
      <w:pPr>
        <w:jc w:val="both"/>
        <w:rPr>
          <w:rFonts w:ascii="Arial" w:hAnsi="Arial" w:cs="Arial"/>
          <w:sz w:val="20"/>
        </w:rPr>
      </w:pPr>
    </w:p>
    <w:p w14:paraId="2B7AD5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24E5C4E">
      <w:pPr>
        <w:jc w:val="right"/>
        <w:rPr>
          <w:rFonts w:ascii="Arial" w:hAnsi="Arial" w:cs="Arial"/>
          <w:sz w:val="20"/>
        </w:rPr>
      </w:pPr>
    </w:p>
    <w:p w14:paraId="3337DA9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Údaje v poznámkach sú uvádzané za bežne účtovné obdobie. Sumy sú uvádzané v celých eurách.</w:t>
      </w:r>
    </w:p>
    <w:p w14:paraId="00CA1D9E">
      <w:pPr>
        <w:rPr>
          <w:rFonts w:ascii="Arial" w:hAnsi="Arial" w:cs="Arial"/>
          <w:sz w:val="20"/>
        </w:rPr>
      </w:pPr>
    </w:p>
    <w:p w14:paraId="64DED771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obdobie; X= ÚJ má náplň pre jednotlivú položku </w:t>
      </w:r>
    </w:p>
    <w:p w14:paraId="53FBE7DC">
      <w:pPr>
        <w:rPr>
          <w:rFonts w:ascii="Arial" w:hAnsi="Arial" w:cs="Arial"/>
          <w:sz w:val="20"/>
        </w:rPr>
      </w:pPr>
    </w:p>
    <w:sectPr>
      <w:headerReference r:id="rId3" w:type="default"/>
      <w:footerReference r:id="rId4" w:type="default"/>
      <w:pgSz w:w="11907" w:h="16840"/>
      <w:pgMar w:top="1418" w:right="1418" w:bottom="1418" w:left="1021" w:header="567" w:footer="567" w:gutter="0"/>
      <w:pgNumType w:start="1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B1951C">
    <w:pPr>
      <w:pStyle w:val="2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  <w:p w14:paraId="64B1FB68">
    <w:pPr>
      <w:pStyle w:val="2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9"/>
      <w:tblW w:w="10311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14:paraId="449C51E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1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 w14:paraId="598640E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color="auto" w:sz="4" w:space="0"/>
            <w:right w:val="single" w:color="auto" w:sz="4" w:space="0"/>
          </w:tcBorders>
          <w:vAlign w:val="bottom"/>
        </w:tcPr>
        <w:p w14:paraId="0E74F653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 w14:paraId="381A932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6E8C70E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1CD3FBB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0B6BDB4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43C7A65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5D45C50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58A5755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5E9265F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color="auto" w:sz="4" w:space="0"/>
            <w:bottom w:val="nil"/>
            <w:right w:val="nil"/>
          </w:tcBorders>
          <w:noWrap/>
          <w:vAlign w:val="bottom"/>
        </w:tcPr>
        <w:p w14:paraId="315F724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35AFDFB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3725513C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2DAA2CA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4801C4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1C96AD7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415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5714A9F9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4EC996A3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26A4DB9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1D89B4D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46EB1BF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14:paraId="3BFF0B32">
    <w:pPr>
      <w:pStyle w:val="2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87A5526"/>
    <w:multiLevelType w:val="multilevel"/>
    <w:tmpl w:val="087A5526"/>
    <w:lvl w:ilvl="0" w:tentative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9C6A32"/>
    <w:multiLevelType w:val="multilevel"/>
    <w:tmpl w:val="139C6A32"/>
    <w:lvl w:ilvl="0" w:tentative="0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3281" w:hanging="360"/>
      </w:pPr>
    </w:lvl>
    <w:lvl w:ilvl="2" w:tentative="0">
      <w:start w:val="1"/>
      <w:numFmt w:val="lowerRoman"/>
      <w:lvlText w:val="%3."/>
      <w:lvlJc w:val="right"/>
      <w:pPr>
        <w:ind w:left="4001" w:hanging="180"/>
      </w:pPr>
    </w:lvl>
    <w:lvl w:ilvl="3" w:tentative="0">
      <w:start w:val="1"/>
      <w:numFmt w:val="decimal"/>
      <w:lvlText w:val="%4."/>
      <w:lvlJc w:val="left"/>
      <w:pPr>
        <w:ind w:left="4721" w:hanging="360"/>
      </w:pPr>
    </w:lvl>
    <w:lvl w:ilvl="4" w:tentative="0">
      <w:start w:val="1"/>
      <w:numFmt w:val="lowerLetter"/>
      <w:lvlText w:val="%5."/>
      <w:lvlJc w:val="left"/>
      <w:pPr>
        <w:ind w:left="5441" w:hanging="360"/>
      </w:pPr>
    </w:lvl>
    <w:lvl w:ilvl="5" w:tentative="0">
      <w:start w:val="1"/>
      <w:numFmt w:val="lowerRoman"/>
      <w:lvlText w:val="%6."/>
      <w:lvlJc w:val="right"/>
      <w:pPr>
        <w:ind w:left="6161" w:hanging="180"/>
      </w:pPr>
    </w:lvl>
    <w:lvl w:ilvl="6" w:tentative="0">
      <w:start w:val="1"/>
      <w:numFmt w:val="decimal"/>
      <w:lvlText w:val="%7."/>
      <w:lvlJc w:val="left"/>
      <w:pPr>
        <w:ind w:left="6881" w:hanging="360"/>
      </w:pPr>
    </w:lvl>
    <w:lvl w:ilvl="7" w:tentative="0">
      <w:start w:val="1"/>
      <w:numFmt w:val="lowerLetter"/>
      <w:lvlText w:val="%8."/>
      <w:lvlJc w:val="left"/>
      <w:pPr>
        <w:ind w:left="7601" w:hanging="360"/>
      </w:pPr>
    </w:lvl>
    <w:lvl w:ilvl="8" w:tentative="0">
      <w:start w:val="1"/>
      <w:numFmt w:val="lowerRoman"/>
      <w:lvlText w:val="%9."/>
      <w:lvlJc w:val="right"/>
      <w:pPr>
        <w:ind w:left="8321" w:hanging="180"/>
      </w:pPr>
    </w:lvl>
  </w:abstractNum>
  <w:abstractNum w:abstractNumId="2">
    <w:nsid w:val="1DFE5B14"/>
    <w:multiLevelType w:val="multilevel"/>
    <w:tmpl w:val="1DFE5B14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C959BA"/>
    <w:multiLevelType w:val="multilevel"/>
    <w:tmpl w:val="24C959BA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2201" w:hanging="360"/>
      </w:pPr>
    </w:lvl>
    <w:lvl w:ilvl="2" w:tentative="0">
      <w:start w:val="1"/>
      <w:numFmt w:val="lowerRoman"/>
      <w:lvlText w:val="%3."/>
      <w:lvlJc w:val="right"/>
      <w:pPr>
        <w:ind w:left="2921" w:hanging="180"/>
      </w:pPr>
    </w:lvl>
    <w:lvl w:ilvl="3" w:tentative="0">
      <w:start w:val="1"/>
      <w:numFmt w:val="decimal"/>
      <w:lvlText w:val="%4."/>
      <w:lvlJc w:val="left"/>
      <w:pPr>
        <w:ind w:left="3641" w:hanging="360"/>
      </w:pPr>
    </w:lvl>
    <w:lvl w:ilvl="4" w:tentative="0">
      <w:start w:val="1"/>
      <w:numFmt w:val="lowerLetter"/>
      <w:lvlText w:val="%5."/>
      <w:lvlJc w:val="left"/>
      <w:pPr>
        <w:ind w:left="4361" w:hanging="360"/>
      </w:pPr>
    </w:lvl>
    <w:lvl w:ilvl="5" w:tentative="0">
      <w:start w:val="1"/>
      <w:numFmt w:val="lowerRoman"/>
      <w:lvlText w:val="%6."/>
      <w:lvlJc w:val="right"/>
      <w:pPr>
        <w:ind w:left="5081" w:hanging="180"/>
      </w:pPr>
    </w:lvl>
    <w:lvl w:ilvl="6" w:tentative="0">
      <w:start w:val="1"/>
      <w:numFmt w:val="decimal"/>
      <w:lvlText w:val="%7."/>
      <w:lvlJc w:val="left"/>
      <w:pPr>
        <w:ind w:left="5801" w:hanging="360"/>
      </w:pPr>
    </w:lvl>
    <w:lvl w:ilvl="7" w:tentative="0">
      <w:start w:val="1"/>
      <w:numFmt w:val="lowerLetter"/>
      <w:lvlText w:val="%8."/>
      <w:lvlJc w:val="left"/>
      <w:pPr>
        <w:ind w:left="6521" w:hanging="360"/>
      </w:pPr>
    </w:lvl>
    <w:lvl w:ilvl="8" w:tentative="0">
      <w:start w:val="1"/>
      <w:numFmt w:val="lowerRoman"/>
      <w:lvlText w:val="%9."/>
      <w:lvlJc w:val="right"/>
      <w:pPr>
        <w:ind w:left="7241" w:hanging="180"/>
      </w:pPr>
    </w:lvl>
  </w:abstractNum>
  <w:abstractNum w:abstractNumId="4">
    <w:nsid w:val="2BA80257"/>
    <w:multiLevelType w:val="multilevel"/>
    <w:tmpl w:val="2BA80257"/>
    <w:lvl w:ilvl="0" w:tentative="0">
      <w:start w:val="1"/>
      <w:numFmt w:val="decimal"/>
      <w:lvlText w:val="(%1)"/>
      <w:lvlJc w:val="left"/>
      <w:pPr>
        <w:ind w:left="3479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A7533A"/>
    <w:multiLevelType w:val="multilevel"/>
    <w:tmpl w:val="4DA7533A"/>
    <w:lvl w:ilvl="0" w:tentative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007" w:hanging="360"/>
      </w:pPr>
    </w:lvl>
    <w:lvl w:ilvl="2" w:tentative="0">
      <w:start w:val="1"/>
      <w:numFmt w:val="lowerRoman"/>
      <w:lvlText w:val="%3."/>
      <w:lvlJc w:val="right"/>
      <w:pPr>
        <w:ind w:left="2727" w:hanging="180"/>
      </w:pPr>
    </w:lvl>
    <w:lvl w:ilvl="3" w:tentative="0">
      <w:start w:val="1"/>
      <w:numFmt w:val="decimal"/>
      <w:lvlText w:val="%4."/>
      <w:lvlJc w:val="left"/>
      <w:pPr>
        <w:ind w:left="3447" w:hanging="360"/>
      </w:pPr>
    </w:lvl>
    <w:lvl w:ilvl="4" w:tentative="0">
      <w:start w:val="1"/>
      <w:numFmt w:val="lowerLetter"/>
      <w:lvlText w:val="%5."/>
      <w:lvlJc w:val="left"/>
      <w:pPr>
        <w:ind w:left="4167" w:hanging="360"/>
      </w:pPr>
    </w:lvl>
    <w:lvl w:ilvl="5" w:tentative="0">
      <w:start w:val="1"/>
      <w:numFmt w:val="lowerRoman"/>
      <w:lvlText w:val="%6."/>
      <w:lvlJc w:val="right"/>
      <w:pPr>
        <w:ind w:left="4887" w:hanging="180"/>
      </w:pPr>
    </w:lvl>
    <w:lvl w:ilvl="6" w:tentative="0">
      <w:start w:val="1"/>
      <w:numFmt w:val="decimal"/>
      <w:lvlText w:val="%7."/>
      <w:lvlJc w:val="left"/>
      <w:pPr>
        <w:ind w:left="5607" w:hanging="360"/>
      </w:pPr>
    </w:lvl>
    <w:lvl w:ilvl="7" w:tentative="0">
      <w:start w:val="1"/>
      <w:numFmt w:val="lowerLetter"/>
      <w:lvlText w:val="%8."/>
      <w:lvlJc w:val="left"/>
      <w:pPr>
        <w:ind w:left="6327" w:hanging="360"/>
      </w:pPr>
    </w:lvl>
    <w:lvl w:ilvl="8" w:tentative="0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5B872465"/>
    <w:multiLevelType w:val="multilevel"/>
    <w:tmpl w:val="5B872465"/>
    <w:lvl w:ilvl="0" w:tentative="0">
      <w:start w:val="1"/>
      <w:numFmt w:val="lowerLetter"/>
      <w:lvlText w:val="%1)"/>
      <w:lvlJc w:val="left"/>
      <w:pPr>
        <w:ind w:left="1920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2640" w:hanging="360"/>
      </w:pPr>
    </w:lvl>
    <w:lvl w:ilvl="2" w:tentative="0">
      <w:start w:val="1"/>
      <w:numFmt w:val="lowerRoman"/>
      <w:lvlText w:val="%3."/>
      <w:lvlJc w:val="right"/>
      <w:pPr>
        <w:ind w:left="3360" w:hanging="180"/>
      </w:pPr>
    </w:lvl>
    <w:lvl w:ilvl="3" w:tentative="0">
      <w:start w:val="1"/>
      <w:numFmt w:val="decimal"/>
      <w:lvlText w:val="%4."/>
      <w:lvlJc w:val="left"/>
      <w:pPr>
        <w:ind w:left="4080" w:hanging="360"/>
      </w:pPr>
    </w:lvl>
    <w:lvl w:ilvl="4" w:tentative="0">
      <w:start w:val="1"/>
      <w:numFmt w:val="lowerLetter"/>
      <w:lvlText w:val="%5."/>
      <w:lvlJc w:val="left"/>
      <w:pPr>
        <w:ind w:left="4800" w:hanging="360"/>
      </w:pPr>
    </w:lvl>
    <w:lvl w:ilvl="5" w:tentative="0">
      <w:start w:val="1"/>
      <w:numFmt w:val="lowerRoman"/>
      <w:lvlText w:val="%6."/>
      <w:lvlJc w:val="right"/>
      <w:pPr>
        <w:ind w:left="5520" w:hanging="180"/>
      </w:pPr>
    </w:lvl>
    <w:lvl w:ilvl="6" w:tentative="0">
      <w:start w:val="1"/>
      <w:numFmt w:val="decimal"/>
      <w:lvlText w:val="%7."/>
      <w:lvlJc w:val="left"/>
      <w:pPr>
        <w:ind w:left="6240" w:hanging="360"/>
      </w:pPr>
    </w:lvl>
    <w:lvl w:ilvl="7" w:tentative="0">
      <w:start w:val="1"/>
      <w:numFmt w:val="lowerLetter"/>
      <w:lvlText w:val="%8."/>
      <w:lvlJc w:val="left"/>
      <w:pPr>
        <w:ind w:left="6960" w:hanging="360"/>
      </w:pPr>
    </w:lvl>
    <w:lvl w:ilvl="8" w:tentative="0">
      <w:start w:val="1"/>
      <w:numFmt w:val="lowerRoman"/>
      <w:lvlText w:val="%9."/>
      <w:lvlJc w:val="right"/>
      <w:pPr>
        <w:ind w:left="7680" w:hanging="180"/>
      </w:pPr>
    </w:lvl>
  </w:abstractNum>
  <w:abstractNum w:abstractNumId="7">
    <w:nsid w:val="5E6C10A4"/>
    <w:multiLevelType w:val="multilevel"/>
    <w:tmpl w:val="5E6C10A4"/>
    <w:lvl w:ilvl="0" w:tentative="0">
      <w:start w:val="1"/>
      <w:numFmt w:val="lowerLetter"/>
      <w:lvlText w:val="%1)"/>
      <w:lvlJc w:val="left"/>
      <w:pPr>
        <w:ind w:left="1841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4613"/>
        </w:tabs>
        <w:ind w:left="3893" w:firstLine="360"/>
      </w:pPr>
      <w:rPr>
        <w:rFonts w:hint="default"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lowerLetter"/>
      <w:lvlText w:val="%2."/>
      <w:lvlJc w:val="left"/>
      <w:pPr>
        <w:tabs>
          <w:tab w:val="left" w:pos="833"/>
        </w:tabs>
        <w:ind w:left="833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1553"/>
        </w:tabs>
        <w:ind w:left="1553" w:hanging="180"/>
      </w:pPr>
    </w:lvl>
    <w:lvl w:ilvl="3" w:tentative="0">
      <w:start w:val="1"/>
      <w:numFmt w:val="decimal"/>
      <w:lvlText w:val="%4."/>
      <w:lvlJc w:val="left"/>
      <w:pPr>
        <w:tabs>
          <w:tab w:val="left" w:pos="2273"/>
        </w:tabs>
        <w:ind w:left="2273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2993"/>
        </w:tabs>
        <w:ind w:left="2993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3713"/>
        </w:tabs>
        <w:ind w:left="3713" w:hanging="180"/>
      </w:pPr>
    </w:lvl>
    <w:lvl w:ilvl="6" w:tentative="0">
      <w:start w:val="1"/>
      <w:numFmt w:val="decimal"/>
      <w:lvlText w:val="(%7)"/>
      <w:lvlJc w:val="left"/>
      <w:pPr>
        <w:tabs>
          <w:tab w:val="left" w:pos="4463"/>
        </w:tabs>
        <w:ind w:left="4463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153"/>
        </w:tabs>
        <w:ind w:left="5153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5873"/>
        </w:tabs>
        <w:ind w:left="5873" w:hanging="180"/>
      </w:pPr>
    </w:lvl>
  </w:abstractNum>
  <w:abstractNum w:abstractNumId="9">
    <w:nsid w:val="722E19D6"/>
    <w:multiLevelType w:val="multilevel"/>
    <w:tmpl w:val="722E19D6"/>
    <w:lvl w:ilvl="0" w:tentative="0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A056FA8"/>
    <w:multiLevelType w:val="multilevel"/>
    <w:tmpl w:val="7A056FA8"/>
    <w:lvl w:ilvl="0" w:tentative="0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5"/>
  </w:num>
  <w:num w:numId="7">
    <w:abstractNumId w:val="0"/>
  </w:num>
  <w:num w:numId="8">
    <w:abstractNumId w:val="7"/>
  </w:num>
  <w:num w:numId="9">
    <w:abstractNumId w:val="1"/>
  </w:num>
  <w:num w:numId="10">
    <w:abstractNumId w:val="1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ocumentProtection w:enforcement="0"/>
  <w:defaultTabStop w:val="709"/>
  <w:hyphenationZone w:val="425"/>
  <w:noPunctuationKerning w:val="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22B5"/>
    <w:rsid w:val="000C50DA"/>
    <w:rsid w:val="000C67DA"/>
    <w:rsid w:val="000D00F5"/>
    <w:rsid w:val="000D2BAA"/>
    <w:rsid w:val="000E000C"/>
    <w:rsid w:val="000E1A0D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3442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2C49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42F22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2B0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80634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04"/>
    <w:rsid w:val="00C71EA9"/>
    <w:rsid w:val="00C73C47"/>
    <w:rsid w:val="00C7529F"/>
    <w:rsid w:val="00C82CAB"/>
    <w:rsid w:val="00C84CF1"/>
    <w:rsid w:val="00C85239"/>
    <w:rsid w:val="00C86478"/>
    <w:rsid w:val="00C979FB"/>
    <w:rsid w:val="00CA44D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3743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  <w:rsid w:val="556F1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name="footnote reference"/>
    <w:lsdException w:uiPriority="99" w:name="annotation reference"/>
    <w:lsdException w:uiPriority="99" w:name="line number"/>
    <w:lsdException w:qFormat="1" w:unhideWhenUsed="0" w:uiPriority="0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qFormat="1" w:unhideWhenUsed="0" w:uiPriority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name="Body Text 2"/>
    <w:lsdException w:qFormat="1" w:unhideWhenUsed="0" w:uiPriority="0" w:name="Body Text 3"/>
    <w:lsdException w:qFormat="1" w:unhideWhenUsed="0" w:uiPriority="0" w:name="Body Text Indent 2"/>
    <w:lsdException w:qFormat="1" w:unhideWhenUsed="0" w:uiPriority="0" w:name="Body Text Indent 3"/>
    <w:lsdException w:qFormat="1" w:unhideWhenUsed="0" w:uiPriority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next w:val="3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kern w:val="32"/>
      <w:sz w:val="24"/>
      <w:szCs w:val="32"/>
      <w:lang w:val="sk-SK" w:eastAsia="sk-SK" w:bidi="ar-SA"/>
    </w:rPr>
  </w:style>
  <w:style w:type="paragraph" w:styleId="3">
    <w:name w:val="heading 2"/>
    <w:basedOn w:val="1"/>
    <w:next w:val="1"/>
    <w:qFormat/>
    <w:uiPriority w:val="0"/>
    <w:pPr>
      <w:keepNext/>
      <w:spacing w:after="120"/>
      <w:jc w:val="center"/>
      <w:outlineLvl w:val="1"/>
    </w:pPr>
    <w:rPr>
      <w:b/>
    </w:rPr>
  </w:style>
  <w:style w:type="paragraph" w:styleId="4">
    <w:name w:val="heading 3"/>
    <w:basedOn w:val="1"/>
    <w:next w:val="1"/>
    <w:qFormat/>
    <w:uiPriority w:val="0"/>
    <w:pPr>
      <w:keepNext/>
      <w:jc w:val="both"/>
      <w:outlineLvl w:val="2"/>
    </w:pPr>
    <w:rPr>
      <w:b/>
      <w:u w:val="single"/>
    </w:rPr>
  </w:style>
  <w:style w:type="paragraph" w:styleId="5">
    <w:name w:val="heading 4"/>
    <w:basedOn w:val="1"/>
    <w:next w:val="1"/>
    <w:qFormat/>
    <w:uiPriority w:val="0"/>
    <w:pPr>
      <w:keepNext/>
      <w:keepLines/>
      <w:ind w:firstLine="357"/>
      <w:jc w:val="both"/>
      <w:outlineLvl w:val="3"/>
    </w:pPr>
    <w:rPr>
      <w:b/>
    </w:rPr>
  </w:style>
  <w:style w:type="paragraph" w:styleId="6">
    <w:name w:val="heading 5"/>
    <w:basedOn w:val="1"/>
    <w:next w:val="1"/>
    <w:qFormat/>
    <w:uiPriority w:val="0"/>
    <w:pPr>
      <w:keepNext/>
      <w:keepLines/>
      <w:ind w:firstLine="360"/>
      <w:jc w:val="both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alloon Text"/>
    <w:basedOn w:val="1"/>
    <w:link w:val="31"/>
    <w:semiHidden/>
    <w:unhideWhenUsed/>
    <w:qFormat/>
    <w:uiPriority w:val="99"/>
    <w:rPr>
      <w:rFonts w:ascii="Tahoma" w:hAnsi="Tahoma"/>
      <w:sz w:val="16"/>
      <w:szCs w:val="16"/>
    </w:rPr>
  </w:style>
  <w:style w:type="paragraph" w:styleId="11">
    <w:name w:val="Block Text"/>
    <w:basedOn w:val="1"/>
    <w:semiHidden/>
    <w:qFormat/>
    <w:uiPriority w:val="0"/>
    <w:pPr>
      <w:ind w:left="1680" w:right="-468" w:hanging="240"/>
    </w:pPr>
  </w:style>
  <w:style w:type="paragraph" w:styleId="12">
    <w:name w:val="Body Text"/>
    <w:basedOn w:val="1"/>
    <w:semiHidden/>
    <w:qFormat/>
    <w:uiPriority w:val="0"/>
    <w:rPr>
      <w:rFonts w:ascii="Arial" w:hAnsi="Arial" w:cs="Arial"/>
      <w:sz w:val="20"/>
      <w:szCs w:val="18"/>
      <w:lang w:val="en-GB"/>
    </w:rPr>
  </w:style>
  <w:style w:type="paragraph" w:styleId="13">
    <w:name w:val="Body Text 2"/>
    <w:basedOn w:val="1"/>
    <w:semiHidden/>
    <w:qFormat/>
    <w:uiPriority w:val="0"/>
    <w:pPr>
      <w:jc w:val="both"/>
    </w:pPr>
  </w:style>
  <w:style w:type="paragraph" w:styleId="14">
    <w:name w:val="Body Text 3"/>
    <w:basedOn w:val="1"/>
    <w:semiHidden/>
    <w:qFormat/>
    <w:uiPriority w:val="0"/>
    <w:pPr>
      <w:ind w:right="-468"/>
      <w:jc w:val="both"/>
    </w:pPr>
    <w:rPr>
      <w:b/>
      <w:bCs/>
    </w:rPr>
  </w:style>
  <w:style w:type="paragraph" w:styleId="15">
    <w:name w:val="Body Text Indent"/>
    <w:basedOn w:val="1"/>
    <w:semiHidden/>
    <w:qFormat/>
    <w:uiPriority w:val="0"/>
    <w:pPr>
      <w:ind w:firstLine="360"/>
      <w:jc w:val="both"/>
    </w:pPr>
  </w:style>
  <w:style w:type="paragraph" w:styleId="16">
    <w:name w:val="Body Text Indent 2"/>
    <w:basedOn w:val="1"/>
    <w:semiHidden/>
    <w:qFormat/>
    <w:uiPriority w:val="0"/>
    <w:pPr>
      <w:ind w:firstLine="360"/>
    </w:pPr>
  </w:style>
  <w:style w:type="paragraph" w:styleId="17">
    <w:name w:val="Body Text Indent 3"/>
    <w:basedOn w:val="1"/>
    <w:semiHidden/>
    <w:qFormat/>
    <w:uiPriority w:val="0"/>
    <w:pPr>
      <w:ind w:right="-468" w:firstLine="720"/>
      <w:jc w:val="both"/>
    </w:pPr>
    <w:rPr>
      <w:bCs/>
    </w:rPr>
  </w:style>
  <w:style w:type="character" w:styleId="18">
    <w:name w:val="endnote reference"/>
    <w:semiHidden/>
    <w:unhideWhenUsed/>
    <w:qFormat/>
    <w:uiPriority w:val="99"/>
    <w:rPr>
      <w:vertAlign w:val="superscript"/>
    </w:rPr>
  </w:style>
  <w:style w:type="paragraph" w:styleId="19">
    <w:name w:val="endnote text"/>
    <w:basedOn w:val="1"/>
    <w:link w:val="29"/>
    <w:semiHidden/>
    <w:unhideWhenUsed/>
    <w:qFormat/>
    <w:uiPriority w:val="99"/>
    <w:rPr>
      <w:sz w:val="20"/>
      <w:szCs w:val="20"/>
    </w:rPr>
  </w:style>
  <w:style w:type="paragraph" w:styleId="20">
    <w:name w:val="footer"/>
    <w:basedOn w:val="1"/>
    <w:link w:val="27"/>
    <w:qFormat/>
    <w:uiPriority w:val="99"/>
    <w:pPr>
      <w:tabs>
        <w:tab w:val="center" w:pos="4536"/>
        <w:tab w:val="right" w:pos="9072"/>
      </w:tabs>
      <w:jc w:val="right"/>
    </w:pPr>
  </w:style>
  <w:style w:type="character" w:styleId="21">
    <w:name w:val="footnote reference"/>
    <w:semiHidden/>
    <w:qFormat/>
    <w:uiPriority w:val="0"/>
    <w:rPr>
      <w:vertAlign w:val="superscript"/>
    </w:rPr>
  </w:style>
  <w:style w:type="paragraph" w:styleId="22">
    <w:name w:val="footnote text"/>
    <w:basedOn w:val="1"/>
    <w:semiHidden/>
    <w:qFormat/>
    <w:uiPriority w:val="0"/>
    <w:rPr>
      <w:sz w:val="20"/>
      <w:szCs w:val="20"/>
    </w:rPr>
  </w:style>
  <w:style w:type="paragraph" w:styleId="23">
    <w:name w:val="header"/>
    <w:basedOn w:val="1"/>
    <w:link w:val="30"/>
    <w:qFormat/>
    <w:uiPriority w:val="99"/>
    <w:pPr>
      <w:tabs>
        <w:tab w:val="center" w:pos="4703"/>
        <w:tab w:val="right" w:pos="9406"/>
      </w:tabs>
    </w:pPr>
  </w:style>
  <w:style w:type="character" w:styleId="24">
    <w:name w:val="page number"/>
    <w:basedOn w:val="8"/>
    <w:semiHidden/>
    <w:qFormat/>
    <w:uiPriority w:val="0"/>
  </w:style>
  <w:style w:type="table" w:styleId="25">
    <w:name w:val="Table Grid"/>
    <w:basedOn w:val="9"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26">
    <w:name w:val="Základní text1"/>
    <w:qFormat/>
    <w:uiPriority w:val="0"/>
    <w:pPr>
      <w:spacing w:after="240"/>
      <w:jc w:val="both"/>
    </w:pPr>
    <w:rPr>
      <w:rFonts w:ascii="Times New Roman" w:hAnsi="Times New Roman" w:eastAsia="Times New Roman" w:cs="Times New Roman"/>
      <w:snapToGrid w:val="0"/>
      <w:color w:val="000000"/>
      <w:sz w:val="24"/>
      <w:lang w:val="sk-SK" w:eastAsia="sk-SK" w:bidi="ar-SA"/>
    </w:rPr>
  </w:style>
  <w:style w:type="character" w:customStyle="1" w:styleId="27">
    <w:name w:val="Päta Char"/>
    <w:link w:val="20"/>
    <w:qFormat/>
    <w:uiPriority w:val="99"/>
    <w:rPr>
      <w:sz w:val="24"/>
      <w:szCs w:val="24"/>
    </w:rPr>
  </w:style>
  <w:style w:type="paragraph" w:styleId="28">
    <w:name w:val="List Paragraph"/>
    <w:basedOn w:val="1"/>
    <w:link w:val="36"/>
    <w:qFormat/>
    <w:uiPriority w:val="34"/>
    <w:pPr>
      <w:ind w:left="708"/>
    </w:pPr>
  </w:style>
  <w:style w:type="character" w:customStyle="1" w:styleId="29">
    <w:name w:val="Text vysvetlivky Char"/>
    <w:basedOn w:val="8"/>
    <w:link w:val="19"/>
    <w:semiHidden/>
    <w:qFormat/>
    <w:uiPriority w:val="99"/>
  </w:style>
  <w:style w:type="character" w:customStyle="1" w:styleId="30">
    <w:name w:val="Hlavička Char"/>
    <w:link w:val="23"/>
    <w:qFormat/>
    <w:uiPriority w:val="99"/>
    <w:rPr>
      <w:sz w:val="24"/>
      <w:szCs w:val="24"/>
    </w:rPr>
  </w:style>
  <w:style w:type="character" w:customStyle="1" w:styleId="31">
    <w:name w:val="Text bubliny Char"/>
    <w:link w:val="10"/>
    <w:semiHidden/>
    <w:qFormat/>
    <w:uiPriority w:val="99"/>
    <w:rPr>
      <w:rFonts w:ascii="Tahoma" w:hAnsi="Tahoma" w:cs="Tahoma"/>
      <w:sz w:val="16"/>
      <w:szCs w:val="16"/>
    </w:rPr>
  </w:style>
  <w:style w:type="paragraph" w:customStyle="1" w:styleId="32">
    <w:name w:val="Štýl1"/>
    <w:basedOn w:val="20"/>
    <w:link w:val="34"/>
    <w:qFormat/>
    <w:uiPriority w:val="0"/>
  </w:style>
  <w:style w:type="character" w:customStyle="1" w:styleId="33">
    <w:name w:val="tl"/>
    <w:basedOn w:val="8"/>
    <w:qFormat/>
    <w:uiPriority w:val="0"/>
  </w:style>
  <w:style w:type="character" w:customStyle="1" w:styleId="34">
    <w:name w:val="Štýl1 Char"/>
    <w:basedOn w:val="27"/>
    <w:link w:val="32"/>
    <w:qFormat/>
    <w:uiPriority w:val="0"/>
    <w:rPr>
      <w:sz w:val="24"/>
      <w:szCs w:val="24"/>
    </w:rPr>
  </w:style>
  <w:style w:type="character" w:customStyle="1" w:styleId="35">
    <w:name w:val="ra"/>
    <w:basedOn w:val="8"/>
    <w:qFormat/>
    <w:uiPriority w:val="0"/>
  </w:style>
  <w:style w:type="character" w:customStyle="1" w:styleId="36">
    <w:name w:val="Odsek zoznamu Char"/>
    <w:link w:val="28"/>
    <w:qFormat/>
    <w:locked/>
    <w:uiPriority w:val="34"/>
    <w:rPr>
      <w:sz w:val="24"/>
      <w:szCs w:val="24"/>
    </w:rPr>
  </w:style>
  <w:style w:type="paragraph" w:customStyle="1" w:styleId="37">
    <w:name w:val="Top Header"/>
    <w:basedOn w:val="1"/>
    <w:qFormat/>
    <w:uiPriority w:val="0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C290DD-4373-4628-9E3F-5D98051B0E2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1178</Words>
  <Characters>7090</Characters>
  <Lines>60</Lines>
  <Paragraphs>17</Paragraphs>
  <TotalTime>3</TotalTime>
  <ScaleCrop>false</ScaleCrop>
  <LinksUpToDate>false</LinksUpToDate>
  <CharactersWithSpaces>8191</CharactersWithSpaces>
  <Application>WPS Office_12.1.0.26880_F1E327BC-269C-435d-A152-05C5408002CA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2025-06-20T09:09:00Z</dcterms:created>
  <dc:creator>maria</dc:creator>
  <cp:lastModifiedBy>PizurovaR</cp:lastModifiedBy>
  <cp:lastPrinted>2024-03-28T07:36:00Z</cp:lastPrinted>
  <dcterms:modified xsi:type="dcterms:W3CDTF">2026-06-25T12:02:37Z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eyJoZGlkIjoiYzE5NjNmYzc4ZjZiYWI1MmU4YTUyM2U4Nzc0NGU5OWEifQ==</vt:lpwstr>
  </property>
  <property fmtid="{D5CDD505-2E9C-101B-9397-08002B2CF9AE}" pid="3" name="KSOProductBuildVer">
    <vt:lpwstr>1033-12.1.0.26880</vt:lpwstr>
  </property>
  <property fmtid="{D5CDD505-2E9C-101B-9397-08002B2CF9AE}" pid="4" name="ICV">
    <vt:lpwstr>6F98E723C55D40D19FE120EA5BC51CE1_12</vt:lpwstr>
  </property>
</Properties>
</file>