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Poznámky (Úč NUJ 3 – 01)</w:t>
      </w:r>
    </w:p>
    <w:p>
      <w:pPr>
        <w:spacing w:after="60" w:before="0"/>
        <w:jc w:val="center"/>
      </w:pPr>
      <w:r>
        <w:rPr>
          <w:rFonts w:ascii="Arial" w:cs="Arial" w:eastAsia="Arial" w:hAnsi="Arial"/>
          <w:sz w:val="20"/>
          <w:szCs w:val="20"/>
        </w:rPr>
        <w:t xml:space="preserve">IČO: 56838425</w:t>
      </w:r>
    </w:p>
    <w:p>
      <w:r>
        <w:rPr>
          <w:sz w:val="18"/>
          <w:szCs w:val="18"/>
        </w:rPr>
        <w:t xml:space="preserve"/>
      </w:r>
    </w:p>
    <w:p>
      <w:pPr>
        <w:spacing w:after="120" w:before="12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POZNÁMKY K ÚČTOVNEJ ZÁVIERKE 2025</w:t>
      </w:r>
    </w:p>
    <w:p>
      <w:pPr>
        <w:spacing w:after="240" w:before="0"/>
        <w:jc w:val="center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zostavené podľa Opatrenia č. MF/17616/2013-74 (FS č. 11/2013), ktorým sa ustanovujú podrobnosti o usporiadaní, označovaní a obsahovom vymedzení položiek individuálnej účtovnej závierky, termíny a miesto ukladania individuálnej účtovnej závierky a výročnej správy pre účtovné jednotky účtujúce v sústave podvojného účtovníctva, ktoré nie sú založené alebo zriadené na účely podnikania</w:t>
      </w:r>
    </w:p>
    <w:p>
      <w:pPr>
        <w:spacing w:after="150" w:before="3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Článok I – VŠEOBECNÉ INFORMÁCIE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Základné informácie o účtovnej jednotke: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00"/>
      </w:tblGrid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Názov účtovnej jednotky: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OZ Hviezdy</w:t>
            </w:r>
          </w:p>
        </w:tc>
      </w:tr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Sídlo: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Eliášovce 1, 930 38 Nový Život</w:t>
            </w:r>
          </w:p>
        </w:tc>
      </w:tr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Právna forma: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Občianske združenie</w:t>
            </w:r>
          </w:p>
        </w:tc>
      </w:tr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Dátum registrácie: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Registračné číslo VVS/1-900/90-71843 zo dňa 12.03.2025</w:t>
            </w:r>
          </w:p>
        </w:tc>
      </w:tr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IČO: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56838425</w:t>
            </w:r>
          </w:p>
        </w:tc>
      </w:tr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DIČ: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Účtovné obdobie:</w:t>
            </w:r>
          </w:p>
        </w:tc>
        <w:tc>
          <w:tcPr>
            <w:tcW w:type="dxa" w:w="5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12.03.2025 – 31.12.2025</w:t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(Údaje podľa článku I/4, článku III a článku IV - sa uvádzajú v textovej podobe a tabuľkovej podobe).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1) Meno a priezvisko fyzickej osoby alebo názov právnickej osoby, ktorá je zakladateľom alebo zriaďovateľom účtovnej jednotky, dátum založenia alebo zriadenia účtovnej jednotky: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Členovia prípravného výboru: Renata Orgoňová (nar. 28.02.1986), Romana Jablonská (nar. 26.04.1991), Ing. Michal Chmara (nar. 18.03.1984). Združenie vzniklo dňom registrácie: 12.03.2025.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2) Informácie o členoch štatutárnych orgánov, dozorných orgánov a iných orgánov účtovnej jednotky: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Renata Orgoňová – predseda správnej rady, od 12.03.2025, koná samostatne.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3) Opis činnosti, na účel ktorej bola účtovná jednotka zriadená: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Cieľom OZ Hviezdy je: zlepšenie materiálnych a finančných podmienok výchovno-vzdelávacieho procesu a mimoškolských aktivít na Základnej škole Eliášovce 1, Nový Život; podpora študentských, vzdelávacích, kultúrnych a športových aktivít; podpora medzinárodných kontaktov školy; podpora vzdelávania učiteľov a podpora reprezentácie žiakov a školy.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4) Priemerný prepočítaný počet zamestnancov za účtovné obdobie a bezprostredne predchádzajúce účtovné obdobie: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250"/>
        <w:gridCol w:w="2250"/>
      </w:tblGrid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Bežné účtovné obdobie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Bezprostredne predchádzajúce účtovné obdobie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 toho: počet vedúcich zamestnancov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Počet vyslaných dobrovoľníkov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Počet prijatých dobrovoľníkov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5) Informácia o organizáciách v zriaďovateľskej pôsobnosti účtovnej jednotky: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OZ Hviezdy nemá organizačné jednotky ani iné organizácie vo svojej zriaďovateľskej pôsobnosti.</w:t>
      </w:r>
    </w:p>
    <w:p>
      <w:r>
        <w:rPr>
          <w:sz w:val="18"/>
          <w:szCs w:val="18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Článok II – INFORMÁCIE O ÚČTOVNÝCH ZÁSADÁCH A ÚČTOVNÝCH METÓDACH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1) Informácia, či je účtovná závierka zostavená za splnenia predpokladu, že účtovná jednotka bude nepretržite pokračovať vo svojej činnosti (najmenej 12 mesiacov po závierkovom dni):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závierka je zostavená za predpokladu, že OZ Hviezdy bude nepretržite pokračovať vo svojej činnosti. Vedenie OZ nemá vedomosť o žiadnych skutočnostiach, ktoré by tento predpoklad spochybňovali.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2) Zmeny účtovných zásad a zmeny účtovných metód s uvedením dôvodu týchto zmien: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V účtovnom období 12.03.2025 – 31.12.2025 nedošlo k žiadnym zmenám účtovných zásad ani účtovných metód. Ide o prvé účtovné obdobie od vzniku združenia.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3) Spôsob oceňovania jednotlivých položiek majetku a záväzkov (§ 25 zákona o účtovníctve):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5550"/>
        <w:gridCol w:w="3000"/>
      </w:tblGrid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Položka majetku alebo záväzkov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Spôsob ocenenia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nehmotný majetok obstaraný kúpou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obstarávacia cena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nehmotný majetok obstaraný vlastnou činnosťou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vlastné náklady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nehmotný majetok obstaraný iným spôsobom (darom)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reálna hodnota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hmotný majetok obstaraný kúpou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obstarávacia cena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hmotný majetok obstaraný vlastnou činnosťou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vlastné náklady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hmotný majetok obstaraný iným spôsobom (darom)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reálna hodnota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g)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dlhodobý finančný majetok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obstarávacia cena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zásoby obstarané kúpou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obstarávacia cena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zásoby vytvorené vlastnou činnosťou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vlastné náklady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j)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zásoby obstarané iným spôsobom (darom)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reálna hodnota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pohľadávky vlastné / pohľadávky kúpené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menovitá hodnota / obstarávacia cena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l)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krátkodobý finančný majetok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obstarávacia cena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časové rozlíšenie na strane aktív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menovitá hodnota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záväzky vrátane rezerv, dlhopisov, pôžičiek a úverov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menovitá hodnota</w:t>
            </w:r>
          </w:p>
        </w:tc>
      </w:tr>
      <w:tr>
        <w:tc>
          <w:tcPr>
            <w:tcW w:type="dxa" w:w="4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o)</w:t>
            </w:r>
          </w:p>
        </w:tc>
        <w:tc>
          <w:tcPr>
            <w:tcW w:type="dxa" w:w="5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časové rozlíšenie na strane pasív</w:t>
            </w:r>
          </w:p>
        </w:tc>
        <w:tc>
          <w:tcPr>
            <w:tcW w:type="dxa" w:w="30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menovitá hodnota</w:t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4) Spôsob zostavenia odpisového plánu: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nemá v evidencii žiadny dlhodobý hmotný ani nehmotný majetok, preto odpisový plán nebol zostavený.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5) Zásady pre zohľadnenie zníženia hodnoty majetku: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ÚJ nevytvára opravné položky ani rezervy. Účtovná jednotka, ktorá nie je založená alebo zriadená na podnikanie, nie je povinná vytvárať rezervy a opravné položky (§ 26/7 ZoU).</w:t>
      </w:r>
    </w:p>
    <w:p>
      <w:r>
        <w:rPr>
          <w:sz w:val="18"/>
          <w:szCs w:val="18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Článok III – INFORMÁCIE, KTORÉ DOPLŇUJÚ A VYSVETĽUJÚ ÚDAJE V SÚVAHE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1a,b,c) Údaje o dlhodobom nehmotnom a dlhodobom hmotnom majetku: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žiadny dlhodobý nehmotný ani dlhodobý hmotný majetok. Všetky hodnoty sú nulové.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2) Dlhodobý majetok so záložným právom alebo s obmedzeným právom nakladania: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nemá žiadny dlhodobý majetok zaťažený záložným právom ani s obmedzeným právom nakladania.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3) Údaje o spôsobe a výške poistenia dlhodobého majetku: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dlhodobý majetok, poistenie neuzatvárala.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4) Údaje o štruktúre dlhodobého finančného majetku: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žiadny dlhodobý finančný majetok.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5) Informácia o tvorbe a zúčtovaní opravných položiek k dlhodobému finančnému majetku: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Opravné položky k dlhodobému finančnému majetku neboli tvorené.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6) Prehľad o významných položkách krátkodobého finančného majetku: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krátkodobý finančný majetok vo forme cenných papierov.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7) Prehľad opravných položiek k zásobám: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zásoby ani opravné položky k zásobám.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8) Opis významných pohľadávok: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pohľadávky k 31.12.2025.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9) Prehľad opravných položiek k pohľadávkam: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Opravné položky k pohľadávkam neboli tvorené.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10) Prehľad pohľadávok do lehoty splatnosti a po lehote splatnosti: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250"/>
        <w:gridCol w:w="2250"/>
      </w:tblGrid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Stav na konci bežného účtovného obdobia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Stav na konci bezprostredne predchádzajúceho účtovného obdobia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Pohľadávky do lehoty splatnosti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Pohľadávky po lehote splatnosti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Pohľadávky spolu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11) Prehľad významných položiek časového rozlíšenia aktív (účet 381 a 385):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náklady ani príjmy budúcich období.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12) Opis a výška zmien vlastných zdrojov: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550"/>
        <w:gridCol w:w="1100"/>
        <w:gridCol w:w="1100"/>
        <w:gridCol w:w="1100"/>
        <w:gridCol w:w="1350"/>
      </w:tblGrid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Stav na začiatku bežného účtovného obdobia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Prírastky (+)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Úbytky (−)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Presuny (+/−)</w:t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Stav na konci bežného účtovného obdobia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Imanie a fondy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Základné imanie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Fondy tvorené podľa osobitného predpisu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Fond reprodukcie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Fondy zo zisku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Rezervný fond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Nevysporiadaný výsledok hospodárenia minulých rokov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Výsledok hospodárenia za účtovné obdobie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3 426,00</w:t>
            </w:r>
          </w:p>
        </w:tc>
      </w:tr>
      <w:tr>
        <w:tc>
          <w:tcPr>
            <w:tcW w:type="dxa" w:w="28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Spolu</w:t>
            </w:r>
          </w:p>
        </w:tc>
        <w:tc>
          <w:tcPr>
            <w:tcW w:type="dxa" w:w="15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3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3 426,00</w:t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13) Informácia o rozdelení účtovného zisku alebo vysporiadaní účtovnej straty: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Ide o prvé účtovné obdobie OZ. Výsledok hospodárenia za obdobie 12.03.2025 – 31.12.2025 predstavuje kladný zostatok vo výške 3 426,00 EUR, ktorý bude prevedený do nevysporiadaného výsledku hospodárenia minulých rokov v nasledujúcom účtovnom období.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14a) Údaje o tvorbe a použití rezerv: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netvorila žiadne rezervy.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14b) Údaje o významných položkách na účtoch 325 – Ostatné záväzky a 379 – Iné záväzky: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záväzky na uvedených účtoch.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14c,d) Prehľad o výške záväzkov do lehoty splatnosti a po lehote splatnosti: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250"/>
        <w:gridCol w:w="2250"/>
      </w:tblGrid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Druh záväzkov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Stav na konci bežného účtovného obdobia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Stav na konci bezprostredne predchádzajúceho účtovného obdobia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Záväzky po lehote splatnosti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Záväzky do lehoty splatnosti so zostatkovou dobou splatnosti do jedného roka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Krátkodobé záväzky spolu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Záväzky so zostatkovou dobou splatnosti od jedného do piatich rokov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Záväzky so zostatkovou dobou splatnosti viac ako päť rokov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Dlhodobé záväzky spolu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Krátkodobé a dlhodobé záväzky spolu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0,00</w:t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14e) Prehľad o záväzkoch zo sociálneho fondu: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nemá zamestnancov, sociálny fond nebol tvorený.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14f) Prehľad o bankových úveroch, pôžičkách a návratných finančných výpomociach: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bankové úvery, pôžičky ani návratné finančné výpomoci.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14g) Prehľad o významných položkách výdavkov budúcich období (účet 383):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výdavky budúcich období.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15) Prehľad o významných položkách výnosov budúcich období (účet 384):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výnosy budúcich období.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16) Údaje o majetku prenajatom formou finančného prenájmu: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nevyužíva finančný prenájom.</w:t>
      </w:r>
    </w:p>
    <w:p>
      <w:r>
        <w:rPr>
          <w:sz w:val="18"/>
          <w:szCs w:val="18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Článok IV – INFORMÁCIE, KTORÉ DOPLŇUJÚ A VYSVETĽUJÚ ÚDAJE VO VÝKAZE ZISKOV A STRÁT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1) Prehľad tržieb za vlastné výkony a tovar: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Tržby z predaja služieb (účet 602) za účtovné obdobie dosiahli celkovú sumu 3 850,00 EUR. Tieto tržby pochádzajú z hlavnej nezdaňovanej činnosti OZ (organizovanie aktivít pre žiakov a školu).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2) Opis a vyčíslenie hodnoty významných položiek prijatých darov a iných výnosov: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V sledovanom účtovnom období neboli prijaté žiadne dary ani iné ostatné výnosy. Výnosy z podielu zaplatenej dane (účet 665), dotácie ani príspevky neboli zaúčtované.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3) Prehľad dotácií a grantov: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neprijala v priebehu bežného účtovného obdobia žiadne dotácie ani granty.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4) Opis a suma významných položiek finančných výnosov: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finančné výnosy ani kurzové zisky.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5) Opis a vyčíslenie hodnoty významných položiek nákladov: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Spotreba materiálu (účet 501): 314,00 EUR – nákup materiálu potrebného na činnosť OZ.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Ostatné dane a poplatky (účet 538): 100,00 EUR – správne poplatky súvisiace s registráciou a činnosťou OZ.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Ostatné služby (účet 518): 10,00 EUR – bankové poplatky.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Celkové náklady: 424,00 EUR.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6) Prehľad o účele a výške použitia podielu zaplatenej dane:</w:t>
      </w:r>
    </w:p>
    <w:p>
      <w:r>
        <w:rPr>
          <w:sz w:val="18"/>
          <w:szCs w:val="1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2250"/>
        <w:gridCol w:w="2250"/>
      </w:tblGrid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Účel použitia podielu zaplatenej dane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Použitá suma bezprostredne predchádzajúceho účtovného obdobia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shd w:fill="D9E1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Použitá suma bežného účtovného obdobia</w:t>
            </w:r>
          </w:p>
        </w:tc>
      </w:tr>
      <w:tr>
        <w:tc>
          <w:tcPr>
            <w:tcW w:type="dxa" w:w="450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Podiel zaplatenej dane nebol prijatý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  <w:tc>
          <w:tcPr>
            <w:tcW w:type="dxa" w:w="2250"/>
            <w:tcBorders>
              <w:top w:val="single" w:color="9DC3E6" w:sz="1"/>
              <w:left w:val="single" w:color="9DC3E6" w:sz="1"/>
              <w:bottom w:val="single" w:color="9DC3E6" w:sz="1"/>
              <w:right w:val="single" w:color="9DC3E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0,00</w:t>
            </w:r>
          </w:p>
        </w:tc>
      </w:tr>
    </w:tbl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7) Opis a suma významných položiek finančných nákladov: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finančné náklady ani kurzové straty.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8) Náklady v súvislosti s auditom účtovnej závierky: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nemá povinnosť overenia účtovnej závierky audítorom.</w:t>
      </w:r>
    </w:p>
    <w:p>
      <w:r>
        <w:rPr>
          <w:sz w:val="18"/>
          <w:szCs w:val="18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Článok V – OPIS ÚDAJOV NA PODSÚVAHOVÝCH ÚČTOCH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žiadny prenajatý majetok, majetok prijatý do úschovy, ani odpísané pohľadávky. Na podsúvahových účtoch nie sú evidované žiadne významné položky.</w:t>
      </w:r>
    </w:p>
    <w:p>
      <w:r>
        <w:rPr>
          <w:sz w:val="18"/>
          <w:szCs w:val="18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Článok VI – ĎALŠIE INFORMÁCIE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1) Opis a hodnota iných aktív (podmienené aktíva):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podmienené aktíva.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2) Opis a hodnota iných pasív (podmienené záväzky):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podmienené záväzky ani záväzky vyplývajúce zo súdnych konaní alebo z poskytnutých záruk.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3) Opis významných položiek ostatných finančných povinností: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neeviduje žiadne finančné povinnosti, ktoré sa nesledujú v účtovníctve.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4) Prehľad nehnuteľných kultúrnych pamiatok: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Účtovná jednotka nespravuje ani nevlastní žiadne nehnuteľné kultúrne pamiatky.</w:t>
      </w:r>
    </w:p>
    <w:p>
      <w:r>
        <w:rPr>
          <w:sz w:val="18"/>
          <w:szCs w:val="18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5) Informácie o významných skutočnostiach (následné udalosti):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Medzi dňom, ku ktorému sa zostavuje účtovná závierka (31.12.2025), a dňom jej zostavenia (26.06.2026) nenastali žiadne významné skutočnosti, ktoré by ovplyvnili verné a pravdivé zobrazenie stavu majetku, záväzkov a výsledku hospodárenia účtovnej jednotky.</w:t>
      </w:r>
    </w:p>
    <w:p>
      <w:r>
        <w:rPr>
          <w:sz w:val="18"/>
          <w:szCs w:val="18"/>
        </w:rPr>
        <w:t xml:space="preserve"/>
      </w:r>
    </w:p>
    <w:p>
      <w:r>
        <w:rPr>
          <w:sz w:val="18"/>
          <w:szCs w:val="18"/>
        </w:rPr>
        <w:t xml:space="preserve"/>
      </w:r>
    </w:p>
    <w:p>
      <w:pPr>
        <w:spacing w:before="300"/>
      </w:pPr>
      <w:r>
        <w:rPr>
          <w:rFonts w:ascii="Arial" w:cs="Arial" w:eastAsia="Arial" w:hAnsi="Arial"/>
          <w:sz w:val="18"/>
          <w:szCs w:val="18"/>
        </w:rPr>
        <w:t xml:space="preserve">Dátum zostavenia: 26.06.2026</w:t>
      </w:r>
    </w:p>
    <w:p>
      <w:r>
        <w:rPr>
          <w:sz w:val="18"/>
          <w:szCs w:val="18"/>
        </w:rPr>
        <w:t xml:space="preserve"/>
      </w:r>
    </w:p>
    <w:p>
      <w:r>
        <w:rPr>
          <w:rFonts w:ascii="Arial" w:cs="Arial" w:eastAsia="Arial" w:hAnsi="Arial"/>
          <w:sz w:val="18"/>
          <w:szCs w:val="18"/>
        </w:rPr>
        <w:t xml:space="preserve">Podpis štatutárneho orgánu: ...................................................</w:t>
      </w:r>
    </w:p>
    <w:p>
      <w:r>
        <w:rPr>
          <w:rFonts w:ascii="Arial" w:cs="Arial" w:eastAsia="Arial" w:hAnsi="Arial"/>
          <w:sz w:val="18"/>
          <w:szCs w:val="18"/>
        </w:rPr>
        <w:t xml:space="preserve">Renata Orgoňová – predseda správnej rady OZ Hviezdy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2026-06-26T19:38:47.604Z</dcterms:created>
  <dcterms:modified xsi:type="dcterms:W3CDTF">2026-06-26T19:38:47.604Z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