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DA45DF" w14:textId="4E6ED70B" w:rsidR="00F0465E" w:rsidRPr="00304755" w:rsidRDefault="00F0465E" w:rsidP="00F0465E">
      <w:pPr>
        <w:pStyle w:val="Bezriadkovania"/>
        <w:rPr>
          <w:rFonts w:ascii="Times New Roman" w:hAnsi="Times New Roman" w:cs="Times New Roman"/>
          <w:b/>
          <w:bCs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 xml:space="preserve">Poznámky </w:t>
      </w:r>
      <w:proofErr w:type="spellStart"/>
      <w:r w:rsidRPr="00F0465E">
        <w:rPr>
          <w:rFonts w:ascii="Times New Roman" w:hAnsi="Times New Roman" w:cs="Times New Roman"/>
          <w:sz w:val="22"/>
          <w:szCs w:val="22"/>
        </w:rPr>
        <w:t>Úč</w:t>
      </w:r>
      <w:proofErr w:type="spellEnd"/>
      <w:r w:rsidRPr="00F0465E">
        <w:rPr>
          <w:rFonts w:ascii="Times New Roman" w:hAnsi="Times New Roman" w:cs="Times New Roman"/>
          <w:sz w:val="22"/>
          <w:szCs w:val="22"/>
        </w:rPr>
        <w:t xml:space="preserve"> MÚJ 3 – 01</w:t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 w:rsidRPr="00304755">
        <w:rPr>
          <w:rFonts w:ascii="Times New Roman" w:hAnsi="Times New Roman" w:cs="Times New Roman"/>
          <w:b/>
          <w:bCs/>
          <w:sz w:val="22"/>
          <w:szCs w:val="22"/>
        </w:rPr>
        <w:t>IČO: 57226954</w:t>
      </w:r>
      <w:r w:rsidRPr="00304755">
        <w:rPr>
          <w:rFonts w:ascii="Times New Roman" w:hAnsi="Times New Roman" w:cs="Times New Roman"/>
          <w:b/>
          <w:bCs/>
          <w:sz w:val="22"/>
          <w:szCs w:val="22"/>
        </w:rPr>
        <w:tab/>
        <w:t>DIČ: 2122615055</w:t>
      </w:r>
    </w:p>
    <w:p w14:paraId="77669697" w14:textId="77777777" w:rsidR="00F0465E" w:rsidRDefault="00F0465E" w:rsidP="00F0465E">
      <w:pPr>
        <w:pStyle w:val="Bezriadkovania"/>
        <w:rPr>
          <w:rFonts w:ascii="Times New Roman" w:hAnsi="Times New Roman" w:cs="Times New Roman"/>
          <w:b/>
          <w:bCs/>
          <w:sz w:val="22"/>
          <w:szCs w:val="22"/>
        </w:rPr>
      </w:pPr>
    </w:p>
    <w:p w14:paraId="06B57396" w14:textId="1E63D81D" w:rsidR="00F0465E" w:rsidRPr="00F0465E" w:rsidRDefault="00F0465E" w:rsidP="00F0465E">
      <w:pPr>
        <w:pStyle w:val="Bezriadkovania"/>
        <w:rPr>
          <w:rFonts w:ascii="Times New Roman" w:hAnsi="Times New Roman" w:cs="Times New Roman"/>
        </w:rPr>
      </w:pPr>
      <w:r w:rsidRPr="00F0465E">
        <w:rPr>
          <w:rFonts w:ascii="Times New Roman" w:hAnsi="Times New Roman" w:cs="Times New Roman"/>
          <w:b/>
          <w:bCs/>
        </w:rPr>
        <w:t xml:space="preserve">Poznámky k </w:t>
      </w:r>
      <w:proofErr w:type="spellStart"/>
      <w:r w:rsidRPr="00F0465E">
        <w:rPr>
          <w:rFonts w:ascii="Times New Roman" w:hAnsi="Times New Roman" w:cs="Times New Roman"/>
          <w:b/>
          <w:bCs/>
        </w:rPr>
        <w:t>mikro</w:t>
      </w:r>
      <w:proofErr w:type="spellEnd"/>
      <w:r w:rsidRPr="00F0465E">
        <w:rPr>
          <w:rFonts w:ascii="Times New Roman" w:hAnsi="Times New Roman" w:cs="Times New Roman"/>
          <w:b/>
          <w:bCs/>
        </w:rPr>
        <w:t xml:space="preserve"> účtovnej závierke za rok 202</w:t>
      </w:r>
      <w:r w:rsidRPr="00304755">
        <w:rPr>
          <w:rFonts w:ascii="Times New Roman" w:hAnsi="Times New Roman" w:cs="Times New Roman"/>
          <w:b/>
          <w:bCs/>
        </w:rPr>
        <w:t>5</w:t>
      </w:r>
    </w:p>
    <w:p w14:paraId="4C256431" w14:textId="547A4B05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zostavené podľa opatrenia Ministerstva financií SR č. </w:t>
      </w:r>
      <w:hyperlink r:id="rId5" w:tgtFrame="_blank" w:history="1">
        <w:r w:rsidRPr="00F0465E">
          <w:rPr>
            <w:rStyle w:val="Hypertextovprepojenie"/>
            <w:rFonts w:ascii="Times New Roman" w:hAnsi="Times New Roman" w:cs="Times New Roman"/>
            <w:sz w:val="22"/>
            <w:szCs w:val="22"/>
          </w:rPr>
          <w:t>MF/15464/2013-74</w:t>
        </w:r>
      </w:hyperlink>
      <w:r w:rsidRPr="00F0465E">
        <w:rPr>
          <w:rFonts w:ascii="Times New Roman" w:hAnsi="Times New Roman" w:cs="Times New Roman"/>
          <w:sz w:val="22"/>
          <w:szCs w:val="22"/>
        </w:rPr>
        <w:t xml:space="preserve">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F0465E">
        <w:rPr>
          <w:rFonts w:ascii="Times New Roman" w:hAnsi="Times New Roman" w:cs="Times New Roman"/>
          <w:sz w:val="22"/>
          <w:szCs w:val="22"/>
        </w:rPr>
        <w:t>mikro</w:t>
      </w:r>
      <w:proofErr w:type="spellEnd"/>
      <w:r w:rsidRPr="00F0465E">
        <w:rPr>
          <w:rFonts w:ascii="Times New Roman" w:hAnsi="Times New Roman" w:cs="Times New Roman"/>
          <w:sz w:val="22"/>
          <w:szCs w:val="22"/>
        </w:rPr>
        <w:t xml:space="preserve"> účtovné jednotky v znení neskorších predpisov.</w:t>
      </w:r>
    </w:p>
    <w:p w14:paraId="518191DA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b/>
          <w:bCs/>
          <w:sz w:val="22"/>
          <w:szCs w:val="22"/>
        </w:rPr>
        <w:t>Článok I</w:t>
      </w:r>
      <w:r w:rsidRPr="00F0465E">
        <w:rPr>
          <w:rFonts w:ascii="Times New Roman" w:hAnsi="Times New Roman" w:cs="Times New Roman"/>
          <w:b/>
          <w:bCs/>
          <w:sz w:val="22"/>
          <w:szCs w:val="22"/>
        </w:rPr>
        <w:br/>
        <w:t>Všeobecné údaje</w:t>
      </w:r>
    </w:p>
    <w:p w14:paraId="72C5412B" w14:textId="34DDCCCC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Identifikácia účtovnej jednotky:</w:t>
      </w:r>
      <w:r w:rsidRPr="00F0465E">
        <w:rPr>
          <w:rFonts w:ascii="Times New Roman" w:hAnsi="Times New Roman" w:cs="Times New Roman"/>
          <w:sz w:val="22"/>
          <w:szCs w:val="22"/>
        </w:rPr>
        <w:br/>
        <w:t xml:space="preserve">Názov: </w:t>
      </w:r>
      <w:r>
        <w:rPr>
          <w:rFonts w:ascii="Times New Roman" w:hAnsi="Times New Roman" w:cs="Times New Roman"/>
          <w:sz w:val="22"/>
          <w:szCs w:val="22"/>
        </w:rPr>
        <w:t>J. K.cars88 s.r.o.</w:t>
      </w:r>
      <w:r w:rsidRPr="00F0465E">
        <w:rPr>
          <w:rFonts w:ascii="Times New Roman" w:hAnsi="Times New Roman" w:cs="Times New Roman"/>
          <w:sz w:val="22"/>
          <w:szCs w:val="22"/>
        </w:rPr>
        <w:br/>
        <w:t xml:space="preserve">Sídlo: </w:t>
      </w:r>
      <w:r>
        <w:rPr>
          <w:rFonts w:ascii="Times New Roman" w:hAnsi="Times New Roman" w:cs="Times New Roman"/>
          <w:sz w:val="22"/>
          <w:szCs w:val="22"/>
        </w:rPr>
        <w:t>Havrania 170, 027 05  Zázrivá</w:t>
      </w:r>
    </w:p>
    <w:p w14:paraId="1461FAD2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Údaje o konsolidovanom celku – spoločnosť nie je súčasťou žiadneho konsolidovaného celku.</w:t>
      </w:r>
    </w:p>
    <w:p w14:paraId="0DE008DC" w14:textId="73FA3D39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Priemerný prepočítaný počet zamestnancov:</w:t>
      </w:r>
      <w:r>
        <w:rPr>
          <w:rFonts w:ascii="Times New Roman" w:hAnsi="Times New Roman" w:cs="Times New Roman"/>
          <w:sz w:val="22"/>
          <w:szCs w:val="22"/>
        </w:rPr>
        <w:t xml:space="preserve"> 1</w:t>
      </w:r>
    </w:p>
    <w:p w14:paraId="66C086BC" w14:textId="7D2F299A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 xml:space="preserve">bezprostredne predchádzajúce účtovné obdobie: </w:t>
      </w:r>
      <w:r>
        <w:rPr>
          <w:rFonts w:ascii="Times New Roman" w:hAnsi="Times New Roman" w:cs="Times New Roman"/>
          <w:sz w:val="22"/>
          <w:szCs w:val="22"/>
        </w:rPr>
        <w:t>0</w:t>
      </w:r>
    </w:p>
    <w:p w14:paraId="02FDB796" w14:textId="7430185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 xml:space="preserve">bežné účtovné obdobie: </w:t>
      </w:r>
      <w:r>
        <w:rPr>
          <w:rFonts w:ascii="Times New Roman" w:hAnsi="Times New Roman" w:cs="Times New Roman"/>
          <w:sz w:val="22"/>
          <w:szCs w:val="22"/>
        </w:rPr>
        <w:t>1</w:t>
      </w:r>
    </w:p>
    <w:p w14:paraId="5A78AE70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b/>
          <w:bCs/>
          <w:sz w:val="22"/>
          <w:szCs w:val="22"/>
        </w:rPr>
        <w:t>Článok II</w:t>
      </w:r>
      <w:r w:rsidRPr="00F0465E">
        <w:rPr>
          <w:rFonts w:ascii="Times New Roman" w:hAnsi="Times New Roman" w:cs="Times New Roman"/>
          <w:b/>
          <w:bCs/>
          <w:sz w:val="22"/>
          <w:szCs w:val="22"/>
        </w:rPr>
        <w:br/>
        <w:t>Informácie o prijatých postupoch</w:t>
      </w:r>
    </w:p>
    <w:p w14:paraId="62C8DA53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Účtovná závierka je zostavená pri splnení predpokladu nepretržitého pokračovania účtovnej jednotky v činnosti.</w:t>
      </w:r>
    </w:p>
    <w:p w14:paraId="4E6C989D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Spôsob oceňovania jednotlivých položiek majetku a záväzkov:</w:t>
      </w:r>
    </w:p>
    <w:p w14:paraId="37279F8B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dlhodobý nehmotný majetok, dlhodobý hmotný majetok, dlhodobý finančný majetok:</w:t>
      </w:r>
      <w:r w:rsidRPr="00F0465E">
        <w:rPr>
          <w:rFonts w:ascii="Times New Roman" w:hAnsi="Times New Roman" w:cs="Times New Roman"/>
          <w:sz w:val="22"/>
          <w:szCs w:val="22"/>
        </w:rPr>
        <w:br/>
        <w:t>Dlhodobý nehmotný majetok sa oceňuje obstarávacou cenou a v účtovnej závierke je vykázaný v obstarávacej cene zníženej o oprávky.</w:t>
      </w:r>
      <w:r w:rsidRPr="00F0465E">
        <w:rPr>
          <w:rFonts w:ascii="Times New Roman" w:hAnsi="Times New Roman" w:cs="Times New Roman"/>
          <w:sz w:val="22"/>
          <w:szCs w:val="22"/>
        </w:rPr>
        <w:br/>
        <w:t>Dlhodobý hmotný majetok sa oceňuje obstarávacou cenou, ktorá zahŕňa aj náklady na obstaranie a v účtovnej závierke je vykázaný v obstarávacej cene zníženej o oprávky.</w:t>
      </w:r>
      <w:r w:rsidRPr="00F0465E">
        <w:rPr>
          <w:rFonts w:ascii="Times New Roman" w:hAnsi="Times New Roman" w:cs="Times New Roman"/>
          <w:sz w:val="22"/>
          <w:szCs w:val="22"/>
        </w:rPr>
        <w:br/>
        <w:t>Dlhodobý finančný majetok účtovná jednotka nevlastní.</w:t>
      </w:r>
    </w:p>
    <w:p w14:paraId="06206F8A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zásoby obstarané kúpou, zásoby vytvorené vlastnou činnosťou:</w:t>
      </w:r>
      <w:r w:rsidRPr="00F0465E">
        <w:rPr>
          <w:rFonts w:ascii="Times New Roman" w:hAnsi="Times New Roman" w:cs="Times New Roman"/>
          <w:sz w:val="22"/>
          <w:szCs w:val="22"/>
        </w:rPr>
        <w:br/>
        <w:t>Zásoby obstarané kúpou sa oceňujú obstarávacou cenou. Vyskladnenie zásob rovnakého druhu sa oceňuje cenou zistenou váženým aritmetickým priemerom z obstarávacích cien. V účtovnej závierke sú zásoby vykázané v obstarávacej cene zníženej o opravnú položku tvorenú ku dňu zostavenia účtovnej závierky vo výške rozdielu medzi účtovnou hodnotou ťažko predajného tovaru a predpokladanými príjmami z predaja tohto tovaru.</w:t>
      </w:r>
      <w:r w:rsidRPr="00F0465E">
        <w:rPr>
          <w:rFonts w:ascii="Times New Roman" w:hAnsi="Times New Roman" w:cs="Times New Roman"/>
          <w:sz w:val="22"/>
          <w:szCs w:val="22"/>
        </w:rPr>
        <w:br/>
        <w:t>Účtovná jednotka zásoby vlastnou činnosťou nevytvára.</w:t>
      </w:r>
    </w:p>
    <w:p w14:paraId="2563C505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pohľadávky:</w:t>
      </w:r>
      <w:r w:rsidRPr="00F0465E">
        <w:rPr>
          <w:rFonts w:ascii="Times New Roman" w:hAnsi="Times New Roman" w:cs="Times New Roman"/>
          <w:sz w:val="22"/>
          <w:szCs w:val="22"/>
        </w:rPr>
        <w:br/>
        <w:t>Pohľadávky sa pri ich vzniku oceňujú menovitou hodnotou. V účtovnej závierke sú vykázané v hodnote zníženej o opravnú položku tvorenú ku dňu zostavenia účtovnej závierky z dôvodu existencie reálneho predpokladu, že ich dlžník nezaplatí, vo výške rozdielu účtovnej hodnoty pohľadávky a predpokladaného zaplatenia pohľadávky.</w:t>
      </w:r>
      <w:r w:rsidRPr="00F0465E">
        <w:rPr>
          <w:rFonts w:ascii="Times New Roman" w:hAnsi="Times New Roman" w:cs="Times New Roman"/>
          <w:sz w:val="22"/>
          <w:szCs w:val="22"/>
        </w:rPr>
        <w:br/>
        <w:t>Účtovná jednotka pohľadávky nadobudnuté postúpením nemá.</w:t>
      </w:r>
    </w:p>
    <w:p w14:paraId="7F8A1A05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krátkodobý finančný majetok:</w:t>
      </w:r>
      <w:r w:rsidRPr="00F0465E">
        <w:rPr>
          <w:rFonts w:ascii="Times New Roman" w:hAnsi="Times New Roman" w:cs="Times New Roman"/>
          <w:sz w:val="22"/>
          <w:szCs w:val="22"/>
        </w:rPr>
        <w:br/>
        <w:t>Peňažné prostriedky sa oceňujú menovitou hodnotou.</w:t>
      </w:r>
      <w:r w:rsidRPr="00F0465E">
        <w:rPr>
          <w:rFonts w:ascii="Times New Roman" w:hAnsi="Times New Roman" w:cs="Times New Roman"/>
          <w:sz w:val="22"/>
          <w:szCs w:val="22"/>
        </w:rPr>
        <w:br/>
        <w:t>Iný krátkodobý finančný majetok účtovná jednotka nevlastní.</w:t>
      </w:r>
    </w:p>
    <w:p w14:paraId="75163F0D" w14:textId="0E7CBAD9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záväzky vrátane rezerv, dlhopisov, pôžičiek a úverov:</w:t>
      </w:r>
      <w:r w:rsidRPr="00F0465E">
        <w:rPr>
          <w:rFonts w:ascii="Times New Roman" w:hAnsi="Times New Roman" w:cs="Times New Roman"/>
          <w:sz w:val="22"/>
          <w:szCs w:val="22"/>
        </w:rPr>
        <w:br/>
        <w:t>Záväzky sa pri ich vzniku oceňujú menovitou hodnotou. Prevzaté záväzky účtovná jednotka nemá.</w:t>
      </w:r>
      <w:r w:rsidRPr="00F0465E">
        <w:rPr>
          <w:rFonts w:ascii="Times New Roman" w:hAnsi="Times New Roman" w:cs="Times New Roman"/>
          <w:sz w:val="22"/>
          <w:szCs w:val="22"/>
        </w:rPr>
        <w:br/>
        <w:t>Účtovná jednotka tvorila ku dňu, ku ktorému sa zostavuje účtovná závierka, krátkodobé rezervy na nevyfakturované dodávky energií a na nevyčerpané dovolenky zamestnancov vrátane povinného poistného.</w:t>
      </w:r>
      <w:r w:rsidRPr="00F0465E">
        <w:rPr>
          <w:rFonts w:ascii="Times New Roman" w:hAnsi="Times New Roman" w:cs="Times New Roman"/>
          <w:sz w:val="22"/>
          <w:szCs w:val="22"/>
        </w:rPr>
        <w:br/>
        <w:t>Účtovná jednotka dlhopisy neemitovala.</w:t>
      </w:r>
      <w:r w:rsidRPr="00F0465E">
        <w:rPr>
          <w:rFonts w:ascii="Times New Roman" w:hAnsi="Times New Roman" w:cs="Times New Roman"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Ú</w:t>
      </w:r>
      <w:r w:rsidRPr="00F0465E">
        <w:rPr>
          <w:rFonts w:ascii="Times New Roman" w:hAnsi="Times New Roman" w:cs="Times New Roman"/>
          <w:sz w:val="22"/>
          <w:szCs w:val="22"/>
        </w:rPr>
        <w:t>čtovná jednotka derivátové operácie nevykonávala.</w:t>
      </w:r>
    </w:p>
    <w:p w14:paraId="58CECC95" w14:textId="5914826B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Spôsob zostavenia odpisového plánu pre jednotlivé druhy dlhodobého hmotného majetku a dlhodobého nehmotného majetku:</w:t>
      </w:r>
      <w:r w:rsidRPr="00F0465E">
        <w:rPr>
          <w:rFonts w:ascii="Times New Roman" w:hAnsi="Times New Roman" w:cs="Times New Roman"/>
          <w:sz w:val="22"/>
          <w:szCs w:val="22"/>
        </w:rPr>
        <w:br/>
        <w:t xml:space="preserve">Účtovná jednotka </w:t>
      </w:r>
      <w:r>
        <w:rPr>
          <w:rFonts w:ascii="Times New Roman" w:hAnsi="Times New Roman" w:cs="Times New Roman"/>
          <w:sz w:val="22"/>
          <w:szCs w:val="22"/>
        </w:rPr>
        <w:t xml:space="preserve">nevlastní </w:t>
      </w:r>
      <w:r w:rsidRPr="00F0465E">
        <w:rPr>
          <w:rFonts w:ascii="Times New Roman" w:hAnsi="Times New Roman" w:cs="Times New Roman"/>
          <w:sz w:val="22"/>
          <w:szCs w:val="22"/>
        </w:rPr>
        <w:t xml:space="preserve"> dlhodobý nehmotný</w:t>
      </w:r>
      <w:r>
        <w:rPr>
          <w:rFonts w:ascii="Times New Roman" w:hAnsi="Times New Roman" w:cs="Times New Roman"/>
          <w:sz w:val="22"/>
          <w:szCs w:val="22"/>
        </w:rPr>
        <w:t xml:space="preserve"> a hmotný</w:t>
      </w:r>
      <w:r w:rsidRPr="00F0465E">
        <w:rPr>
          <w:rFonts w:ascii="Times New Roman" w:hAnsi="Times New Roman" w:cs="Times New Roman"/>
          <w:sz w:val="22"/>
          <w:szCs w:val="22"/>
        </w:rPr>
        <w:t xml:space="preserve"> majetok</w:t>
      </w:r>
      <w:r>
        <w:rPr>
          <w:rFonts w:ascii="Times New Roman" w:hAnsi="Times New Roman" w:cs="Times New Roman"/>
          <w:sz w:val="22"/>
          <w:szCs w:val="22"/>
        </w:rPr>
        <w:t xml:space="preserve">. </w:t>
      </w:r>
      <w:r w:rsidRPr="00F0465E">
        <w:rPr>
          <w:rFonts w:ascii="Times New Roman" w:hAnsi="Times New Roman" w:cs="Times New Roman"/>
          <w:sz w:val="22"/>
          <w:szCs w:val="22"/>
        </w:rPr>
        <w:t xml:space="preserve"> </w:t>
      </w:r>
      <w:r w:rsidRPr="00F0465E">
        <w:rPr>
          <w:rFonts w:ascii="Times New Roman" w:hAnsi="Times New Roman" w:cs="Times New Roman"/>
          <w:sz w:val="22"/>
          <w:szCs w:val="22"/>
        </w:rPr>
        <w:br/>
        <w:t>Zmeny účtovných zásad a zmeny účtovných metód:</w:t>
      </w:r>
      <w:r w:rsidRPr="00F0465E">
        <w:rPr>
          <w:rFonts w:ascii="Times New Roman" w:hAnsi="Times New Roman" w:cs="Times New Roman"/>
          <w:sz w:val="22"/>
          <w:szCs w:val="22"/>
        </w:rPr>
        <w:br/>
        <w:t>Účtovná jednotka neuskutočnila zmeny účtovných zásad a účtovných metód.</w:t>
      </w:r>
    </w:p>
    <w:p w14:paraId="108B4494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lastRenderedPageBreak/>
        <w:t>Informácie o dotáciách a ich oceňovanie v účtovníctve:</w:t>
      </w:r>
      <w:r w:rsidRPr="00F0465E">
        <w:rPr>
          <w:rFonts w:ascii="Times New Roman" w:hAnsi="Times New Roman" w:cs="Times New Roman"/>
          <w:sz w:val="22"/>
          <w:szCs w:val="22"/>
        </w:rPr>
        <w:br/>
        <w:t>Účtovná jednotka nie je príjemcom dotácií.</w:t>
      </w:r>
    </w:p>
    <w:p w14:paraId="49D28A14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Informácie o účtovaní významných opráv chýb minulých účtovných období v bežnom účtovnom období a účtovanie nevýznamných chýb minulých účtovných období v bežnom účtovnom období:</w:t>
      </w:r>
      <w:r w:rsidRPr="00F0465E">
        <w:rPr>
          <w:rFonts w:ascii="Times New Roman" w:hAnsi="Times New Roman" w:cs="Times New Roman"/>
          <w:sz w:val="22"/>
          <w:szCs w:val="22"/>
        </w:rPr>
        <w:br/>
        <w:t>Účtovná jednotka neúčtovala o oprave chýb minulých účtovných období.</w:t>
      </w:r>
    </w:p>
    <w:p w14:paraId="2D07F077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b/>
          <w:bCs/>
          <w:sz w:val="22"/>
          <w:szCs w:val="22"/>
        </w:rPr>
        <w:t>Článok III</w:t>
      </w:r>
      <w:r w:rsidRPr="00F0465E">
        <w:rPr>
          <w:rFonts w:ascii="Times New Roman" w:hAnsi="Times New Roman" w:cs="Times New Roman"/>
          <w:b/>
          <w:bCs/>
          <w:sz w:val="22"/>
          <w:szCs w:val="22"/>
        </w:rPr>
        <w:br/>
        <w:t>Informácie, ktoré vysvetľujú a dopĺňajú súvahu a výkaz ziskov a strát</w:t>
      </w:r>
    </w:p>
    <w:p w14:paraId="24A0DED9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Informácia o sume a dôvodoch vzniku jednotlivých položiek nákladov alebo výnosov, ktoré majú výnimočný rozsah alebo výskyt:</w:t>
      </w:r>
      <w:r w:rsidRPr="00F0465E">
        <w:rPr>
          <w:rFonts w:ascii="Times New Roman" w:hAnsi="Times New Roman" w:cs="Times New Roman"/>
          <w:sz w:val="22"/>
          <w:szCs w:val="22"/>
        </w:rPr>
        <w:br/>
        <w:t>Účtovnej jednotke nevznikli náklady a výnosy s výnimočným rozsahom alebo výskytom.</w:t>
      </w:r>
    </w:p>
    <w:p w14:paraId="4A91E799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Informácie o záväzkoch:</w:t>
      </w:r>
    </w:p>
    <w:p w14:paraId="5A6EBE55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záväzky so zostatkovou dobou splatnosti dlhšou ako päť rokov: účtovná jednotka nemá,</w:t>
      </w:r>
    </w:p>
    <w:p w14:paraId="6588B657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zabezpečené záväzky: účtovná jednotka nemá.</w:t>
      </w:r>
    </w:p>
    <w:p w14:paraId="48C82449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Informácie o vlastných akciách:</w:t>
      </w:r>
      <w:r w:rsidRPr="00F0465E">
        <w:rPr>
          <w:rFonts w:ascii="Times New Roman" w:hAnsi="Times New Roman" w:cs="Times New Roman"/>
          <w:sz w:val="22"/>
          <w:szCs w:val="22"/>
        </w:rPr>
        <w:br/>
        <w:t>Účtovná jednotka nemá formu akciovej spoločnosti, vlastné akcie nenadobudla.</w:t>
      </w:r>
    </w:p>
    <w:p w14:paraId="4124E7F3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Tvorba kapitálového fondu z príspevkov:</w:t>
      </w:r>
      <w:r w:rsidRPr="00F0465E">
        <w:rPr>
          <w:rFonts w:ascii="Times New Roman" w:hAnsi="Times New Roman" w:cs="Times New Roman"/>
          <w:sz w:val="22"/>
          <w:szCs w:val="22"/>
        </w:rPr>
        <w:br/>
        <w:t>Účtovná jednotka kapitálový fond z príspevkov netvorila.</w:t>
      </w:r>
    </w:p>
    <w:p w14:paraId="3FE3308A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Informácie o orgánoch účtovnej jednotky:</w:t>
      </w:r>
    </w:p>
    <w:p w14:paraId="09CA011E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výška jednotlivých druhov záruk alebo iných zabezpečení poskytnutých pre členov štatutárneho orgánu, dozorného orgánu a iného orgánu účtovnej jednotky: účtovná jednotka záruky a iné zabezpečenie neeviduje,</w:t>
      </w:r>
    </w:p>
    <w:p w14:paraId="25998D5A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pôžičky poskytnuté členom štatutárneho orgánu, dozorného orgánu a iného orgánu účtovnej jednotky: účtovná jednotka pôžičky neeviduje,</w:t>
      </w:r>
    </w:p>
    <w:p w14:paraId="0ED08B0B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hlavné podmienky, na základe ktorých boli záruky, iné zabezpečenia a pôžičky poskytnuté: neboli poskytnuté,</w:t>
      </w:r>
    </w:p>
    <w:p w14:paraId="7172D433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celková suma použitých finančných prostriedkov alebo iného plnenia na súkromné účely členmi štatutárneho orgánu, dozorného orgánu a iného orgánu účtovnej jednotky, ktoré je potrebné vyúčtovať: účtovná jednotka na takýto účel finančné prostriedky nepoužila.</w:t>
      </w:r>
    </w:p>
    <w:p w14:paraId="5D439300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Informácie o povinnostiach účtovnej jednotky:</w:t>
      </w:r>
    </w:p>
    <w:p w14:paraId="046B4530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celková suma finančných povinností, ktoré sa nevykazujú v súvahe, ale sú významné na posúdenie finančnej situácie účtovnej jednotky: účtovná jednotka takúto povinnosť nemá,</w:t>
      </w:r>
    </w:p>
    <w:p w14:paraId="224A0247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celková suma významných podmienených záväzkov: účtovná jednotka takúto povinnosť nemá,</w:t>
      </w:r>
    </w:p>
    <w:p w14:paraId="0C462E58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opis významných finančných povinností a významných podmienených záväzkov: účtovná jednotka finančné povinnosti a podmienené záväzky nemá,</w:t>
      </w:r>
    </w:p>
    <w:p w14:paraId="7B6CA38E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celková suma významných finančných povinností a významných podmienených záväzkov voči dcérskej účtovnej jednotke a účtovnej jednotke s podstatným vplyvom: účtovná jednotka takého záväzky nemá,</w:t>
      </w:r>
    </w:p>
    <w:p w14:paraId="11CB8AA1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opis významných povinností účtovnej jednotky vyplývajúcich z dôchodkových programov pre zamestnancov: účtovná jednotka takého povinnosti nemá.</w:t>
      </w:r>
    </w:p>
    <w:p w14:paraId="489208B2" w14:textId="77777777" w:rsidR="00F0465E" w:rsidRP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F0465E">
        <w:rPr>
          <w:rFonts w:ascii="Times New Roman" w:hAnsi="Times New Roman" w:cs="Times New Roman"/>
          <w:sz w:val="22"/>
          <w:szCs w:val="22"/>
        </w:rPr>
        <w:t>Informácie o udelení výlučného práva alebo osobitného práva, ktorým sa udelilo právo poskytovať služby vo verejnom záujme: účtovná jednotka takého práva udelené nemá.</w:t>
      </w:r>
    </w:p>
    <w:p w14:paraId="504B541E" w14:textId="31B58FA1" w:rsidR="00F0465E" w:rsidRDefault="00F0465E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</w:p>
    <w:p w14:paraId="37B621D6" w14:textId="063097C4" w:rsidR="00304755" w:rsidRPr="00F0465E" w:rsidRDefault="00304755" w:rsidP="00F0465E">
      <w:pPr>
        <w:pStyle w:val="Bezriadkovania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V Zázrivej 26.6.2026</w:t>
      </w:r>
    </w:p>
    <w:p w14:paraId="5213A859" w14:textId="77777777" w:rsidR="008121C5" w:rsidRDefault="008121C5" w:rsidP="00F0465E">
      <w:pPr>
        <w:pStyle w:val="Bezriadkovania"/>
      </w:pPr>
    </w:p>
    <w:sectPr w:rsidR="008121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E82C97"/>
    <w:multiLevelType w:val="multilevel"/>
    <w:tmpl w:val="CC22DBF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5317015"/>
    <w:multiLevelType w:val="multilevel"/>
    <w:tmpl w:val="3FF06D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0162D3"/>
    <w:multiLevelType w:val="multilevel"/>
    <w:tmpl w:val="17CE7D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0753EFF"/>
    <w:multiLevelType w:val="multilevel"/>
    <w:tmpl w:val="EEEC70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53847923">
    <w:abstractNumId w:val="2"/>
  </w:num>
  <w:num w:numId="2" w16cid:durableId="482813831">
    <w:abstractNumId w:val="3"/>
  </w:num>
  <w:num w:numId="3" w16cid:durableId="589772291">
    <w:abstractNumId w:val="0"/>
  </w:num>
  <w:num w:numId="4" w16cid:durableId="4429664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465E"/>
    <w:rsid w:val="00304755"/>
    <w:rsid w:val="0042157D"/>
    <w:rsid w:val="008121C5"/>
    <w:rsid w:val="00BC1EA2"/>
    <w:rsid w:val="00F04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AC17C4"/>
  <w15:chartTrackingRefBased/>
  <w15:docId w15:val="{B8DB6D27-695D-4A26-B89F-BB75FF9BF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046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046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0465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046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0465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046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046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046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046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0465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0465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0465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0465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0465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0465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0465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0465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0465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046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046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046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046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046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0465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0465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0465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046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0465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0465E"/>
    <w:rPr>
      <w:b/>
      <w:bCs/>
      <w:smallCaps/>
      <w:color w:val="0F4761" w:themeColor="accent1" w:themeShade="BF"/>
      <w:spacing w:val="5"/>
    </w:rPr>
  </w:style>
  <w:style w:type="character" w:styleId="Hypertextovprepojenie">
    <w:name w:val="Hyperlink"/>
    <w:basedOn w:val="Predvolenpsmoodseku"/>
    <w:uiPriority w:val="99"/>
    <w:unhideWhenUsed/>
    <w:rsid w:val="00F0465E"/>
    <w:rPr>
      <w:color w:val="467886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0465E"/>
    <w:rPr>
      <w:color w:val="605E5C"/>
      <w:shd w:val="clear" w:color="auto" w:fill="E1DFDD"/>
    </w:rPr>
  </w:style>
  <w:style w:type="paragraph" w:styleId="Bezriadkovania">
    <w:name w:val="No Spacing"/>
    <w:uiPriority w:val="1"/>
    <w:qFormat/>
    <w:rsid w:val="00F0465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52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2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1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4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danovecentrum.sk/form/goto.ashx?t=40&amp;p=1398277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895</Words>
  <Characters>5102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Jančeková</dc:creator>
  <cp:keywords/>
  <dc:description/>
  <cp:lastModifiedBy>Silvia Jančeková</cp:lastModifiedBy>
  <cp:revision>1</cp:revision>
  <dcterms:created xsi:type="dcterms:W3CDTF">2026-06-26T13:25:00Z</dcterms:created>
  <dcterms:modified xsi:type="dcterms:W3CDTF">2026-06-26T13:37:00Z</dcterms:modified>
</cp:coreProperties>
</file>