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rPr/>
      </w:pPr>
      <w:r>
        <w:rPr/>
        <w:t>Poznámky</w:t>
      </w:r>
      <w:r>
        <w:rPr>
          <w:lang w:val="sk-SK"/>
        </w:rPr>
        <w:t xml:space="preserve"> k účtovnej závierke</w:t>
      </w:r>
      <w:r>
        <w:rPr/>
        <w:t xml:space="preserve"> 2025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zhotovené ku</w:t>
      </w:r>
      <w:r>
        <w:rPr>
          <w:b/>
          <w:bCs/>
          <w:lang w:val="sk-SK"/>
        </w:rPr>
        <w:t xml:space="preserve"> dňu</w:t>
      </w:r>
      <w:r>
        <w:rPr>
          <w:b/>
          <w:bCs/>
        </w:rPr>
        <w:t xml:space="preserve"> 31. 12. 2025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Všeobecné údaje k 31. 12. 2025: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rFonts w:ascii="Roboto" w:hAnsi="Roboto"/>
          <w:color w:val="807A7A"/>
          <w:sz w:val="21"/>
          <w:szCs w:val="21"/>
          <w:shd w:fill="FFFFFF" w:val="clear"/>
        </w:rPr>
      </w:pPr>
      <w:r>
        <w:rPr>
          <w:b/>
          <w:bCs/>
        </w:rPr>
        <w:t>1)</w:t>
        <w:tab/>
      </w:r>
      <w:r>
        <w:rPr/>
        <w:t>názov</w:t>
        <w:tab/>
      </w:r>
      <w:r>
        <w:rPr>
          <w:b/>
          <w:bCs/>
        </w:rPr>
        <w:tab/>
        <w:tab/>
      </w:r>
      <w:r>
        <w:rPr/>
        <w:t>BONITA GROUP SERVICE SK s.r.o.</w:t>
      </w:r>
    </w:p>
    <w:p>
      <w:pPr>
        <w:pStyle w:val="Normal"/>
        <w:rPr/>
      </w:pPr>
      <w:r>
        <w:rPr>
          <w:b/>
          <w:bCs/>
        </w:rPr>
        <w:tab/>
      </w:r>
      <w:r>
        <w:rPr/>
        <w:t>právna forma</w:t>
        <w:tab/>
        <w:tab/>
        <w:t>spoločnosť s ručením obmedzeným</w:t>
      </w:r>
    </w:p>
    <w:p>
      <w:pPr>
        <w:pStyle w:val="Normal"/>
        <w:ind w:firstLine="708"/>
        <w:rPr/>
      </w:pPr>
      <w:r>
        <w:rPr/>
        <w:t xml:space="preserve">adresa   </w:t>
        <w:tab/>
        <w:tab/>
        <w:t>Plynárenská 1, Bratislava 821 09</w:t>
      </w:r>
    </w:p>
    <w:p>
      <w:pPr>
        <w:pStyle w:val="Normal"/>
        <w:ind w:firstLine="708"/>
        <w:rPr/>
      </w:pPr>
      <w:r>
        <w:rPr/>
        <w:t>identifikačné číslo</w:t>
        <w:tab/>
        <w:t>55366881</w:t>
      </w:r>
    </w:p>
    <w:p>
      <w:pPr>
        <w:pStyle w:val="Normal"/>
        <w:ind w:left="2832" w:hanging="2124"/>
        <w:rPr/>
      </w:pPr>
      <w:r>
        <w:rPr/>
        <w:t>predmet činnosti</w:t>
        <w:tab/>
        <w:t>realizácia detských ihrísk a dodávanie certifikovaných herných prvkov</w:t>
      </w:r>
    </w:p>
    <w:p>
      <w:pPr>
        <w:pStyle w:val="Normal"/>
        <w:ind w:firstLine="708"/>
        <w:rPr/>
      </w:pPr>
      <w:r>
        <w:rPr/>
        <w:tab/>
        <w:tab/>
        <w:tab/>
        <w:t xml:space="preserve">nákup tovaru za účelom dalšieho predaja </w:t>
      </w:r>
    </w:p>
    <w:p>
      <w:pPr>
        <w:pStyle w:val="Normal"/>
        <w:ind w:firstLine="708"/>
        <w:rPr/>
      </w:pPr>
      <w:r>
        <w:rPr/>
        <w:t>dátum vzniku</w:t>
        <w:tab/>
        <w:tab/>
      </w:r>
      <w:r>
        <w:rPr/>
        <w:t>14</w:t>
      </w:r>
      <w:r>
        <w:rPr/>
        <w:t>.0</w:t>
      </w:r>
      <w:r>
        <w:rPr/>
        <w:t>4</w:t>
      </w:r>
      <w:r>
        <w:rPr/>
        <w:t>. 202</w:t>
      </w:r>
      <w:r>
        <w:rPr/>
        <w:t>3</w:t>
      </w:r>
    </w:p>
    <w:p>
      <w:pPr>
        <w:pStyle w:val="Normal"/>
        <w:ind w:firstLine="708"/>
        <w:rPr>
          <w:lang w:val="sk-SK"/>
        </w:rPr>
      </w:pPr>
      <w:r>
        <w:rPr/>
        <w:t>súvahový deň</w:t>
        <w:tab/>
      </w:r>
    </w:p>
    <w:p>
      <w:pPr>
        <w:pStyle w:val="Normal"/>
        <w:ind w:firstLine="708"/>
        <w:rPr/>
      </w:pPr>
      <w:r>
        <w:rPr>
          <w:lang w:val="sk-SK"/>
        </w:rPr>
        <w:t>účtovná závierka</w:t>
      </w:r>
      <w:r>
        <w:rPr/>
        <w:tab/>
        <w:t>31. 12. 2025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rPr/>
      </w:pPr>
      <w:r>
        <w:rPr>
          <w:b/>
          <w:bCs/>
          <w:lang w:val="sk-SK"/>
        </w:rPr>
        <w:tab/>
        <w:t>štatutárny</w:t>
      </w:r>
      <w:r>
        <w:rPr>
          <w:b/>
          <w:bCs/>
        </w:rPr>
        <w:t xml:space="preserve"> orgán:</w:t>
      </w:r>
      <w:r>
        <w:rPr>
          <w:i/>
          <w:iCs/>
        </w:rPr>
        <w:t xml:space="preserve"> </w:t>
      </w:r>
    </w:p>
    <w:p>
      <w:pPr>
        <w:pStyle w:val="Normal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6061"/>
        <w:gridCol w:w="3008"/>
      </w:tblGrid>
      <w:tr>
        <w:trPr/>
        <w:tc>
          <w:tcPr>
            <w:tcW w:w="6061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>
                <w:rFonts w:ascii="Arial CE" w:hAnsi="Arial CE" w:cs="Arial CE"/>
                <w:color w:val="000000"/>
                <w:sz w:val="20"/>
                <w:szCs w:val="20"/>
              </w:rPr>
            </w:pP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konatelia</w:t>
            </w:r>
          </w:p>
        </w:tc>
        <w:tc>
          <w:tcPr>
            <w:tcW w:w="3008" w:type="dxa"/>
            <w:tcBorders/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vanish/>
        </w:rPr>
      </w:pPr>
      <w:r>
        <w:rPr>
          <w:vanish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6061"/>
        <w:gridCol w:w="3008"/>
      </w:tblGrid>
      <w:tr>
        <w:trPr/>
        <w:tc>
          <w:tcPr>
            <w:tcW w:w="6061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hyperlink r:id="rId2">
              <w:r>
                <w:rPr>
                  <w:rStyle w:val="Ra"/>
                  <w:rFonts w:cs="Arial CE" w:ascii="Arial CE" w:hAnsi="Arial CE"/>
                  <w:color w:val="000000"/>
                  <w:sz w:val="20"/>
                  <w:szCs w:val="20"/>
                </w:rPr>
                <w:t>Miroslav Kolstrunk</w:t>
              </w:r>
            </w:hyperlink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Koráb 131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Tišnov 666 01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Česká republika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Vznik funkcie: 14.04.2023</w:t>
            </w:r>
            <w:r>
              <w:rPr/>
              <w:br/>
            </w:r>
          </w:p>
        </w:tc>
        <w:tc>
          <w:tcPr>
            <w:tcW w:w="3008" w:type="dxa"/>
            <w:tcBorders/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vanish/>
        </w:rPr>
      </w:pPr>
      <w:r>
        <w:rPr>
          <w:vanish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070"/>
      </w:tblGrid>
      <w:tr>
        <w:trPr/>
        <w:tc>
          <w:tcPr>
            <w:tcW w:w="9070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  <w:tab/>
        <w:tab/>
        <w:tab/>
        <w:tab/>
      </w:r>
    </w:p>
    <w:p>
      <w:pPr>
        <w:pStyle w:val="Normal"/>
        <w:ind w:left="708" w:hanging="0"/>
        <w:rPr/>
      </w:pPr>
      <w:r>
        <w:rPr/>
        <w:t>Výška základného</w:t>
      </w:r>
      <w:r>
        <w:rPr>
          <w:lang w:val="sk-SK"/>
        </w:rPr>
        <w:t xml:space="preserve"> imania</w:t>
      </w:r>
      <w:r>
        <w:rPr/>
        <w:t xml:space="preserve"> – 5 000 EUR</w:t>
      </w:r>
    </w:p>
    <w:p>
      <w:pPr>
        <w:pStyle w:val="Normal"/>
        <w:ind w:firstLine="708"/>
        <w:rPr>
          <w:lang w:val="sk-SK"/>
        </w:rPr>
      </w:pPr>
      <w:r>
        <w:rPr>
          <w:lang w:val="sk-SK"/>
        </w:rPr>
      </w:r>
    </w:p>
    <w:p>
      <w:pPr>
        <w:pStyle w:val="Normal"/>
        <w:ind w:firstLine="708"/>
        <w:rPr/>
      </w:pPr>
      <w:r>
        <w:rPr>
          <w:lang w:val="sk-SK"/>
        </w:rPr>
        <w:t xml:space="preserve">Výsledok </w:t>
      </w:r>
      <w:r>
        <w:rPr>
          <w:lang w:val="sk-SK"/>
        </w:rPr>
        <w:t>h</w:t>
      </w:r>
      <w:r>
        <w:rPr>
          <w:lang w:val="sk-SK"/>
        </w:rPr>
        <w:t>ospodárenia po zdanení</w:t>
      </w:r>
      <w:r>
        <w:rPr/>
        <w:t xml:space="preserve"> za rok 2025 – strata  -346 385,87 EUR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 xml:space="preserve">2)       </w:t>
      </w:r>
      <w:r>
        <w:rPr>
          <w:b/>
          <w:bCs/>
          <w:lang w:val="sk-SK"/>
        </w:rPr>
        <w:t>Informácie</w:t>
      </w:r>
      <w:r>
        <w:rPr>
          <w:b/>
          <w:bCs/>
        </w:rPr>
        <w:t xml:space="preserve"> o</w:t>
      </w:r>
      <w:r>
        <w:rPr>
          <w:b/>
          <w:bCs/>
          <w:lang w:val="sk-SK"/>
        </w:rPr>
        <w:t xml:space="preserve"> účtovných metódach</w:t>
      </w:r>
      <w:r>
        <w:rPr>
          <w:b/>
          <w:bCs/>
        </w:rPr>
        <w:t xml:space="preserve"> a zásadách.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  <w:t>-</w:t>
      </w:r>
      <w:r>
        <w:rPr>
          <w:b/>
          <w:bCs/>
          <w:lang w:val="sk-SK"/>
        </w:rPr>
        <w:t xml:space="preserve"> zmeny spôsobu oceňovania</w:t>
      </w:r>
      <w:r>
        <w:rPr>
          <w:b/>
          <w:bCs/>
        </w:rPr>
        <w:t>,</w:t>
      </w:r>
      <w:r>
        <w:rPr>
          <w:b/>
          <w:bCs/>
          <w:lang w:val="sk-SK"/>
        </w:rPr>
        <w:t xml:space="preserve"> postupov odpisovania</w:t>
      </w:r>
      <w:r>
        <w:rPr>
          <w:b/>
          <w:bCs/>
        </w:rPr>
        <w:t>,</w:t>
      </w:r>
      <w:r>
        <w:rPr>
          <w:b/>
          <w:bCs/>
          <w:lang w:val="sk-SK"/>
        </w:rPr>
        <w:t xml:space="preserve"> účtovanie</w:t>
      </w:r>
      <w:r>
        <w:rPr>
          <w:b/>
          <w:bCs/>
        </w:rPr>
        <w:t xml:space="preserve"> oproti       </w:t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  <w:t xml:space="preserve">  </w:t>
      </w:r>
      <w:r>
        <w:rPr>
          <w:b/>
          <w:bCs/>
          <w:lang w:val="sk-SK"/>
        </w:rPr>
        <w:t>predchádzajúcemu účtovnému obdobiu</w:t>
      </w:r>
      <w:r>
        <w:rPr>
          <w:b/>
          <w:bCs/>
        </w:rPr>
        <w:t xml:space="preserve"> –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nie sú</w:t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firstLine="708"/>
        <w:rPr>
          <w:b/>
          <w:b/>
          <w:bCs/>
        </w:rPr>
      </w:pPr>
      <w:r>
        <w:rPr>
          <w:b/>
          <w:bCs/>
        </w:rPr>
        <w:t>- opravné položky k majetku –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nie sú</w:t>
      </w:r>
    </w:p>
    <w:p>
      <w:pPr>
        <w:pStyle w:val="BodyTextIndent3"/>
        <w:rPr>
          <w:b/>
          <w:b/>
          <w:bCs/>
        </w:rPr>
      </w:pPr>
      <w:r>
        <w:rPr>
          <w:b/>
          <w:bCs/>
        </w:rPr>
      </w:r>
    </w:p>
    <w:p>
      <w:pPr>
        <w:pStyle w:val="BodyTextIndent3"/>
        <w:rPr>
          <w:b/>
          <w:b/>
          <w:bCs/>
        </w:rPr>
      </w:pPr>
      <w:r>
        <w:rPr>
          <w:b/>
          <w:bCs/>
        </w:rPr>
        <w:t>-</w:t>
      </w:r>
      <w:r>
        <w:rPr>
          <w:b/>
          <w:bCs/>
          <w:lang w:val="sk-SK"/>
        </w:rPr>
        <w:t xml:space="preserve"> spôsob prepočtu údajov</w:t>
      </w:r>
      <w:r>
        <w:rPr>
          <w:b/>
          <w:bCs/>
        </w:rPr>
        <w:t xml:space="preserve"> v</w:t>
      </w:r>
      <w:r>
        <w:rPr>
          <w:b/>
          <w:bCs/>
          <w:lang w:val="sk-SK"/>
        </w:rPr>
        <w:t> cudzích menách</w:t>
      </w:r>
    </w:p>
    <w:p>
      <w:pPr>
        <w:pStyle w:val="BodyTextIndent3"/>
        <w:rPr>
          <w:b/>
          <w:b/>
          <w:bCs/>
          <w:lang w:val="sk-SK"/>
        </w:rPr>
      </w:pPr>
      <w:r>
        <w:rPr>
          <w:b/>
          <w:bCs/>
          <w:lang w:val="sk-SK"/>
        </w:rPr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rPr/>
      </w:pPr>
      <w:r>
        <w:rPr>
          <w:lang w:val="sk-SK"/>
        </w:rPr>
        <w:t>Záväzky a pohľadávky</w:t>
      </w:r>
      <w:r>
        <w:rPr/>
        <w:t xml:space="preserve">:  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rPr/>
      </w:pPr>
      <w:r>
        <w:rPr>
          <w:lang w:val="sk-SK"/>
        </w:rPr>
        <w:tab/>
        <w:t>kurzom</w:t>
      </w:r>
      <w:r>
        <w:rPr/>
        <w:t xml:space="preserve"> ECB v deň predchádzajúci dňu uskutočnenia účtovného prípadu a v v deň, ku ktorému sa zostavuje účtovná závierka, 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jc w:val="both"/>
        <w:rPr/>
      </w:pPr>
      <w:r>
        <w:rPr/>
        <w:t>Pokladničná hotovosť: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jc w:val="both"/>
        <w:rPr/>
      </w:pPr>
      <w:r>
        <w:rPr/>
        <w:tab/>
        <w:t>Na ocenenie prírastku cudzej meny nakúpenej za menu euro, sa použije kurz, za ktorý bola táto cudzia mena nakúpená, alebo referenčný kurz v deň uzavretia obchodu. Na ocenenie prírastku cudzej meny v mene euro nakúpenej za inú cudziu menu, sa použije hodnota inej cudzej meny v eurách alebo sa na ocenenie prírastku cudzej meny v eurách použije referenčný kurz v deň uzavretia obchodu.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jc w:val="both"/>
        <w:rPr/>
      </w:pPr>
      <w:r>
        <w:rPr/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  <w:t xml:space="preserve">3)        </w:t>
      </w:r>
      <w:r>
        <w:rPr>
          <w:b/>
          <w:bCs/>
          <w:lang w:val="sk-SK"/>
        </w:rPr>
        <w:t>Informácie týkajúce sa majetkov</w:t>
      </w:r>
      <w:r>
        <w:rPr>
          <w:b/>
          <w:bCs/>
        </w:rPr>
        <w:t xml:space="preserve"> a</w:t>
      </w:r>
      <w:r>
        <w:rPr>
          <w:b/>
          <w:bCs/>
          <w:lang w:val="sk-SK"/>
        </w:rPr>
        <w:t xml:space="preserve"> záväzkov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majetok neuvedený v súvahe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</w:t>
      </w:r>
      <w:r>
        <w:rPr>
          <w:lang w:val="sk-SK"/>
        </w:rPr>
        <w:t xml:space="preserve"> majetok zaťažený záložným právom</w:t>
      </w:r>
      <w:r>
        <w:rPr/>
        <w:t xml:space="preserve">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majetok s výrazne odlišnou trhovou cenou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cudzí majetok uvedený v súvahe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/>
        <w:t xml:space="preserve">  </w:t>
      </w:r>
      <w:r>
        <w:rPr/>
        <w:t>- dôchodkové záväzky a záväzky vôči osobám v konsolidačnom celku – nie sú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  <w:highlight w:val="yellow"/>
        </w:rPr>
      </w:pPr>
      <w:r>
        <w:rPr>
          <w:b/>
          <w:bCs/>
        </w:rPr>
        <w:t xml:space="preserve">             </w:t>
      </w:r>
      <w:r>
        <w:rPr>
          <w:b/>
          <w:bCs/>
        </w:rPr>
        <w:t>- súhrnná výška pohľadávok po lehote splatnosti: 24236,54 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/>
        <w:t xml:space="preserve">                    </w:t>
      </w:r>
      <w:r>
        <w:rPr/>
        <w:t>- pohľadávky po splatnosti – do 30 dní –21141,72 EUR</w:t>
      </w:r>
      <w:r>
        <w:rPr>
          <w:highlight w:val="yellow"/>
        </w:rPr>
        <w:br/>
      </w:r>
      <w:r>
        <w:rPr/>
        <w:t xml:space="preserve">                    - pohľadávky po splatnosti – nad 30 do 90 dní – 1248,45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/>
        <w:t xml:space="preserve">                    </w:t>
      </w:r>
      <w:r>
        <w:rPr/>
        <w:t>- pohľadávky po splatnosti – nad 90 do 180 dní – 1846,37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po splatnosti – nad 180 dní – 0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s dlhšou dobou splatnosti ako 5 rokov – nie sú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 xml:space="preserve">- pohľadávky k podnikom v skupine – BONITA GROUP a.s.: nie sú              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kryté záložným právom – nie sú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>
          <w:bCs/>
        </w:rPr>
        <w:t>- opravné položky k pohľadávkám</w:t>
      </w:r>
      <w:r>
        <w:rPr>
          <w:b/>
          <w:bCs/>
        </w:rPr>
        <w:t xml:space="preserve"> – </w:t>
      </w:r>
      <w:r>
        <w:rPr/>
        <w:t>0 EUR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s dlhšou dobou splatnosti ako 5 rokov – nie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  <w:highlight w:val="yellow"/>
        </w:rPr>
      </w:pPr>
      <w:r>
        <w:rPr>
          <w:b/>
          <w:bCs/>
          <w:highlight w:val="yellow"/>
        </w:rPr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  <w:t xml:space="preserve">             </w:t>
      </w:r>
      <w:r>
        <w:rPr>
          <w:b/>
          <w:bCs/>
        </w:rPr>
        <w:t>- súhrnná výška záväzkov po lehote splatnosti:  52967 EUR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color w:val="FF0000"/>
          <w:highlight w:val="yellow"/>
        </w:rPr>
      </w:pPr>
      <w:r>
        <w:rPr>
          <w:color w:val="FF0000"/>
          <w:highlight w:val="yellow"/>
        </w:rPr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záväzky po splatnosti – do 30 dní – 52967 EUR</w:t>
      </w:r>
      <w:r>
        <w:rPr>
          <w:highlight w:val="yellow"/>
        </w:rPr>
        <w:br/>
      </w:r>
      <w:r>
        <w:rPr/>
        <w:t xml:space="preserve">  - záväzky po splatnosti – nad 30 do 90 dní – 0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záväzky po splatnosti nad 90 dní -  0 EUR  - záväzky s dlhšou dobou          splatnosti ako 5 rokov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color w:val="FF0000"/>
        </w:rPr>
      </w:pPr>
      <w:r>
        <w:rPr/>
        <w:t xml:space="preserve">                    </w:t>
      </w:r>
      <w:r>
        <w:rPr/>
        <w:t>- záväzky k podnikom v skupine – Bonita Group Service s.r.o.:  52967 EUR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      </w:t>
      </w:r>
      <w:r>
        <w:rPr/>
        <w:t>- záväzky kryté záložným právom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      </w:t>
      </w:r>
      <w:r>
        <w:rPr/>
        <w:t>- záväzky nezachytené v súvahe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</w:rPr>
      </w:pPr>
      <w:r>
        <w:rPr>
          <w:b/>
        </w:rPr>
        <w:t xml:space="preserve">              </w:t>
      </w:r>
      <w:r>
        <w:rPr>
          <w:b/>
        </w:rPr>
        <w:t>Stav pôžičiek a úverov k 31. 12. 2025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>
          <w:highlight w:val="yellow"/>
        </w:rPr>
        <w:t xml:space="preserve">              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360" w:hanging="0"/>
        <w:jc w:val="both"/>
        <w:rPr/>
      </w:pPr>
      <w:r>
        <w:rPr/>
        <w:t>Ku dňu 31.12.2025 spoločnosť eviduje kontokorentný úver v ČSOB banke vo výške 78604,91 €.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0"/>
        <w:rPr>
          <w:b/>
          <w:b/>
          <w:bCs/>
          <w:highlight w:val="yellow"/>
        </w:rPr>
      </w:pPr>
      <w:r>
        <w:rPr>
          <w:highlight w:val="yellow"/>
        </w:rPr>
        <w:t xml:space="preserve">      </w:t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0" w:hanging="0"/>
        <w:rPr/>
      </w:pPr>
      <w:r>
        <w:rPr/>
        <w:t xml:space="preserve"> </w:t>
      </w:r>
      <w:r>
        <w:rPr/>
        <w:t>4)         Informácie o výkaze ziskov a strát</w:t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0" w:hanging="0"/>
        <w:rPr/>
      </w:pPr>
      <w:r>
        <w:rPr/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708" w:hanging="0"/>
        <w:rPr>
          <w:b w:val="false"/>
          <w:b w:val="false"/>
          <w:bCs w:val="false"/>
          <w:color w:val="FF0000"/>
        </w:rPr>
      </w:pPr>
      <w:r>
        <w:rPr>
          <w:b w:val="false"/>
          <w:bCs w:val="false"/>
        </w:rPr>
        <w:t>- tržby za vlastné výkony a tovar (údaje v celých EUR):           1 223 037 EUR</w:t>
      </w:r>
      <w:r>
        <w:rPr/>
        <w:t xml:space="preserve">                    - výnosy </w:t>
      </w:r>
      <w:r>
        <w:rPr>
          <w:b w:val="false"/>
          <w:bCs w:val="false"/>
        </w:rPr>
        <w:t>z prevádzkovej činnosti</w:t>
      </w:r>
      <w:r>
        <w:rPr/>
        <w:t xml:space="preserve"> </w:t>
      </w:r>
      <w:r>
        <w:rPr>
          <w:b w:val="false"/>
          <w:bCs w:val="false"/>
        </w:rPr>
        <w:t xml:space="preserve">(údaje v celých EUR):        </w:t>
        <w:tab/>
        <w:t>6 600 EUR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right" w:pos="4320" w:leader="none"/>
          <w:tab w:val="center" w:pos="4500" w:leader="none"/>
          <w:tab w:val="right" w:pos="5220" w:leader="none"/>
          <w:tab w:val="left" w:pos="6300" w:leader="none"/>
        </w:tabs>
        <w:rPr/>
      </w:pPr>
      <w:r>
        <w:rPr/>
        <w:t xml:space="preserve">             </w:t>
      </w:r>
      <w:r>
        <w:rPr/>
        <w:t>- výnosy z</w:t>
      </w:r>
      <w:r>
        <w:rPr>
          <w:lang w:val="sk-SK"/>
        </w:rPr>
        <w:t> finančnej</w:t>
      </w:r>
      <w:r>
        <w:rPr/>
        <w:t xml:space="preserve"> činnosti (</w:t>
      </w:r>
      <w:r>
        <w:rPr>
          <w:bCs/>
        </w:rPr>
        <w:t>údaje v celých EUR</w:t>
      </w:r>
      <w:r>
        <w:rPr/>
        <w:t xml:space="preserve">):                 </w:t>
        <w:tab/>
        <w:t xml:space="preserve">       2 EUR   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right" w:pos="4320" w:leader="none"/>
          <w:tab w:val="center" w:pos="4500" w:leader="none"/>
          <w:tab w:val="right" w:pos="5220" w:leader="none"/>
          <w:tab w:val="left" w:pos="6300" w:leader="none"/>
        </w:tabs>
        <w:rPr/>
      </w:pPr>
      <w:r>
        <w:rPr/>
        <w:t xml:space="preserve">             </w:t>
      </w:r>
      <w:r>
        <w:rPr/>
        <w:t xml:space="preserve">- </w:t>
      </w:r>
      <w:r>
        <w:rPr>
          <w:lang w:val="sk-SK"/>
        </w:rPr>
        <w:t xml:space="preserve"> daň</w:t>
      </w:r>
      <w:r>
        <w:rPr/>
        <w:t xml:space="preserve"> z</w:t>
      </w:r>
      <w:r>
        <w:rPr>
          <w:lang w:val="sk-SK"/>
        </w:rPr>
        <w:t> príjmov - splatná</w:t>
      </w:r>
      <w:r>
        <w:rPr/>
        <w:t>:</w:t>
      </w:r>
      <w:r>
        <w:rPr>
          <w:lang w:val="sk-SK"/>
        </w:rPr>
        <w:t xml:space="preserve"> </w:t>
        <w:tab/>
        <w:tab/>
        <w:tab/>
        <w:tab/>
        <w:tab/>
        <w:t xml:space="preserve">           3 840  EUR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0"/>
        <w:rPr/>
      </w:pPr>
      <w:r>
        <w:rPr/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1080"/>
        <w:rPr>
          <w:b/>
          <w:b/>
        </w:rPr>
      </w:pPr>
      <w:r>
        <w:rPr>
          <w:b/>
        </w:rPr>
        <w:t>5)          Udalosti, ktoré nastali po okamihu účtovnej závierky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1080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jc w:val="both"/>
        <w:rPr/>
      </w:pPr>
      <w:r>
        <w:rPr/>
        <w:t>Dňa 24.2.2022 vypukol vojnový konflikt na Ukrajine. V súvislosti s týmto konfliktom vedenie Spoločnosti urobilo analýzu možných účinkov a následkov na Spoločnosť a dospelo k názoru, že v súčasnosti nemajú významné nepriaznivé dopady na Spoločnosť (okrem nastúcich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jc w:val="both"/>
        <w:rPr/>
      </w:pPr>
      <w:r>
        <w:rPr/>
        <w:t>Po 31. decembri 2025 nenastali žiadne udalosti majúce významný vplyv na verné zobrazenie skutočností, ktoré sú predmetom účtovníctva.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418" w:right="1418" w:gutter="0" w:header="0" w:top="902" w:footer="709" w:bottom="766"/>
      <w:pgNumType w:start="1"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Roboto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 w:firstLine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rame1" path="m0,0l-2147483645,0l-2147483645,-2147483646l0,-2147483646xe" stroked="f" o:allowincell="f" style="position:absolute;margin-left:0pt;margin-top:0.05pt;width:1.1pt;height:1.1pt;mso-wrap-style:square;v-text-anchor:top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Footer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243205" cy="173990"/>
              <wp:effectExtent l="0" t="0" r="0" b="0"/>
              <wp:wrapSquare wrapText="bothSides"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3360" cy="173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ind w:right="360" w:hanging="0"/>
                            <w:rPr>
                              <w:rStyle w:val="Pagenumber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rame2" path="m0,0l-2147483645,0l-2147483645,-2147483646l0,-2147483646xe" stroked="f" o:allowincell="f" style="position:absolute;margin-left:0pt;margin-top:0.05pt;width:19.1pt;height:13.65pt;mso-wrap-style:square;v-text-anchor:top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Footer"/>
                      <w:ind w:right="360" w:hanging="0"/>
                      <w:rPr>
                        <w:rStyle w:val="Pagenumber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  <w:r>
      <w:rPr>
        <w:i/>
        <w:sz w:val="18"/>
        <w:szCs w:val="18"/>
        <w:lang w:val="en-US"/>
      </w:rPr>
      <w:t xml:space="preserve">Strana </w:t>
    </w:r>
  </w:p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243205" cy="173990"/>
              <wp:effectExtent l="0" t="0" r="0" b="0"/>
              <wp:wrapSquare wrapText="bothSides"/>
              <wp:docPr id="5" name="Frame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3360" cy="173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ind w:right="360" w:hanging="0"/>
                            <w:rPr>
                              <w:rStyle w:val="Pagenumber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rame2" path="m0,0l-2147483645,0l-2147483645,-2147483646l0,-2147483646xe" stroked="f" o:allowincell="f" style="position:absolute;margin-left:0pt;margin-top:0.05pt;width:19.1pt;height:13.65pt;mso-wrap-style:square;v-text-anchor:top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Footer"/>
                      <w:ind w:right="360" w:hanging="0"/>
                      <w:rPr>
                        <w:rStyle w:val="Pagenumber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  <w:r>
      <w:rPr>
        <w:i/>
        <w:sz w:val="18"/>
        <w:szCs w:val="18"/>
        <w:lang w:val="en-US"/>
      </w:rPr>
      <w:t xml:space="preserve">Strana </w:t>
    </w:r>
  </w:p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</w:r>
  </w:p>
</w:ftr>
</file>

<file path=word/settings.xml><?xml version="1.0" encoding="utf-8"?>
<w:settings xmlns:w="http://schemas.openxmlformats.org/wordprocessingml/2006/main">
  <w:zoom w:percent="110"/>
  <w:embedSystemFonts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cs-CZ" w:eastAsia="cs-CZ" w:bidi="ar-SA"/>
    </w:rPr>
  </w:style>
  <w:style w:type="paragraph" w:styleId="Heading1">
    <w:name w:val="Heading 1"/>
    <w:basedOn w:val="Normal"/>
    <w:next w:val="Normal"/>
    <w:qFormat/>
    <w:pPr>
      <w:keepNext w:val="true"/>
      <w:ind w:firstLine="708"/>
      <w:outlineLvl w:val="0"/>
    </w:pPr>
    <w:rPr>
      <w:i/>
      <w:iCs/>
      <w:u w:val="single"/>
    </w:rPr>
  </w:style>
  <w:style w:type="paragraph" w:styleId="Heading2">
    <w:name w:val="Heading 2"/>
    <w:basedOn w:val="Normal"/>
    <w:next w:val="Normal"/>
    <w:qFormat/>
    <w:pPr>
      <w:keepNext w:val="true"/>
      <w:tabs>
        <w:tab w:val="clear" w:pos="708"/>
        <w:tab w:val="left" w:pos="1620" w:leader="none"/>
        <w:tab w:val="left" w:pos="2520" w:leader="none"/>
        <w:tab w:val="left" w:pos="3960" w:leader="none"/>
        <w:tab w:val="left" w:pos="4680" w:leader="none"/>
        <w:tab w:val="left" w:pos="6300" w:leader="none"/>
      </w:tabs>
      <w:ind w:left="1080" w:hanging="0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2d0930"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Pr/>
  </w:style>
  <w:style w:type="character" w:styleId="Annotationreference">
    <w:name w:val="annotation reference"/>
    <w:qFormat/>
    <w:rsid w:val="00b57292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qFormat/>
    <w:rsid w:val="00b57292"/>
    <w:rPr/>
  </w:style>
  <w:style w:type="character" w:styleId="PredmetkomentraChar" w:customStyle="1">
    <w:name w:val="Predmet komentára Char"/>
    <w:link w:val="Annotationsubject"/>
    <w:qFormat/>
    <w:rsid w:val="00b57292"/>
    <w:rPr>
      <w:b/>
      <w:bCs/>
    </w:rPr>
  </w:style>
  <w:style w:type="character" w:styleId="Ra" w:customStyle="1">
    <w:name w:val="ra"/>
    <w:basedOn w:val="DefaultParagraphFont"/>
    <w:qFormat/>
    <w:rsid w:val="00582ef3"/>
    <w:rPr/>
  </w:style>
  <w:style w:type="character" w:styleId="InternetLink">
    <w:name w:val="Hyperlink"/>
    <w:rPr>
      <w:color w:val="000080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qFormat/>
    <w:pPr>
      <w:jc w:val="center"/>
    </w:pPr>
    <w:rPr>
      <w:b/>
      <w:bCs/>
      <w:u w:val="single"/>
    </w:rPr>
  </w:style>
  <w:style w:type="paragraph" w:styleId="TextBodyIndent">
    <w:name w:val="Body Text Indent"/>
    <w:basedOn w:val="Normal"/>
    <w:pPr>
      <w:tabs>
        <w:tab w:val="clear" w:pos="708"/>
        <w:tab w:val="left" w:pos="1080" w:leader="none"/>
      </w:tabs>
      <w:ind w:left="1080" w:hanging="0"/>
    </w:pPr>
    <w:rPr/>
  </w:style>
  <w:style w:type="paragraph" w:styleId="BodyTextIndent2">
    <w:name w:val="Body Text Indent 2"/>
    <w:basedOn w:val="Normal"/>
    <w:qFormat/>
    <w:pPr>
      <w:ind w:firstLine="708"/>
    </w:pPr>
    <w:rPr>
      <w:b/>
      <w:bCs/>
    </w:rPr>
  </w:style>
  <w:style w:type="paragraph" w:styleId="BodyTextIndent3">
    <w:name w:val="Body Text Indent 3"/>
    <w:basedOn w:val="Normal"/>
    <w:qFormat/>
    <w:pPr>
      <w:ind w:firstLine="708"/>
    </w:pPr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WZkladntext2" w:customStyle="1">
    <w:name w:val="WW-Základní text 2"/>
    <w:basedOn w:val="Normal"/>
    <w:qFormat/>
    <w:rsid w:val="00ff1c06"/>
    <w:pPr>
      <w:suppressAutoHyphens w:val="true"/>
      <w:jc w:val="both"/>
    </w:pPr>
    <w:rPr>
      <w:rFonts w:eastAsia="Batang"/>
      <w:color w:val="0000FF"/>
      <w:lang w:eastAsia="ar-SA"/>
    </w:rPr>
  </w:style>
  <w:style w:type="paragraph" w:styleId="BalloonText">
    <w:name w:val="Balloon Text"/>
    <w:basedOn w:val="Normal"/>
    <w:semiHidden/>
    <w:qFormat/>
    <w:rsid w:val="008d05c5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qFormat/>
    <w:rsid w:val="00b57292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redmetkomentraChar"/>
    <w:qFormat/>
    <w:rsid w:val="00b57292"/>
    <w:pPr/>
    <w:rPr>
      <w:b/>
      <w:bCs/>
      <w:lang w:val="x-none" w:eastAsia="x-none"/>
    </w:rPr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rsr.sk/hladaj_osoba.asp?PR=Kolstrunk&amp;MENO=Miroslav&amp;SID=0&amp;T=f0&amp;R=0" TargetMode="Externa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E8C5B-92AC-44CF-9C81-BA9C8270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Application>LibreOffice/7.4.4.2$Windows_X86_64 LibreOffice_project/85569322deea74ec9134968a29af2df5663baa21</Application>
  <AppVersion>15.0000</AppVersion>
  <Pages>2</Pages>
  <Words>616</Words>
  <Characters>3192</Characters>
  <CharactersWithSpaces>4210</CharactersWithSpaces>
  <Paragraphs>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2019-04-01T10:23:00Z</dcterms:created>
  <dc:creator>Školení</dc:creator>
  <dc:description/>
  <dc:language>cs-CZ</dc:language>
  <cp:lastModifiedBy/>
  <cp:lastPrinted>2025-03-26T18:35:57Z</cp:lastPrinted>
  <dcterms:modified xsi:type="dcterms:W3CDTF">2026-06-02T11:20:28Z</dcterms:modified>
  <cp:revision>19</cp:revision>
  <dc:subject/>
  <dc:title>Příloha k účetní závěrce 2002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