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A.)  Všeobecná časť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widowControl/>
        <w:numPr>
          <w:ilvl w:val="0"/>
          <w:numId w:val="4"/>
        </w:numPr>
        <w:tabs>
          <w:tab w:val="clear" w:pos="708"/>
          <w:tab w:val="left" w:pos="284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ANGARA   s.r.o.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Pod Dráhami 1703/1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960 01</w:t>
      </w:r>
    </w:p>
    <w:p>
      <w:pPr>
        <w:pStyle w:val="Standard"/>
        <w:ind w:left="4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bola založená a vznikla  13.5.2009</w:t>
      </w:r>
    </w:p>
    <w:p>
      <w:pPr>
        <w:pStyle w:val="Standard"/>
        <w:keepNext w:val="true"/>
        <w:spacing w:before="0" w:after="60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Standard"/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Predmet podnikania:      </w:t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vnútroštátna nákladná cestná doprava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prenájom hnuteľných vecí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poskytovanie služieb rýchleho občerstvenia v spojení s predajom na priamu konzumáciu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sprostredkovateľská činnosť v oblasti služieb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80"/>
              <w:gridCol w:w="2130"/>
            </w:tblGrid>
            <w:tr>
              <w:trPr/>
              <w:tc>
                <w:tcPr>
                  <w:tcW w:w="4280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sprostredkovateľská činnosť v oblasti obchodu</w:t>
                  </w:r>
                </w:p>
              </w:tc>
              <w:tc>
                <w:tcPr>
                  <w:tcW w:w="2130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(od: 13.05.2009)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11"/>
            </w:tblGrid>
            <w:tr>
              <w:trPr/>
              <w:tc>
                <w:tcPr>
                  <w:tcW w:w="6411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prevádzkovanie výdajne stravy                        </w:t>
                  </w:r>
                  <w:r>
                    <w:rPr>
                      <w:rStyle w:val="Ra"/>
                    </w:rPr>
                    <w:t>(od: 20.05.2009)</w:t>
                  </w:r>
                </w:p>
              </w:tc>
            </w:tr>
            <w:tr>
              <w:trPr/>
              <w:tc>
                <w:tcPr>
                  <w:tcW w:w="6411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</w:r>
                </w:p>
              </w:tc>
            </w:tr>
            <w:tr>
              <w:trPr/>
              <w:tc>
                <w:tcPr>
                  <w:tcW w:w="6411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38"/>
      </w:tblGrid>
      <w:tr>
        <w:trPr/>
        <w:tc>
          <w:tcPr>
            <w:tcW w:w="9638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Standard"/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 </w:t>
      </w:r>
    </w:p>
    <w:p>
      <w:pPr>
        <w:pStyle w:val="Nzov"/>
        <w:numPr>
          <w:ilvl w:val="0"/>
          <w:numId w:val="54"/>
        </w:numPr>
        <w:ind w:left="36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665"/>
        <w:gridCol w:w="2621"/>
        <w:gridCol w:w="2856"/>
      </w:tblGrid>
      <w:tr>
        <w:trPr/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0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</w:t>
            </w:r>
          </w:p>
        </w:tc>
      </w:tr>
    </w:tbl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Spoločnosť  nevlastnila a nevlastní žiadne majetkové podiely v iných firmách.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  Angara s.r.o. predkladá riadnu účtovnú závierku za rok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v zmysle zákona č.431/2002 Z. z. o účtovníctve v znení neskorších predpisov.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993" w:leader="none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0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B.)   Ďalšie informácie</w:t>
      </w:r>
    </w:p>
    <w:p>
      <w:pPr>
        <w:pStyle w:val="Standard"/>
        <w:jc w:val="both"/>
        <w:rPr>
          <w:rFonts w:ascii="Arial Narrow" w:hAnsi="Arial Narrow" w:cs="Arial Narrow"/>
          <w:i/>
          <w:i/>
          <w:iCs/>
          <w:sz w:val="22"/>
          <w:szCs w:val="22"/>
        </w:rPr>
      </w:pPr>
      <w:r>
        <w:rPr>
          <w:rFonts w:cs="Arial Narrow" w:ascii="Arial Narrow" w:hAnsi="Arial Narrow"/>
          <w:i/>
          <w:iCs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</w:t>
        <w:tab/>
        <w:t>V priebehu účtovného obdobia za rok 2024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>účtovníctvo spoločnosti bolo vedené v zmysle zákona o účtovníctve č.431/2002 Z. z. v plnom znení, účtovnej osnovy a postupov účtovníctva pre podnikateľov platnými od 01.01.2003 v plnom znení .</w:t>
      </w:r>
    </w:p>
    <w:p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rámci uvedených predpisov hlavný dôraz bol kladený na základné účtovné zásady, a to najmä na: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časovú a vecnú súvislosť účtovných prípadov,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nepretržitosť vedenia účtovníctva,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zásadu vecného a pravdivého obrazu účtovnej závierky,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celistvosť účtovníctva – vedenie účtovníctva za firmu ako celok,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formou sústavy účtovných zápisov, podložených účtovnými dokladmi,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a  zostavenie účtovnej závierky v peňažných jednotkách v mene euro a v štátnom jazyku,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inventarizovania majetku, záväzkov a rozdielu majetku a záväzkov,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 xml:space="preserve">C.)    Konkretizácia použitých účtovných zásad a účtovných metód  </w:t>
      </w:r>
    </w:p>
    <w:p>
      <w:pPr>
        <w:pStyle w:val="Nadpis1"/>
        <w:numPr>
          <w:ilvl w:val="0"/>
          <w:numId w:val="55"/>
        </w:numPr>
        <w:ind w:left="426" w:hanging="426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>
      <w:pPr>
        <w:pStyle w:val="Nadpis1"/>
        <w:numPr>
          <w:ilvl w:val="0"/>
          <w:numId w:val="56"/>
        </w:numPr>
        <w:tabs>
          <w:tab w:val="clear" w:pos="708"/>
          <w:tab w:val="left" w:pos="1135" w:leader="none"/>
        </w:tabs>
        <w:ind w:left="426" w:hanging="426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V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5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nenastali zmeny účtovných zásad a účtovných metód.</w:t>
      </w:r>
    </w:p>
    <w:p>
      <w:pPr>
        <w:pStyle w:val="Nadpis1"/>
        <w:numPr>
          <w:ilvl w:val="0"/>
          <w:numId w:val="57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Spôsob oceňovania jednotlivých zložiek majetku :</w:t>
      </w:r>
    </w:p>
    <w:p>
      <w:pPr>
        <w:pStyle w:val="Nadpis1"/>
        <w:tabs>
          <w:tab w:val="clear" w:pos="708"/>
          <w:tab w:val="left" w:pos="1560" w:leader="none"/>
        </w:tabs>
        <w:ind w:left="78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1.</w:t>
        <w:tab/>
        <w:t>Dlhodobý nehmotný majetok spoločnosť v roku 2024 nebol obstaraný.</w:t>
      </w:r>
    </w:p>
    <w:p>
      <w:pPr>
        <w:pStyle w:val="Standard"/>
        <w:tabs>
          <w:tab w:val="clear" w:pos="708"/>
          <w:tab w:val="left" w:pos="5786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ab/>
      </w:r>
    </w:p>
    <w:p>
      <w:pPr>
        <w:pStyle w:val="Standard"/>
        <w:tabs>
          <w:tab w:val="clear" w:pos="708"/>
          <w:tab w:val="left" w:pos="360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104" w:leader="none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05" w:leader="none"/>
        </w:tabs>
        <w:ind w:left="445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    Údaje vykázané na strane aktív súvahy</w:t>
      </w:r>
    </w:p>
    <w:p>
      <w:pPr>
        <w:pStyle w:val="Standard"/>
        <w:keepNext w:val="true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nehmotnom majetku</w:t>
      </w:r>
    </w:p>
    <w:p>
      <w:pPr>
        <w:pStyle w:val="Standard"/>
        <w:numPr>
          <w:ilvl w:val="0"/>
          <w:numId w:val="58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pohybe dlhodobého majetku v €</w:t>
      </w:r>
    </w:p>
    <w:p>
      <w:pPr>
        <w:pStyle w:val="Standard"/>
        <w:numPr>
          <w:ilvl w:val="0"/>
          <w:numId w:val="59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oprávok a opravných položiek  dlhodobého majetku v  €</w:t>
      </w:r>
    </w:p>
    <w:p>
      <w:pPr>
        <w:pStyle w:val="Standard"/>
        <w:numPr>
          <w:ilvl w:val="0"/>
          <w:numId w:val="60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zostatkových hodnotách dlhodobého majetku v  €</w:t>
      </w:r>
    </w:p>
    <w:p>
      <w:pPr>
        <w:pStyle w:val="Nzov"/>
        <w:numPr>
          <w:ilvl w:val="0"/>
          <w:numId w:val="6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706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669"/>
        <w:gridCol w:w="37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Nzov"/>
        <w:numPr>
          <w:ilvl w:val="0"/>
          <w:numId w:val="6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399"/>
        <w:gridCol w:w="2742"/>
      </w:tblGrid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                     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55" w:leader="none"/>
        </w:tabs>
        <w:spacing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55" w:leader="none"/>
        </w:tabs>
        <w:spacing w:lineRule="auto" w:line="276"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>
      <w:pPr>
        <w:pStyle w:val="Nadpis1"/>
        <w:tabs>
          <w:tab w:val="clear" w:pos="708"/>
          <w:tab w:val="left" w:pos="360" w:leader="none"/>
        </w:tabs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</w:t>
      </w:r>
    </w:p>
    <w:p>
      <w:pPr>
        <w:pStyle w:val="Standard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hmotnom majetku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1) Prehľad o pohybe dlhodobého majetku v €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Prehľad oprávok a opravných položiek  dlhodobého majetku v  €</w:t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3) Prehľad o zostatkových hodnotách dlhodobého majetku v  €</w:t>
      </w:r>
    </w:p>
    <w:p>
      <w:pPr>
        <w:pStyle w:val="Nzov"/>
        <w:numPr>
          <w:ilvl w:val="0"/>
          <w:numId w:val="6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0" w:type="dxa"/>
        </w:tblCellMar>
        <w:tblLook w:val="0000"/>
      </w:tblPr>
      <w:tblGrid>
        <w:gridCol w:w="1533"/>
        <w:gridCol w:w="1038"/>
        <w:gridCol w:w="846"/>
        <w:gridCol w:w="847"/>
        <w:gridCol w:w="25"/>
        <w:gridCol w:w="856"/>
        <w:gridCol w:w="965"/>
        <w:gridCol w:w="745"/>
        <w:gridCol w:w="690"/>
        <w:gridCol w:w="779"/>
        <w:gridCol w:w="888"/>
      </w:tblGrid>
      <w:tr>
        <w:trPr>
          <w:trHeight w:val="278" w:hRule="atLeast"/>
        </w:trPr>
        <w:tc>
          <w:tcPr>
            <w:tcW w:w="1533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9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278" w:hRule="atLeast"/>
        </w:trPr>
        <w:tc>
          <w:tcPr>
            <w:tcW w:w="1533" w:type="dxa"/>
            <w:vMerge w:val="continue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8" w:type="dxa"/>
            <w:tcBorders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36887</w:t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2934</w:t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27253</w:t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p>
      <w:pPr>
        <w:pStyle w:val="Textbody"/>
        <w:rPr/>
      </w:pPr>
      <w:r>
        <w:rPr/>
      </w:r>
    </w:p>
    <w:p>
      <w:pPr>
        <w:pStyle w:val="ListParagraph"/>
        <w:numPr>
          <w:ilvl w:val="0"/>
          <w:numId w:val="64"/>
        </w:numPr>
        <w:ind w:left="360" w:hanging="360"/>
        <w:rPr>
          <w:b/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117"/>
        <w:gridCol w:w="3024"/>
      </w:tblGrid>
      <w:tr>
        <w:trPr/>
        <w:tc>
          <w:tcPr>
            <w:tcW w:w="61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Textbody"/>
        <w:rPr/>
      </w:pPr>
      <w:r>
        <w:rPr/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>F .)</w:t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 Účtovná jednotka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</w:t>
        <w:tab/>
        <w:t>Spoločnosť neevidovala ani nevyužívala dlhodobý nehnuteľný majetok, pri ktorom nebolo vlastnícke právo zapísané vkladom do katastra nehnuteľností k 31.12.202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ani v  bezprostredne predchádzajúcom účtovnom období.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nevlastnila ani neevidovala nehmotný majetok – goodwil.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g)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nepoužívala účet 097 – opravná položka k nadobudnutému majetku.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nerealizovala výskumnú a vývojovú činnosť.</w:t>
      </w:r>
    </w:p>
    <w:p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 – n) Spoločnosť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nevlastnila ani neevidovala dlhodobý finančný majetok.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zov"/>
        <w:ind w:left="360" w:hanging="36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65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66"/>
        </w:numPr>
        <w:ind w:left="36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>časti F. písm. m) o dlhodobom finančnom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257"/>
        <w:gridCol w:w="2884"/>
      </w:tblGrid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>
                <w:color w:val="666666"/>
              </w:rPr>
              <w:t xml:space="preserve">Hodnota </w:t>
            </w:r>
            <w:r>
              <w:rPr>
                <w:bCs w:val="false"/>
                <w:color w:val="666666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numPr>
          <w:ilvl w:val="0"/>
          <w:numId w:val="6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907"/>
        <w:gridCol w:w="1116"/>
        <w:gridCol w:w="1686"/>
        <w:gridCol w:w="1441"/>
        <w:gridCol w:w="1655"/>
        <w:gridCol w:w="1336"/>
      </w:tblGrid>
      <w:tr>
        <w:trPr/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6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6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3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Nzov"/>
        <w:widowControl w:val="false"/>
        <w:numPr>
          <w:ilvl w:val="0"/>
          <w:numId w:val="6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39"/>
        <w:gridCol w:w="725"/>
        <w:gridCol w:w="1266"/>
        <w:gridCol w:w="1123"/>
        <w:gridCol w:w="1127"/>
        <w:gridCol w:w="1407"/>
        <w:gridCol w:w="1054"/>
      </w:tblGrid>
      <w:tr>
        <w:trPr>
          <w:trHeight w:val="644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Dlhové CP</w:t>
              <w:br/>
              <w:t xml:space="preserve"> držané do splatnosti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7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10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spacing w:before="0" w:after="120"/>
        <w:rPr/>
      </w:pPr>
      <w:r>
        <w:rPr/>
      </w:r>
    </w:p>
    <w:p>
      <w:pPr>
        <w:pStyle w:val="Nzov"/>
        <w:widowControl w:val="false"/>
        <w:numPr>
          <w:ilvl w:val="0"/>
          <w:numId w:val="6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156" w:type="dxa"/>
        <w:jc w:val="left"/>
        <w:tblInd w:w="-71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59"/>
        <w:gridCol w:w="1449"/>
        <w:gridCol w:w="1131"/>
        <w:gridCol w:w="1104"/>
        <w:gridCol w:w="1512"/>
        <w:gridCol w:w="1200"/>
      </w:tblGrid>
      <w:tr>
        <w:trPr>
          <w:trHeight w:val="996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začiatku účtovného obdobia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13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o)</w:t>
        <w:tab/>
      </w:r>
    </w:p>
    <w:p>
      <w:pPr>
        <w:pStyle w:val="Nzov"/>
        <w:numPr>
          <w:ilvl w:val="0"/>
          <w:numId w:val="70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330"/>
        <w:gridCol w:w="1396"/>
        <w:gridCol w:w="983"/>
        <w:gridCol w:w="1687"/>
        <w:gridCol w:w="1558"/>
        <w:gridCol w:w="1187"/>
      </w:tblGrid>
      <w:tr>
        <w:trPr/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/>
        <w:tc>
          <w:tcPr>
            <w:tcW w:w="233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jednotka k 31.12.202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nevytvárala opravné položky k zásobám.</w:t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p)</w:t>
        <w:tab/>
      </w:r>
    </w:p>
    <w:p>
      <w:pPr>
        <w:pStyle w:val="Nzov"/>
        <w:numPr>
          <w:ilvl w:val="0"/>
          <w:numId w:val="71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zásoby vykazované v účtovníctve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nebolo zriadené záložné právo ani obmedzené právo s nimi nakladať.</w:t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4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q)</w:t>
        <w:tab/>
      </w:r>
    </w:p>
    <w:p>
      <w:pPr>
        <w:pStyle w:val="Nzov"/>
        <w:numPr>
          <w:ilvl w:val="0"/>
          <w:numId w:val="7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189"/>
        <w:gridCol w:w="1680"/>
        <w:gridCol w:w="2135"/>
        <w:gridCol w:w="2175"/>
      </w:tblGrid>
      <w:tr>
        <w:trPr/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029"/>
        <w:gridCol w:w="2381"/>
        <w:gridCol w:w="2770"/>
      </w:tblGrid>
      <w:tr>
        <w:trPr/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963"/>
        <w:gridCol w:w="1821"/>
        <w:gridCol w:w="2630"/>
      </w:tblGrid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  <w:r>
        <w:br w:type="page"/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jc w:val="left"/>
        <w:tblInd w:w="-112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290"/>
        <w:gridCol w:w="2383"/>
        <w:gridCol w:w="2492"/>
      </w:tblGrid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nerealizovala zákazkovú výrobu ani zákazkovú  výstavbu nehnuteľnosti určenej na predaj.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>
      <w:pPr>
        <w:pStyle w:val="Nzov"/>
        <w:numPr>
          <w:ilvl w:val="0"/>
          <w:numId w:val="7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391</w:t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391</w:t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widowControl w:val="false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Opravná položka k nekonkurzným nedobytným pohľadávkam v roku 202</w:t>
      </w:r>
      <w:r>
        <w:rPr>
          <w:rFonts w:cs="Arial Narrow" w:ascii="Arial Narrow" w:hAnsi="Arial Narrow"/>
          <w:sz w:val="22"/>
          <w:szCs w:val="22"/>
        </w:rPr>
        <w:t xml:space="preserve">5 </w:t>
      </w:r>
      <w:r>
        <w:rPr>
          <w:rFonts w:cs="Arial Narrow" w:ascii="Arial Narrow" w:hAnsi="Arial Narrow"/>
          <w:sz w:val="22"/>
          <w:szCs w:val="22"/>
        </w:rPr>
        <w:t>nebola  evidovaná.</w:t>
      </w:r>
    </w:p>
    <w:p>
      <w:pPr>
        <w:pStyle w:val="Standard"/>
        <w:rPr/>
      </w:pPr>
      <w:r>
        <w:rPr/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Veková štruktúra pohľadávok rok 202</w:t>
      </w:r>
      <w:r>
        <w:rPr>
          <w:rFonts w:ascii="Arial Narrow" w:hAnsi="Arial Narrow"/>
          <w:szCs w:val="22"/>
        </w:rPr>
        <w:t>5</w:t>
      </w:r>
    </w:p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7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</w:r>
    </w:p>
    <w:p>
      <w:pPr>
        <w:pStyle w:val="Nzov"/>
        <w:numPr>
          <w:ilvl w:val="0"/>
          <w:numId w:val="75"/>
        </w:numPr>
        <w:ind w:left="360" w:hanging="360"/>
        <w:jc w:val="both"/>
        <w:rPr>
          <w:i/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>
        <w:rPr>
          <w:i/>
          <w:szCs w:val="22"/>
        </w:rPr>
        <w:t>formou zabezpečenia 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Pohľadávky, zabezpečené záložným právom alebo inou formou zabezpečenia v roku 202</w:t>
      </w:r>
      <w:r>
        <w:rPr>
          <w:rFonts w:cs="Arial Narrow" w:ascii="Arial Narrow" w:hAnsi="Arial Narrow"/>
          <w:b/>
          <w:bCs/>
          <w:sz w:val="22"/>
          <w:szCs w:val="22"/>
        </w:rPr>
        <w:t>5</w:t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</w:tbl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Pohľadávky, zabezpečené záložným právom alebo inou formou zabezpečenia v roku 202</w:t>
      </w:r>
      <w:r>
        <w:rPr>
          <w:rFonts w:cs="Arial Narrow" w:ascii="Arial Narrow" w:hAnsi="Arial Narrow"/>
          <w:sz w:val="22"/>
          <w:szCs w:val="22"/>
        </w:rPr>
        <w:t>5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600" w:hanging="63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 </w:t>
      </w:r>
      <w:r>
        <w:rPr>
          <w:rFonts w:cs="Arial Narrow" w:ascii="Arial Narrow" w:hAnsi="Arial Narrow"/>
          <w:sz w:val="22"/>
          <w:szCs w:val="22"/>
        </w:rPr>
        <w:t>v) Spoločnosť neeviduje k 31.12.202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daňovú pohľadávku ani odložený daňový záväzok.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w)</w:t>
      </w:r>
    </w:p>
    <w:p>
      <w:pPr>
        <w:pStyle w:val="Nzov"/>
        <w:numPr>
          <w:ilvl w:val="0"/>
          <w:numId w:val="7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w) o krátkodobom finančnom majetku</w:t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186"/>
        <w:gridCol w:w="2616"/>
        <w:gridCol w:w="2378"/>
      </w:tblGrid>
      <w:tr>
        <w:trPr/>
        <w:tc>
          <w:tcPr>
            <w:tcW w:w="41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52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802"/>
        <w:gridCol w:w="1455"/>
        <w:gridCol w:w="1152"/>
        <w:gridCol w:w="930"/>
        <w:gridCol w:w="1204"/>
        <w:gridCol w:w="1598"/>
      </w:tblGrid>
      <w:tr>
        <w:trPr/>
        <w:tc>
          <w:tcPr>
            <w:tcW w:w="28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6339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účtovné obdobie</w:t>
            </w:r>
          </w:p>
        </w:tc>
      </w:tr>
      <w:tr>
        <w:trPr/>
        <w:tc>
          <w:tcPr>
            <w:tcW w:w="280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</w:t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Prírastky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Úbytky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Presuny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e</w:t>
            </w:r>
          </w:p>
        </w:tc>
        <w:tc>
          <w:tcPr>
            <w:tcW w:w="15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>
              <w:rPr>
                <w:color w:val="000000"/>
              </w:rPr>
              <w:br/>
            </w: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lang w:eastAsia="sk-SK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  <w:lang w:eastAsia="sk-SK"/>
        </w:rPr>
        <w:t xml:space="preserve">F .) </w:t>
      </w:r>
      <w:r>
        <w:rPr>
          <w:b w:val="false"/>
          <w:bCs w:val="false"/>
          <w:szCs w:val="22"/>
          <w:lang w:eastAsia="sk-SK"/>
        </w:rPr>
        <w:t>x)</w:t>
      </w:r>
    </w:p>
    <w:p>
      <w:pPr>
        <w:pStyle w:val="Nzov"/>
        <w:widowControl w:val="false"/>
        <w:numPr>
          <w:ilvl w:val="0"/>
          <w:numId w:val="77"/>
        </w:numPr>
        <w:ind w:left="36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21"/>
        <w:gridCol w:w="1426"/>
        <w:gridCol w:w="985"/>
        <w:gridCol w:w="1407"/>
        <w:gridCol w:w="1409"/>
        <w:gridCol w:w="1193"/>
      </w:tblGrid>
      <w:tr>
        <w:trPr/>
        <w:tc>
          <w:tcPr>
            <w:tcW w:w="27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  <w:br/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opodstatne-nosti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vyradenia majetku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konci účtovného obdobia</w:t>
            </w:r>
          </w:p>
        </w:tc>
      </w:tr>
      <w:tr>
        <w:trPr/>
        <w:tc>
          <w:tcPr>
            <w:tcW w:w="27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4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2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 netvorila opravné položky ku krátkodobému finančnému majetku.</w:t>
      </w:r>
    </w:p>
    <w:p>
      <w:pPr>
        <w:pStyle w:val="Nadpis4"/>
        <w:rPr/>
      </w:pPr>
      <w:r>
        <w:rPr>
          <w:rFonts w:cs="Arial Narrow"/>
          <w:i/>
          <w:sz w:val="22"/>
          <w:szCs w:val="22"/>
        </w:rPr>
        <w:t xml:space="preserve">F .) </w:t>
      </w:r>
      <w:r>
        <w:rPr>
          <w:b w:val="false"/>
          <w:bCs w:val="false"/>
          <w:sz w:val="22"/>
          <w:szCs w:val="22"/>
        </w:rPr>
        <w:t>y)</w:t>
      </w:r>
    </w:p>
    <w:p>
      <w:pPr>
        <w:pStyle w:val="Nzov"/>
        <w:numPr>
          <w:ilvl w:val="0"/>
          <w:numId w:val="7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819"/>
        <w:gridCol w:w="2322"/>
      </w:tblGrid>
      <w:tr>
        <w:trPr>
          <w:trHeight w:val="397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52" w:leader="none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26" w:leader="none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nevzniklo záložné právo na finančnom majetku ani obmedzenie práva s ním nakladať.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z)    a.)</w:t>
      </w:r>
    </w:p>
    <w:p>
      <w:pPr>
        <w:pStyle w:val="Nzov"/>
        <w:numPr>
          <w:ilvl w:val="0"/>
          <w:numId w:val="7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358"/>
        <w:gridCol w:w="1791"/>
        <w:gridCol w:w="2240"/>
        <w:gridCol w:w="1790"/>
      </w:tblGrid>
      <w:tr>
        <w:trPr/>
        <w:tc>
          <w:tcPr>
            <w:tcW w:w="33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 majetok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Zvýšenie/ zníženie hodnoty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(+/-)</w:t>
            </w:r>
          </w:p>
        </w:tc>
        <w:tc>
          <w:tcPr>
            <w:tcW w:w="22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3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7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22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  <w:highlight w:val="yellow"/>
        </w:rPr>
      </w:pPr>
      <w:r>
        <w:rPr>
          <w:rFonts w:cs="Arial Narrow" w:ascii="Arial Narrow" w:hAnsi="Arial Narrow"/>
          <w:b/>
          <w:bCs/>
          <w:i/>
          <w:sz w:val="22"/>
          <w:szCs w:val="22"/>
          <w:highlight w:val="yellow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36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b/>
          <w:b/>
          <w:bCs/>
          <w:i/>
          <w:i/>
          <w:sz w:val="22"/>
          <w:szCs w:val="22"/>
        </w:rPr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F .) </w:t>
      </w:r>
    </w:p>
    <w:p>
      <w:pPr>
        <w:pStyle w:val="Nzov"/>
        <w:numPr>
          <w:ilvl w:val="0"/>
          <w:numId w:val="8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11"/>
        <w:gridCol w:w="1271"/>
        <w:gridCol w:w="1687"/>
        <w:gridCol w:w="1061"/>
        <w:gridCol w:w="1191"/>
        <w:gridCol w:w="1552"/>
        <w:gridCol w:w="906"/>
      </w:tblGrid>
      <w:tr>
        <w:trPr>
          <w:trHeight w:val="660" w:hRule="atLeast"/>
        </w:trPr>
        <w:tc>
          <w:tcPr>
            <w:tcW w:w="15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</w:t>
              <w:br/>
              <w:t>položky</w:t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1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7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6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2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06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567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>Účtovná jednotka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neevidovala majetok daný do prenájmu</w:t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G.)   Údaje vykázané na strane pasív súvahy</w:t>
      </w:r>
    </w:p>
    <w:p>
      <w:pPr>
        <w:pStyle w:val="Standard"/>
        <w:numPr>
          <w:ilvl w:val="0"/>
          <w:numId w:val="81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cs="Arial Narrow" w:ascii="Arial Narrow" w:hAnsi="Arial Narrow"/>
          <w:bCs/>
        </w:rPr>
        <w:t>Vlastné imanie</w:t>
      </w:r>
    </w:p>
    <w:p>
      <w:pPr>
        <w:pStyle w:val="Standard"/>
        <w:tabs>
          <w:tab w:val="clear" w:pos="708"/>
          <w:tab w:val="left" w:pos="157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Stav základného imania k 31.12.202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tvoril 9000,- € </w:t>
      </w:r>
      <w:r>
        <w:br w:type="page"/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a) 3.</w:t>
      </w:r>
    </w:p>
    <w:p>
      <w:pPr>
        <w:pStyle w:val="Nzov"/>
        <w:numPr>
          <w:ilvl w:val="0"/>
          <w:numId w:val="8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76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725" w:leader="none"/>
          <w:tab w:val="left" w:pos="133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jc w:val="both"/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eastAsia="Arial Narrow" w:cs="Arial Narrow" w:ascii="Arial Narrow" w:hAnsi="Arial Narrow"/>
          <w:i/>
          <w:sz w:val="22"/>
          <w:szCs w:val="22"/>
        </w:rPr>
        <w:t>b</w:t>
      </w:r>
      <w:r>
        <w:rPr>
          <w:rFonts w:eastAsia="Arial Narrow" w:cs="Arial Narrow" w:ascii="Arial Narrow" w:hAnsi="Arial Narrow"/>
          <w:sz w:val="22"/>
          <w:szCs w:val="22"/>
        </w:rPr>
        <w:t xml:space="preserve">)  </w:t>
      </w:r>
    </w:p>
    <w:p>
      <w:pPr>
        <w:pStyle w:val="Nzov"/>
        <w:numPr>
          <w:ilvl w:val="0"/>
          <w:numId w:val="8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cs="Arial Narrow" w:ascii="Arial Narrow" w:hAnsi="Arial Narrow"/>
          <w:i/>
          <w:sz w:val="22"/>
          <w:szCs w:val="22"/>
        </w:rPr>
        <w:t>c-d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705"/>
        <w:gridCol w:w="2888"/>
        <w:gridCol w:w="2587"/>
      </w:tblGrid>
      <w:tr>
        <w:trPr>
          <w:trHeight w:val="920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8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8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rPr/>
      </w:pPr>
      <w:r>
        <w:rPr/>
      </w:r>
    </w:p>
    <w:tbl>
      <w:tblPr>
        <w:tblW w:w="2219" w:type="dxa"/>
        <w:jc w:val="left"/>
        <w:tblInd w:w="1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19"/>
      </w:tblGrid>
      <w:tr>
        <w:trPr>
          <w:trHeight w:val="345" w:hRule="atLeast"/>
        </w:trPr>
        <w:tc>
          <w:tcPr>
            <w:tcW w:w="221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e) Spoločnosť  v roku 202</w:t>
      </w:r>
      <w:r>
        <w:rPr>
          <w:rFonts w:ascii="Arial Narrow" w:hAnsi="Arial Narrow"/>
          <w:b w:val="false"/>
          <w:sz w:val="22"/>
          <w:szCs w:val="22"/>
        </w:rPr>
        <w:t xml:space="preserve">5 </w:t>
      </w:r>
      <w:r>
        <w:rPr>
          <w:rFonts w:ascii="Arial Narrow" w:hAnsi="Arial Narrow"/>
          <w:b w:val="false"/>
          <w:sz w:val="22"/>
          <w:szCs w:val="22"/>
        </w:rPr>
        <w:t>neevidovala záväzky zabezpečené záložným právom, alebo inou formou zabezpečenia.</w:t>
      </w:r>
    </w:p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ind w:left="264" w:hanging="264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</w:t>
      </w:r>
      <w:r>
        <w:rPr>
          <w:b w:val="false"/>
          <w:sz w:val="22"/>
          <w:szCs w:val="22"/>
        </w:rPr>
        <w:t>f)</w:t>
      </w:r>
    </w:p>
    <w:p>
      <w:pPr>
        <w:pStyle w:val="Nzov"/>
        <w:widowControl w:val="false"/>
        <w:numPr>
          <w:ilvl w:val="0"/>
          <w:numId w:val="8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925"/>
        <w:gridCol w:w="2183"/>
        <w:gridCol w:w="2072"/>
      </w:tblGrid>
      <w:tr>
        <w:trPr>
          <w:trHeight w:val="990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720" w:hanging="0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g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2618"/>
        <w:gridCol w:w="2655"/>
      </w:tblGrid>
      <w:tr>
        <w:trPr>
          <w:trHeight w:val="825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</w:tbl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h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8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164"/>
        <w:gridCol w:w="1405"/>
        <w:gridCol w:w="1401"/>
        <w:gridCol w:w="1401"/>
        <w:gridCol w:w="1402"/>
        <w:gridCol w:w="1406"/>
      </w:tblGrid>
      <w:tr>
        <w:trPr>
          <w:trHeight w:val="345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Dlhopisy spoločnosť v roku 202</w:t>
      </w:r>
      <w:r>
        <w:rPr>
          <w:rFonts w:ascii="Arial Narrow" w:hAnsi="Arial Narrow"/>
          <w:b w:val="false"/>
          <w:sz w:val="22"/>
          <w:szCs w:val="22"/>
        </w:rPr>
        <w:t>5</w:t>
      </w:r>
      <w:r>
        <w:rPr>
          <w:rFonts w:ascii="Arial Narrow" w:hAnsi="Arial Narrow"/>
          <w:b w:val="false"/>
          <w:sz w:val="22"/>
          <w:szCs w:val="22"/>
        </w:rPr>
        <w:t xml:space="preserve"> neemitovala.</w:t>
      </w:r>
    </w:p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 </w:t>
      </w:r>
      <w:r>
        <w:rPr>
          <w:rFonts w:cs="Arial Narrow" w:ascii="Arial Narrow" w:hAnsi="Arial Narrow"/>
          <w:sz w:val="22"/>
          <w:szCs w:val="22"/>
        </w:rPr>
        <w:t>i )</w:t>
      </w:r>
    </w:p>
    <w:p>
      <w:pPr>
        <w:pStyle w:val="Nzov"/>
        <w:widowControl w:val="false"/>
        <w:numPr>
          <w:ilvl w:val="0"/>
          <w:numId w:val="8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spacing w:before="0" w:after="120"/>
        <w:ind w:left="690" w:hanging="69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spacing w:before="0" w:after="120"/>
        <w:ind w:left="690" w:hanging="69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 xml:space="preserve">j </w:t>
      </w:r>
      <w:r>
        <w:rPr>
          <w:rFonts w:cs="Arial Narrow" w:ascii="Arial Narrow" w:hAnsi="Arial Narrow"/>
          <w:sz w:val="22"/>
          <w:szCs w:val="22"/>
        </w:rPr>
        <w:t xml:space="preserve">) </w:t>
      </w:r>
      <w:r>
        <w:rPr>
          <w:rFonts w:cs="Arial Narrow" w:ascii="Arial Narrow" w:hAnsi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>
      <w:pPr>
        <w:pStyle w:val="Nzov"/>
        <w:numPr>
          <w:ilvl w:val="0"/>
          <w:numId w:val="89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16"/>
        <w:gridCol w:w="1472"/>
        <w:gridCol w:w="1612"/>
        <w:gridCol w:w="2179"/>
      </w:tblGrid>
      <w:tr>
        <w:trPr>
          <w:trHeight w:val="278" w:hRule="atLeast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1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 obchodovanie, z toho:</w:t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1664"/>
        <w:gridCol w:w="978"/>
        <w:gridCol w:w="1679"/>
        <w:gridCol w:w="952"/>
      </w:tblGrid>
      <w:tr>
        <w:trPr>
          <w:trHeight w:val="622" w:hRule="atLeast"/>
        </w:trPr>
        <w:tc>
          <w:tcPr>
            <w:tcW w:w="3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/>
      </w:pPr>
      <w:r>
        <w:rPr>
          <w:rFonts w:ascii="Arial Narrow" w:hAnsi="Arial Narrow"/>
          <w:b w:val="false"/>
          <w:sz w:val="22"/>
          <w:szCs w:val="22"/>
        </w:rPr>
        <w:t>Spoločnosť v roku 202</w:t>
      </w:r>
      <w:r>
        <w:rPr>
          <w:rFonts w:ascii="Arial Narrow" w:hAnsi="Arial Narrow"/>
          <w:b w:val="false"/>
          <w:sz w:val="22"/>
          <w:szCs w:val="22"/>
        </w:rPr>
        <w:t>5</w:t>
      </w:r>
      <w:r>
        <w:rPr>
          <w:rFonts w:ascii="Arial Narrow" w:hAnsi="Arial Narrow"/>
          <w:b w:val="false"/>
          <w:sz w:val="22"/>
          <w:szCs w:val="22"/>
        </w:rPr>
        <w:t xml:space="preserve">  neevidovala deriváty.</w:t>
      </w:r>
    </w:p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 xml:space="preserve">l)   </w:t>
      </w:r>
    </w:p>
    <w:p>
      <w:pPr>
        <w:pStyle w:val="Nzov"/>
        <w:widowControl w:val="false"/>
        <w:numPr>
          <w:ilvl w:val="0"/>
          <w:numId w:val="9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238"/>
        <w:gridCol w:w="1960"/>
        <w:gridCol w:w="1982"/>
      </w:tblGrid>
      <w:tr>
        <w:trPr>
          <w:trHeight w:val="352" w:hRule="atLeast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3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ind w:left="709" w:hanging="709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Majetok a záväzky zabezpečené derivátmi účtovná jednotka v roku 2024 neevidovala.</w:t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ind w:left="709" w:hanging="709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>m)</w:t>
      </w:r>
    </w:p>
    <w:p>
      <w:pPr>
        <w:pStyle w:val="Nzov"/>
        <w:widowControl w:val="false"/>
        <w:numPr>
          <w:ilvl w:val="0"/>
          <w:numId w:val="9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78"/>
        <w:gridCol w:w="1205"/>
        <w:gridCol w:w="1452"/>
        <w:gridCol w:w="1098"/>
        <w:gridCol w:w="1224"/>
        <w:gridCol w:w="1503"/>
        <w:gridCol w:w="1119"/>
      </w:tblGrid>
      <w:tr>
        <w:trPr>
          <w:trHeight w:val="571" w:hRule="atLeast"/>
        </w:trPr>
        <w:tc>
          <w:tcPr>
            <w:tcW w:w="157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03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9" w:type="dxa"/>
            <w:tcBorders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Normal"/>
        <w:rPr>
          <w:vanish/>
        </w:rPr>
      </w:pPr>
      <w:r>
        <w:rPr>
          <w:vanish/>
        </w:rPr>
      </w:r>
    </w:p>
    <w:p>
      <w:pPr>
        <w:pStyle w:val="Standard"/>
        <w:spacing w:before="0" w:after="120"/>
        <w:ind w:left="360" w:hanging="36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b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9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501"/>
        <w:gridCol w:w="1127"/>
        <w:gridCol w:w="1243"/>
        <w:gridCol w:w="1399"/>
        <w:gridCol w:w="1121"/>
        <w:gridCol w:w="1894"/>
      </w:tblGrid>
      <w:tr>
        <w:trPr>
          <w:trHeight w:val="990" w:hRule="atLeast"/>
        </w:trPr>
        <w:tc>
          <w:tcPr>
            <w:tcW w:w="250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0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0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Nedokončená výroba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705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Rok 2017</w:t>
      </w:r>
    </w:p>
    <w:tbl>
      <w:tblPr>
        <w:tblW w:w="9538" w:type="dxa"/>
        <w:jc w:val="left"/>
        <w:tblInd w:w="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55"/>
        <w:gridCol w:w="1202"/>
        <w:gridCol w:w="1254"/>
        <w:gridCol w:w="1302"/>
        <w:gridCol w:w="1268"/>
        <w:gridCol w:w="1956"/>
      </w:tblGrid>
      <w:tr>
        <w:trPr>
          <w:trHeight w:val="729" w:hRule="atLeast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>
        <w:trPr>
          <w:trHeight w:val="796" w:hRule="atLeast"/>
        </w:trPr>
        <w:tc>
          <w:tcPr>
            <w:tcW w:w="255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49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360" w:hanging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215" w:after="221"/>
        <w:ind w:left="990" w:hanging="975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c – e)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>
      <w:pPr>
        <w:pStyle w:val="Standard"/>
        <w:keepNext w:val="true"/>
        <w:spacing w:before="0" w:after="2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2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f) O výnosoch, ktoré majú výnimočný rozsah alebo výskyt v roku 202</w:t>
      </w:r>
      <w:r>
        <w:rPr>
          <w:rFonts w:cs="Arial Narrow" w:ascii="Arial Narrow" w:hAnsi="Arial Narrow"/>
          <w:bCs/>
          <w:sz w:val="22"/>
          <w:szCs w:val="22"/>
        </w:rPr>
        <w:t>5</w:t>
      </w:r>
      <w:r>
        <w:rPr>
          <w:rFonts w:cs="Arial Narrow" w:ascii="Arial Narrow" w:hAnsi="Arial Narrow"/>
          <w:bCs/>
          <w:sz w:val="22"/>
          <w:szCs w:val="22"/>
        </w:rPr>
        <w:t xml:space="preserve"> účtovná jednotka neúčtovala.</w:t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g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numPr>
          <w:ilvl w:val="0"/>
          <w:numId w:val="9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817"/>
        <w:gridCol w:w="1681"/>
        <w:gridCol w:w="1682"/>
      </w:tblGrid>
      <w:tr>
        <w:trPr>
          <w:trHeight w:val="1005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6028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  <w:t>77060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6700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6359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19717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19087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  <w:t>99777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>
      <w:pPr>
        <w:pStyle w:val="Textbody"/>
        <w:rPr/>
      </w:pPr>
      <w:r>
        <w:rPr/>
      </w:r>
    </w:p>
    <w:p>
      <w:pPr>
        <w:pStyle w:val="Standard"/>
        <w:keepNext w:val="true"/>
        <w:rPr/>
      </w:pPr>
      <w:r>
        <w:rPr>
          <w:rFonts w:cs="Arial Narrow" w:ascii="Arial Narrow" w:hAnsi="Arial Narrow"/>
          <w:bCs/>
          <w:sz w:val="22"/>
          <w:szCs w:val="22"/>
        </w:rPr>
        <w:t>I)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k časti I. prílohy č. 3 o nákladoch</w:t>
      </w:r>
    </w:p>
    <w:p>
      <w:pPr>
        <w:pStyle w:val="Standard"/>
        <w:keepNext w:val="true"/>
        <w:ind w:left="284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Špecifikácia významných položiek nákladov na poskytnuté služby</w:t>
      </w:r>
    </w:p>
    <w:p>
      <w:pPr>
        <w:pStyle w:val="Standard"/>
        <w:keepNext w:val="true"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Špecifikácia významných položiek ostatných nákladov z hosp. činností</w:t>
      </w:r>
    </w:p>
    <w:p>
      <w:pPr>
        <w:pStyle w:val="Textbody"/>
        <w:ind w:firstLine="284"/>
        <w:rPr/>
      </w:pPr>
      <w:r>
        <w:rPr>
          <w:b w:val="false"/>
          <w:sz w:val="22"/>
          <w:szCs w:val="22"/>
        </w:rPr>
        <w:t xml:space="preserve">c) </w:t>
      </w:r>
      <w:r>
        <w:rPr>
          <w:rFonts w:ascii="Arial Narrow" w:hAnsi="Arial Narrow"/>
          <w:b w:val="false"/>
          <w:sz w:val="22"/>
          <w:szCs w:val="22"/>
        </w:rPr>
        <w:t>Špecifikácia významných položiek finančných nákladov</w:t>
      </w:r>
    </w:p>
    <w:tbl>
      <w:tblPr>
        <w:tblW w:w="9571" w:type="dxa"/>
        <w:jc w:val="left"/>
        <w:tblInd w:w="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87"/>
        <w:gridCol w:w="2180"/>
        <w:gridCol w:w="2104"/>
      </w:tblGrid>
      <w:tr>
        <w:trPr>
          <w:trHeight w:val="85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Náklady za 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bCs/>
                <w:color w:val="000000"/>
                <w:sz w:val="22"/>
                <w:szCs w:val="22"/>
              </w:rPr>
              <w:t>5657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  <w:t>68401</w:t>
            </w:r>
          </w:p>
        </w:tc>
      </w:tr>
      <w:tr>
        <w:trPr>
          <w:trHeight w:val="37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1046" w:right="7" w:hanging="1055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492" w:right="12" w:hanging="510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 xml:space="preserve">            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2649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 xml:space="preserve">              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22240</w:t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Spotreba materiálu, energie a nesklad. dodávok</w:t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57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numPr>
          <w:ilvl w:val="0"/>
          <w:numId w:val="2"/>
        </w:numPr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 xml:space="preserve">J.)  </w:t>
      </w:r>
      <w:r>
        <w:rPr>
          <w:b w:val="false"/>
          <w:sz w:val="22"/>
          <w:szCs w:val="22"/>
        </w:rPr>
        <w:t>a-e)</w:t>
      </w:r>
    </w:p>
    <w:p>
      <w:pPr>
        <w:pStyle w:val="Nzov"/>
        <w:numPr>
          <w:ilvl w:val="0"/>
          <w:numId w:val="94"/>
        </w:numPr>
        <w:shd w:val="clear" w:color="auto" w:fill="FFFFFF"/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709"/>
        <w:gridCol w:w="1612"/>
        <w:gridCol w:w="34"/>
        <w:gridCol w:w="1825"/>
      </w:tblGrid>
      <w:tr>
        <w:trPr>
          <w:trHeight w:val="840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4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6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J.)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v roku 202</w:t>
      </w:r>
      <w:r>
        <w:rPr>
          <w:rFonts w:ascii="Arial Narrow" w:hAnsi="Arial Narrow"/>
          <w:b w:val="false"/>
          <w:sz w:val="22"/>
          <w:szCs w:val="22"/>
        </w:rPr>
        <w:t>5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odloženú daňovú pohľadávku týkajúcu sa umorenia daňovej straty, nevyužitých daňových odpočtov, iných nárokov ako aj dočasných rozdielov z predchádzajúcich účtovných období neevidovala .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Účtovná jednotka v roku 202</w:t>
      </w:r>
      <w:r>
        <w:rPr>
          <w:rFonts w:ascii="Arial Narrow" w:hAnsi="Arial Narrow"/>
          <w:b w:val="false"/>
          <w:sz w:val="22"/>
          <w:szCs w:val="22"/>
        </w:rPr>
        <w:t>5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>
      <w:pPr>
        <w:pStyle w:val="Textbody"/>
        <w:numPr>
          <w:ilvl w:val="0"/>
          <w:numId w:val="95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 v roku 202</w:t>
      </w:r>
      <w:r>
        <w:rPr>
          <w:rFonts w:ascii="Arial Narrow" w:hAnsi="Arial Narrow"/>
          <w:b w:val="false"/>
          <w:sz w:val="22"/>
          <w:szCs w:val="22"/>
        </w:rPr>
        <w:t>5</w:t>
      </w:r>
      <w:r>
        <w:rPr>
          <w:rFonts w:ascii="Arial Narrow" w:hAnsi="Arial Narrow"/>
          <w:b w:val="false"/>
          <w:sz w:val="22"/>
          <w:szCs w:val="22"/>
        </w:rPr>
        <w:t xml:space="preserve"> neevidovala neuplatnené umorenie daňovej straty, nevyužité daňové odpočty a iné nároky a odpočítatľné dočasné rozdiely, ku ktorým nebola účtovaná odložená účtovná daňová pohľadávka.</w:t>
      </w:r>
    </w:p>
    <w:p>
      <w:pPr>
        <w:pStyle w:val="Textbody"/>
        <w:numPr>
          <w:ilvl w:val="0"/>
          <w:numId w:val="96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V roku 202</w:t>
      </w:r>
      <w:r>
        <w:rPr>
          <w:rFonts w:ascii="Arial Narrow" w:hAnsi="Arial Narrow"/>
          <w:b w:val="false"/>
          <w:sz w:val="22"/>
          <w:szCs w:val="22"/>
        </w:rPr>
        <w:t>5</w:t>
      </w:r>
      <w:r>
        <w:rPr>
          <w:rFonts w:ascii="Arial Narrow" w:hAnsi="Arial Narrow"/>
          <w:b w:val="false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false"/>
          <w:bCs w:val="false"/>
          <w:i/>
          <w:sz w:val="22"/>
          <w:szCs w:val="22"/>
        </w:rPr>
        <w:t>f ) a  g )</w:t>
      </w:r>
    </w:p>
    <w:p>
      <w:pPr>
        <w:pStyle w:val="Nzov"/>
        <w:widowControl w:val="false"/>
        <w:numPr>
          <w:ilvl w:val="0"/>
          <w:numId w:val="9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683"/>
        <w:gridCol w:w="786"/>
        <w:gridCol w:w="657"/>
        <w:gridCol w:w="1923"/>
        <w:gridCol w:w="705"/>
        <w:gridCol w:w="660"/>
      </w:tblGrid>
      <w:tr>
        <w:trPr>
          <w:trHeight w:val="642" w:hRule="atLeast"/>
        </w:trPr>
        <w:tc>
          <w:tcPr>
            <w:tcW w:w="276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12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6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9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Výsledok hospodárenia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2789</w:t>
            </w:r>
          </w:p>
        </w:tc>
        <w:tc>
          <w:tcPr>
            <w:tcW w:w="78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340</w:t>
            </w:r>
          </w:p>
        </w:tc>
        <w:tc>
          <w:tcPr>
            <w:tcW w:w="65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10</w:t>
            </w:r>
          </w:p>
        </w:tc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2789</w:t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340</w:t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340</w:t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340</w:t>
            </w:r>
          </w:p>
        </w:tc>
        <w:tc>
          <w:tcPr>
            <w:tcW w:w="657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5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  <w:tab/>
      </w:r>
    </w:p>
    <w:p>
      <w:pPr>
        <w:pStyle w:val="Standard"/>
        <w:ind w:left="284" w:hanging="284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720" w:hanging="7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J.) </w:t>
      </w:r>
      <w:r>
        <w:rPr>
          <w:rFonts w:cs="Arial Narrow" w:ascii="Arial Narrow" w:hAnsi="Arial Narrow"/>
          <w:sz w:val="22"/>
          <w:szCs w:val="22"/>
        </w:rPr>
        <w:t>g)</w:t>
        <w:tab/>
        <w:t>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nenastali zmeny sadzby sadzby dane z príjmov a účtovná jednotka  o zmene sadzby dane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neúčtovala.</w:t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sz w:val="22"/>
          <w:szCs w:val="22"/>
        </w:rPr>
        <w:t>a – c)   Účtovná jednotka 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neevidovala  vo svojej činnosti spriaznené osoby.</w:t>
      </w:r>
    </w:p>
    <w:p>
      <w:pPr>
        <w:pStyle w:val="Standard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zostavenia účtovnej závierky.</w:t>
      </w:r>
    </w:p>
    <w:p>
      <w:pPr>
        <w:pStyle w:val="Standard"/>
        <w:ind w:left="709" w:hanging="709"/>
        <w:jc w:val="both"/>
        <w:rPr/>
      </w:pPr>
      <w:r>
        <w:rPr>
          <w:rFonts w:cs="Arial Narrow" w:ascii="Arial Narrow" w:hAnsi="Arial Narrow"/>
          <w:sz w:val="22"/>
          <w:szCs w:val="22"/>
        </w:rPr>
        <w:t>a– j) Od 01.01.2021 a 2023 nastali udalosti /</w:t>
      </w:r>
      <w:r>
        <w:rPr>
          <w:rFonts w:cs="Arial Narrow" w:ascii="Arial Narrow" w:hAnsi="Arial Narrow"/>
          <w:i/>
          <w:iCs/>
          <w:sz w:val="22"/>
          <w:szCs w:val="22"/>
        </w:rPr>
        <w:t>Covid19/ a ukončenie spolupráce so spol. DHL Slovakia,</w:t>
      </w:r>
      <w:r>
        <w:rPr>
          <w:rFonts w:cs="Arial Narrow" w:ascii="Arial Narrow" w:hAnsi="Arial Narrow"/>
          <w:sz w:val="22"/>
          <w:szCs w:val="22"/>
        </w:rPr>
        <w:t xml:space="preserve"> ktoré mali významný dopad na  ekonomickú alebo finančnú situáciu spoločn</w:t>
      </w:r>
      <w:r>
        <w:rPr>
          <w:rFonts w:cs="Arial Narrow" w:ascii="Arial Narrow" w:hAnsi="Arial Narrow"/>
          <w:sz w:val="22"/>
          <w:szCs w:val="22"/>
        </w:rPr>
        <w:t>osti.</w:t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R.) Informácie o prehľade peňažných tokov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a)</w:t>
        <w:tab/>
        <w:t>1 – 2 Účtovná jednotka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evidovala len pohyb peňažných prostriedkov bezpeňažných  ekvivalentov.</w:t>
      </w:r>
    </w:p>
    <w:p>
      <w:pPr>
        <w:pStyle w:val="Standard"/>
        <w:ind w:left="426" w:hanging="426"/>
        <w:jc w:val="both"/>
        <w:rPr/>
      </w:pPr>
      <w:r>
        <w:rPr/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</w:t>
        <w:tab/>
        <w:t>Prehľad  o peňažných tokoch bol spracovaný v členení: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peňažné toky z prevádzkových činností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2. peňažné toky z investičnej činnosti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3. peňažné toky z finančnej činnosti</w:t>
      </w:r>
    </w:p>
    <w:p>
      <w:pPr>
        <w:pStyle w:val="Standard"/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  Stav, pohyb a štruktúra peňažných prostriedkov je totožná s položkami vykázanými      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súvahe.</w:t>
      </w:r>
    </w:p>
    <w:p>
      <w:pPr>
        <w:pStyle w:val="Standard"/>
        <w:ind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Vysvetlivky k poznámkam:</w:t>
      </w:r>
    </w:p>
    <w:p>
      <w:pPr>
        <w:pStyle w:val="ListParagraph"/>
        <w:numPr>
          <w:ilvl w:val="0"/>
          <w:numId w:val="98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99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00"/>
        </w:numPr>
        <w:tabs>
          <w:tab w:val="clear" w:pos="708"/>
          <w:tab w:val="left" w:pos="588" w:leader="none"/>
        </w:tabs>
        <w:ind w:left="294" w:hanging="308"/>
        <w:jc w:val="both"/>
        <w:rPr/>
      </w:pPr>
      <w:r>
        <w:rPr>
          <w:szCs w:val="22"/>
        </w:rPr>
        <w:t xml:space="preserve">Kód SK NACE sa vypĺňa podľa vyhlášky Štatistického úradu Slovenskej republiky </w:t>
      </w:r>
      <w:r>
        <w:rPr/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ListParagraph"/>
        <w:numPr>
          <w:ilvl w:val="0"/>
          <w:numId w:val="101"/>
        </w:numPr>
        <w:tabs>
          <w:tab w:val="clear" w:pos="708"/>
          <w:tab w:val="left" w:pos="588" w:leader="none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</w:t>
      </w:r>
      <w:r>
        <w:rPr>
          <w:szCs w:val="22"/>
        </w:rPr>
        <w:t>lne</w:t>
      </w:r>
      <w:r>
        <w:rPr>
          <w:szCs w:val="22"/>
        </w:rPr>
        <w:t>nými údajmi.</w:t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andard"/>
        <w:rPr>
          <w:szCs w:val="22"/>
        </w:rPr>
      </w:pPr>
      <w:r>
        <w:rPr>
          <w:szCs w:val="22"/>
        </w:rPr>
        <w:t>CP  - cenný papier</w:t>
      </w:r>
    </w:p>
    <w:p>
      <w:pPr>
        <w:pStyle w:val="Standard"/>
        <w:rPr>
          <w:szCs w:val="22"/>
        </w:rPr>
      </w:pPr>
      <w:r>
        <w:rPr>
          <w:szCs w:val="22"/>
        </w:rPr>
        <w:t>č. - číslo</w:t>
      </w:r>
    </w:p>
    <w:p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>
      <w:pPr>
        <w:pStyle w:val="Standard"/>
        <w:rPr>
          <w:szCs w:val="22"/>
        </w:rPr>
      </w:pPr>
      <w:r>
        <w:rPr>
          <w:szCs w:val="22"/>
        </w:rPr>
        <w:t>p. a. – per annum</w:t>
      </w:r>
    </w:p>
    <w:p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>
      <w:pPr>
        <w:pStyle w:val="Standard"/>
        <w:rPr>
          <w:szCs w:val="22"/>
        </w:rPr>
      </w:pPr>
      <w:r>
        <w:rPr>
          <w:szCs w:val="22"/>
        </w:rPr>
        <w:t>ZI – základné imanie</w:t>
      </w:r>
      <w:r>
        <w:br w:type="page"/>
      </w:r>
    </w:p>
    <w:p>
      <w:pPr>
        <w:pStyle w:val="Standard"/>
        <w:rPr>
          <w:szCs w:val="22"/>
        </w:rPr>
      </w:pPr>
      <w:r>
        <w:rPr/>
      </w:r>
    </w:p>
    <w:sectPr>
      <w:headerReference w:type="default" r:id="rId2"/>
      <w:headerReference w:type="first" r:id="rId3"/>
      <w:footerReference w:type="first" r:id="rId4"/>
      <w:type w:val="nextPage"/>
      <w:pgSz w:w="11906" w:h="16838"/>
      <w:pgMar w:left="1134" w:right="1134" w:gutter="0" w:header="630" w:top="1215" w:footer="1135" w:bottom="1583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swiss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 Narrow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6"/>
      <w:gridCol w:w="267"/>
      <w:gridCol w:w="269"/>
      <w:gridCol w:w="271"/>
      <w:gridCol w:w="271"/>
      <w:gridCol w:w="271"/>
      <w:gridCol w:w="277"/>
      <w:gridCol w:w="271"/>
      <w:gridCol w:w="269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6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6"/>
      <w:gridCol w:w="267"/>
      <w:gridCol w:w="269"/>
      <w:gridCol w:w="271"/>
      <w:gridCol w:w="271"/>
      <w:gridCol w:w="271"/>
      <w:gridCol w:w="277"/>
      <w:gridCol w:w="271"/>
      <w:gridCol w:w="269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8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6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</w:tr>
  </w:tbl>
  <w:p>
    <w:pPr>
      <w:pStyle w:val="Standard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  <w:sz w:val="22"/>
        <w:b w:val="false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2">
    <w:lvl w:ilvl="0">
      <w:start w:val="10"/>
      <w:numFmt w:val="upperLetter"/>
      <w:lvlText w:val="%1.)"/>
      <w:lvlJc w:val="left"/>
      <w:pPr>
        <w:tabs>
          <w:tab w:val="num" w:pos="0"/>
        </w:tabs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9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10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1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2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2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2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2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2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2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2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2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2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3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3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32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b w:val="false"/>
        <w:kern w:val="2"/>
        <w:szCs w:val="22"/>
        <w:bCs w:val="false"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3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3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3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3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3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3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3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4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4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4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4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4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4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46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47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4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4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5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5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5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5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39"/>
  </w:num>
  <w:num w:numId="40">
    <w:abstractNumId w:val="40"/>
  </w:num>
  <w:num w:numId="41">
    <w:abstractNumId w:val="41"/>
  </w:num>
  <w:num w:numId="42">
    <w:abstractNumId w:val="42"/>
  </w:num>
  <w:num w:numId="43">
    <w:abstractNumId w:val="43"/>
  </w:num>
  <w:num w:numId="44">
    <w:abstractNumId w:val="44"/>
  </w:num>
  <w:num w:numId="45">
    <w:abstractNumId w:val="45"/>
  </w:num>
  <w:num w:numId="46">
    <w:abstractNumId w:val="46"/>
  </w:num>
  <w:num w:numId="47">
    <w:abstractNumId w:val="47"/>
  </w:num>
  <w:num w:numId="48">
    <w:abstractNumId w:val="48"/>
  </w:num>
  <w:num w:numId="49">
    <w:abstractNumId w:val="49"/>
  </w:num>
  <w:num w:numId="50">
    <w:abstractNumId w:val="50"/>
  </w:num>
  <w:num w:numId="51">
    <w:abstractNumId w:val="51"/>
  </w:num>
  <w:num w:numId="52">
    <w:abstractNumId w:val="52"/>
  </w:num>
  <w:num w:numId="53">
    <w:abstractNumId w:val="53"/>
  </w:num>
  <w:num w:numId="54">
    <w:abstractNumId w:val="5"/>
    <w:lvlOverride w:ilvl="0">
      <w:startOverride w:val="1"/>
    </w:lvlOverride>
  </w:num>
  <w:num w:numId="55">
    <w:abstractNumId w:val="6"/>
    <w:lvlOverride w:ilvl="0">
      <w:startOverride w:val="1"/>
    </w:lvlOverride>
  </w:num>
  <w:num w:numId="56">
    <w:abstractNumId w:val="6"/>
  </w:num>
  <w:num w:numId="57">
    <w:abstractNumId w:val="6"/>
  </w:num>
  <w:num w:numId="58">
    <w:abstractNumId w:val="9"/>
    <w:lvlOverride w:ilvl="0">
      <w:startOverride w:val="1"/>
    </w:lvlOverride>
  </w:num>
  <w:num w:numId="59">
    <w:abstractNumId w:val="9"/>
  </w:num>
  <w:num w:numId="60">
    <w:abstractNumId w:val="9"/>
  </w:num>
  <w:num w:numId="61">
    <w:abstractNumId w:val="5"/>
  </w:num>
  <w:num w:numId="62">
    <w:abstractNumId w:val="5"/>
  </w:num>
  <w:num w:numId="63">
    <w:abstractNumId w:val="5"/>
  </w:num>
  <w:num w:numId="64">
    <w:abstractNumId w:val="5"/>
  </w:num>
  <w:num w:numId="65">
    <w:abstractNumId w:val="5"/>
  </w:num>
  <w:num w:numId="66">
    <w:abstractNumId w:val="5"/>
  </w:num>
  <w:num w:numId="67">
    <w:abstractNumId w:val="5"/>
  </w:num>
  <w:num w:numId="68">
    <w:abstractNumId w:val="5"/>
  </w:num>
  <w:num w:numId="69">
    <w:abstractNumId w:val="5"/>
  </w:num>
  <w:num w:numId="70">
    <w:abstractNumId w:val="5"/>
  </w:num>
  <w:num w:numId="71">
    <w:abstractNumId w:val="5"/>
  </w:num>
  <w:num w:numId="72">
    <w:abstractNumId w:val="5"/>
  </w:num>
  <w:num w:numId="73">
    <w:abstractNumId w:val="5"/>
  </w:num>
  <w:num w:numId="74">
    <w:abstractNumId w:val="5"/>
  </w:num>
  <w:num w:numId="75">
    <w:abstractNumId w:val="5"/>
  </w:num>
  <w:num w:numId="76">
    <w:abstractNumId w:val="5"/>
  </w:num>
  <w:num w:numId="77">
    <w:abstractNumId w:val="5"/>
  </w:num>
  <w:num w:numId="78">
    <w:abstractNumId w:val="5"/>
  </w:num>
  <w:num w:numId="79">
    <w:abstractNumId w:val="5"/>
  </w:num>
  <w:num w:numId="80">
    <w:abstractNumId w:val="5"/>
  </w:num>
  <w:num w:numId="81">
    <w:abstractNumId w:val="32"/>
    <w:lvlOverride w:ilvl="0">
      <w:startOverride w:val="1"/>
    </w:lvlOverride>
  </w:num>
  <w:num w:numId="82">
    <w:abstractNumId w:val="5"/>
  </w:num>
  <w:num w:numId="83">
    <w:abstractNumId w:val="5"/>
  </w:num>
  <w:num w:numId="84">
    <w:abstractNumId w:val="5"/>
  </w:num>
  <w:num w:numId="85">
    <w:abstractNumId w:val="5"/>
  </w:num>
  <w:num w:numId="86">
    <w:abstractNumId w:val="5"/>
  </w:num>
  <w:num w:numId="87">
    <w:abstractNumId w:val="5"/>
  </w:num>
  <w:num w:numId="88">
    <w:abstractNumId w:val="5"/>
  </w:num>
  <w:num w:numId="89">
    <w:abstractNumId w:val="5"/>
  </w:num>
  <w:num w:numId="90">
    <w:abstractNumId w:val="5"/>
  </w:num>
  <w:num w:numId="91">
    <w:abstractNumId w:val="5"/>
  </w:num>
  <w:num w:numId="92">
    <w:abstractNumId w:val="5"/>
  </w:num>
  <w:num w:numId="93">
    <w:abstractNumId w:val="5"/>
  </w:num>
  <w:num w:numId="94">
    <w:abstractNumId w:val="5"/>
  </w:num>
  <w:num w:numId="95">
    <w:abstractNumId w:val="46"/>
    <w:lvlOverride w:ilvl="0">
      <w:startOverride w:val="4"/>
    </w:lvlOverride>
  </w:num>
  <w:num w:numId="96">
    <w:abstractNumId w:val="46"/>
  </w:num>
  <w:num w:numId="97">
    <w:abstractNumId w:val="5"/>
  </w:num>
  <w:num w:numId="98">
    <w:abstractNumId w:val="49"/>
    <w:lvlOverride w:ilvl="0">
      <w:startOverride w:val="1"/>
    </w:lvlOverride>
  </w:num>
  <w:num w:numId="99">
    <w:abstractNumId w:val="49"/>
  </w:num>
  <w:num w:numId="100">
    <w:abstractNumId w:val="49"/>
  </w:num>
  <w:num w:numId="101">
    <w:abstractNumId w:val="49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425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xtbody"/>
    <w:qFormat/>
    <w:rsid w:val="00b73102"/>
    <w:pPr>
      <w:widowControl/>
      <w:spacing w:before="240" w:after="60"/>
      <w:textAlignment w:val="auto"/>
      <w:outlineLvl w:val="0"/>
    </w:pPr>
    <w:rPr>
      <w:rFonts w:ascii="Cambria" w:hAnsi="Cambria" w:eastAsia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Nadpis"/>
    <w:next w:val="Textbody"/>
    <w:qFormat/>
    <w:rsid w:val="00b73102"/>
    <w:pPr>
      <w:widowControl/>
      <w:spacing w:before="240" w:after="60"/>
      <w:textAlignment w:val="auto"/>
      <w:outlineLvl w:val="1"/>
    </w:pPr>
    <w:rPr>
      <w:rFonts w:ascii="Cambria" w:hAnsi="Cambria" w:eastAsia="Cambria" w:cs="Times New Roman"/>
      <w:b/>
      <w:bCs/>
      <w:i/>
      <w:iCs/>
      <w:lang w:eastAsia="en-US" w:bidi="ar-SA"/>
    </w:rPr>
  </w:style>
  <w:style w:type="paragraph" w:styleId="Nadpis3">
    <w:name w:val="Heading 3"/>
    <w:basedOn w:val="Nadpis"/>
    <w:next w:val="Textbody"/>
    <w:qFormat/>
    <w:rsid w:val="00b73102"/>
    <w:pPr>
      <w:widowControl/>
      <w:spacing w:before="240" w:after="60"/>
      <w:textAlignment w:val="auto"/>
      <w:outlineLvl w:val="2"/>
    </w:pPr>
    <w:rPr>
      <w:rFonts w:ascii="Cambria" w:hAnsi="Cambria" w:eastAsia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Nadpis"/>
    <w:next w:val="Textbody"/>
    <w:qFormat/>
    <w:rsid w:val="00b73102"/>
    <w:pPr>
      <w:widowControl/>
      <w:spacing w:before="240" w:after="60"/>
      <w:textAlignment w:val="auto"/>
      <w:outlineLvl w:val="3"/>
    </w:pPr>
    <w:rPr>
      <w:rFonts w:ascii="Arial Narrow" w:hAnsi="Arial Narrow" w:eastAsia="Arial Narrow" w:cs="Times New Roman"/>
      <w:b/>
      <w:bCs/>
      <w:lang w:eastAsia="en-US" w:bidi="ar-SA"/>
    </w:rPr>
  </w:style>
  <w:style w:type="paragraph" w:styleId="Nadpis5">
    <w:name w:val="Heading 5"/>
    <w:basedOn w:val="Nadpis"/>
    <w:next w:val="Textbody"/>
    <w:qFormat/>
    <w:rsid w:val="00b73102"/>
    <w:pPr>
      <w:widowControl/>
      <w:spacing w:before="240" w:after="60"/>
      <w:textAlignment w:val="auto"/>
      <w:outlineLvl w:val="4"/>
    </w:pPr>
    <w:rPr>
      <w:rFonts w:ascii="Arial Narrow" w:hAnsi="Arial Narrow" w:eastAsia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Nadpis"/>
    <w:next w:val="Textbody"/>
    <w:qFormat/>
    <w:rsid w:val="00b73102"/>
    <w:pPr>
      <w:widowControl/>
      <w:spacing w:before="240" w:after="60"/>
      <w:textAlignment w:val="auto"/>
      <w:outlineLvl w:val="5"/>
    </w:pPr>
    <w:rPr>
      <w:rFonts w:ascii="Arial Narrow" w:hAnsi="Arial Narrow" w:eastAsia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Nadpis"/>
    <w:next w:val="Textbody"/>
    <w:qFormat/>
    <w:rsid w:val="00b73102"/>
    <w:pPr>
      <w:widowControl/>
      <w:spacing w:before="240" w:after="60"/>
      <w:textAlignment w:val="auto"/>
      <w:outlineLvl w:val="6"/>
    </w:pPr>
    <w:rPr>
      <w:rFonts w:ascii="Arial Narrow" w:hAnsi="Arial Narrow" w:eastAsia="Arial Narrow" w:cs="Times New Roman"/>
      <w:sz w:val="22"/>
      <w:szCs w:val="24"/>
      <w:lang w:eastAsia="en-US" w:bidi="ar-SA"/>
    </w:rPr>
  </w:style>
  <w:style w:type="paragraph" w:styleId="Nadpis8">
    <w:name w:val="Heading 8"/>
    <w:basedOn w:val="Nadpis"/>
    <w:next w:val="Textbody"/>
    <w:qFormat/>
    <w:rsid w:val="00b73102"/>
    <w:pPr>
      <w:widowControl/>
      <w:spacing w:before="240" w:after="60"/>
      <w:textAlignment w:val="auto"/>
      <w:outlineLvl w:val="7"/>
    </w:pPr>
    <w:rPr>
      <w:rFonts w:ascii="Arial Narrow" w:hAnsi="Arial Narrow" w:eastAsia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Nadpis"/>
    <w:next w:val="Textbody"/>
    <w:qFormat/>
    <w:rsid w:val="00b73102"/>
    <w:pPr>
      <w:widowControl/>
      <w:spacing w:before="240" w:after="60"/>
      <w:textAlignment w:val="auto"/>
      <w:outlineLvl w:val="8"/>
    </w:pPr>
    <w:rPr>
      <w:rFonts w:ascii="Cambria" w:hAnsi="Cambria" w:eastAsia="Cambria" w:cs="Times New Roman"/>
      <w:sz w:val="22"/>
      <w:szCs w:val="22"/>
      <w:lang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qFormat/>
    <w:rsid w:val="00b73102"/>
    <w:rPr>
      <w:rFonts w:ascii="Cambria" w:hAnsi="Cambria" w:eastAsia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qFormat/>
    <w:rsid w:val="00b73102"/>
    <w:rPr>
      <w:rFonts w:ascii="Cambria" w:hAnsi="Cambria" w:eastAsia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qFormat/>
    <w:rsid w:val="00b73102"/>
    <w:rPr>
      <w:rFonts w:ascii="Cambria" w:hAnsi="Cambria" w:eastAsia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styleId="Nadpis8Char" w:customStyle="1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qFormat/>
    <w:rsid w:val="00b73102"/>
    <w:rPr>
      <w:rFonts w:ascii="Cambria" w:hAnsi="Cambria" w:eastAsia="Cambria" w:cs="Times New Roman"/>
      <w:sz w:val="22"/>
      <w:szCs w:val="22"/>
    </w:rPr>
  </w:style>
  <w:style w:type="character" w:styleId="HlavikaChar" w:customStyle="1">
    <w:name w:val="Hlavička Char"/>
    <w:basedOn w:val="DefaultParagraphFont"/>
    <w:qFormat/>
    <w:rsid w:val="00b73102"/>
    <w:rPr>
      <w:rFonts w:cs="Times New Roman"/>
    </w:rPr>
  </w:style>
  <w:style w:type="character" w:styleId="PtaChar" w:customStyle="1">
    <w:name w:val="Päta Char"/>
    <w:basedOn w:val="DefaultParagraphFont"/>
    <w:qFormat/>
    <w:rsid w:val="00b73102"/>
    <w:rPr>
      <w:rFonts w:cs="Times New Roman"/>
    </w:rPr>
  </w:style>
  <w:style w:type="character" w:styleId="TextpoznmkypodiarouChar" w:customStyle="1">
    <w:name w:val="Text poznámky pod čiarou Char"/>
    <w:basedOn w:val="DefaultParagraphFont"/>
    <w:qFormat/>
    <w:rsid w:val="00b73102"/>
    <w:rPr>
      <w:rFonts w:ascii="Times New Roman" w:hAnsi="Times New Roman" w:eastAsia="Times New Roman" w:cs="Times New Roman"/>
      <w:sz w:val="20"/>
      <w:szCs w:val="20"/>
      <w:lang w:val="sk-SK" w:eastAsia="cs-CZ"/>
    </w:rPr>
  </w:style>
  <w:style w:type="character" w:styleId="TextpoznmkypodiarouChar1" w:customStyle="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qFormat/>
    <w:rsid w:val="00b73102"/>
    <w:rPr>
      <w:rFonts w:ascii="Times New Roman" w:hAnsi="Times New Roman" w:eastAsia="Times New Roman" w:cs="Times New Roman"/>
      <w:b/>
      <w:bCs/>
      <w:sz w:val="24"/>
      <w:szCs w:val="24"/>
      <w:lang w:val="sk-SK" w:eastAsia="cs-CZ"/>
    </w:rPr>
  </w:style>
  <w:style w:type="character" w:styleId="ZkladntextChar1" w:customStyle="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qFormat/>
    <w:rsid w:val="00b73102"/>
    <w:rPr>
      <w:rFonts w:ascii="Cambria" w:hAnsi="Cambria" w:eastAsia="Cambria" w:cs="Times New Roman"/>
      <w:sz w:val="24"/>
      <w:szCs w:val="24"/>
    </w:rPr>
  </w:style>
  <w:style w:type="character" w:styleId="PodtitulChar1" w:customStyle="1">
    <w:name w:val="Podtitul Char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5" w:customStyle="1">
    <w:name w:val="Podtitul Char13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4" w:customStyle="1">
    <w:name w:val="Podtitul Char13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3" w:customStyle="1">
    <w:name w:val="Podtitul Char13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2" w:customStyle="1">
    <w:name w:val="Podtitul Char13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1" w:customStyle="1">
    <w:name w:val="Podtitul Char13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0" w:customStyle="1">
    <w:name w:val="Podtitul Char13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9" w:customStyle="1">
    <w:name w:val="Podtitul Char12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8" w:customStyle="1">
    <w:name w:val="Podtitul Char12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7" w:customStyle="1">
    <w:name w:val="Podtitul Char12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6" w:customStyle="1">
    <w:name w:val="Podtitul Char12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5" w:customStyle="1">
    <w:name w:val="Podtitul Char12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4" w:customStyle="1">
    <w:name w:val="Podtitul Char12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3" w:customStyle="1">
    <w:name w:val="Podtitul Char12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2" w:customStyle="1">
    <w:name w:val="Podtitul Char12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1" w:customStyle="1">
    <w:name w:val="Podtitul Char12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0" w:customStyle="1">
    <w:name w:val="Podtitul Char12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9" w:customStyle="1">
    <w:name w:val="Podtitul Char1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8" w:customStyle="1">
    <w:name w:val="Podtitul Char1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7" w:customStyle="1">
    <w:name w:val="Podtitul Char1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6" w:customStyle="1">
    <w:name w:val="Podtitul Char1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5" w:customStyle="1">
    <w:name w:val="Podtitul Char1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4" w:customStyle="1">
    <w:name w:val="Podtitul Char1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3" w:customStyle="1">
    <w:name w:val="Podtitul Char1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2" w:customStyle="1">
    <w:name w:val="Podtitul Char1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1" w:customStyle="1">
    <w:name w:val="Podtitul Char1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0" w:customStyle="1">
    <w:name w:val="Podtitul Char11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9" w:customStyle="1">
    <w:name w:val="Podtitul Char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8" w:customStyle="1">
    <w:name w:val="Podtitul Char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7" w:customStyle="1">
    <w:name w:val="Podtitul Char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6" w:customStyle="1">
    <w:name w:val="Podtitul Char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5" w:customStyle="1">
    <w:name w:val="Podtitul Char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4" w:customStyle="1">
    <w:name w:val="Podtitul Char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" w:customStyle="1">
    <w:name w:val="Podtitul Char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" w:customStyle="1">
    <w:name w:val="Podtitul Char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" w:customStyle="1">
    <w:name w:val="Podtitul Char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Zkladntext2Char" w:customStyle="1">
    <w:name w:val="Základný text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kladntext2Char1" w:customStyle="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2Char1" w:customStyle="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3Char1" w:customStyle="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qFormat/>
    <w:rsid w:val="00b73102"/>
    <w:rPr>
      <w:rFonts w:ascii="Tahoma" w:hAnsi="Tahoma" w:eastAsia="Tahoma" w:cs="Cambria"/>
      <w:sz w:val="16"/>
      <w:szCs w:val="16"/>
      <w:lang w:val="sk-SK" w:eastAsia="cs-CZ"/>
    </w:rPr>
  </w:style>
  <w:style w:type="character" w:styleId="TextbublinyChar1" w:customStyle="1">
    <w:name w:val="Text bubliny Char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5" w:customStyle="1">
    <w:name w:val="Text bubliny Char13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4" w:customStyle="1">
    <w:name w:val="Text bubliny Char13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3" w:customStyle="1">
    <w:name w:val="Text bubliny Char13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2" w:customStyle="1">
    <w:name w:val="Text bubliny Char13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1" w:customStyle="1">
    <w:name w:val="Text bubliny Char13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0" w:customStyle="1">
    <w:name w:val="Text bubliny Char13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9" w:customStyle="1">
    <w:name w:val="Text bubliny Char12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8" w:customStyle="1">
    <w:name w:val="Text bubliny Char12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7" w:customStyle="1">
    <w:name w:val="Text bubliny Char12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6" w:customStyle="1">
    <w:name w:val="Text bubliny Char12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5" w:customStyle="1">
    <w:name w:val="Text bubliny Char12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4" w:customStyle="1">
    <w:name w:val="Text bubliny Char12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3" w:customStyle="1">
    <w:name w:val="Text bubliny Char12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2" w:customStyle="1">
    <w:name w:val="Text bubliny Char12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1" w:customStyle="1">
    <w:name w:val="Text bubliny Char12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0" w:customStyle="1">
    <w:name w:val="Text bubliny Char12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9" w:customStyle="1">
    <w:name w:val="Text bubliny Char1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8" w:customStyle="1">
    <w:name w:val="Text bubliny Char118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7" w:customStyle="1">
    <w:name w:val="Text bubliny Char1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6" w:customStyle="1">
    <w:name w:val="Text bubliny Char1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5" w:customStyle="1">
    <w:name w:val="Text bubliny Char115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4" w:customStyle="1">
    <w:name w:val="Text bubliny Char114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3" w:customStyle="1">
    <w:name w:val="Text bubliny Char1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2" w:customStyle="1">
    <w:name w:val="Text bubliny Char1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1" w:customStyle="1">
    <w:name w:val="Text bubliny Char1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0" w:customStyle="1">
    <w:name w:val="Text bubliny Char11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9" w:customStyle="1">
    <w:name w:val="Text bubliny Char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8" w:customStyle="1">
    <w:name w:val="Text bubliny Char1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7" w:customStyle="1">
    <w:name w:val="Text bubliny Char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6" w:customStyle="1">
    <w:name w:val="Text bubliny Char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5" w:customStyle="1">
    <w:name w:val="Text bubliny Char1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4" w:customStyle="1">
    <w:name w:val="Text bubliny Char1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" w:customStyle="1">
    <w:name w:val="Text bubliny Char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" w:customStyle="1">
    <w:name w:val="Text bubliny Char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" w:customStyle="1">
    <w:name w:val="Text bubliny Char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WW8Num12z0" w:customStyle="1">
    <w:name w:val="WW8Num12z0"/>
    <w:qFormat/>
    <w:rsid w:val="00b73102"/>
    <w:rPr>
      <w:rFonts w:ascii="Arial Narrow" w:hAnsi="Arial Narrow" w:eastAsia="Arial Narrow" w:cs="Arial Narrow"/>
      <w:b w:val="false"/>
      <w:sz w:val="22"/>
      <w:szCs w:val="22"/>
    </w:rPr>
  </w:style>
  <w:style w:type="character" w:styleId="WW8Num2z0" w:customStyle="1">
    <w:name w:val="WW8Num2z0"/>
    <w:qFormat/>
    <w:rsid w:val="00b73102"/>
    <w:rPr>
      <w:rFonts w:ascii="Arial Narrow" w:hAnsi="Arial Narrow" w:eastAsia="Arial Narrow" w:cs="Times New Roman"/>
      <w:kern w:val="2"/>
      <w:sz w:val="22"/>
      <w:szCs w:val="22"/>
    </w:rPr>
  </w:style>
  <w:style w:type="character" w:styleId="WW8Num3z0" w:customStyle="1">
    <w:name w:val="WW8Num3z0"/>
    <w:qFormat/>
    <w:rsid w:val="00b73102"/>
    <w:rPr>
      <w:rFonts w:ascii="Arial Narrow" w:hAnsi="Arial Narrow" w:eastAsia="Arial Narrow" w:cs="Times New Roman"/>
    </w:rPr>
  </w:style>
  <w:style w:type="character" w:styleId="WW8Num10z0" w:customStyle="1">
    <w:name w:val="WW8Num10z0"/>
    <w:qFormat/>
    <w:rsid w:val="00b73102"/>
    <w:rPr>
      <w:rFonts w:ascii="Arial Narrow" w:hAnsi="Arial Narrow" w:eastAsia="Arial Narrow" w:cs="Times New Roman"/>
      <w:sz w:val="22"/>
      <w:szCs w:val="22"/>
    </w:rPr>
  </w:style>
  <w:style w:type="character" w:styleId="WW8Num11z0" w:customStyle="1">
    <w:name w:val="WW8Num11z0"/>
    <w:qFormat/>
    <w:rsid w:val="00b73102"/>
    <w:rPr>
      <w:rFonts w:ascii="Arial Narrow" w:hAnsi="Arial Narrow" w:eastAsia="Arial Narrow" w:cs="Times New Roman"/>
    </w:rPr>
  </w:style>
  <w:style w:type="character" w:styleId="WW8Num7z0" w:customStyle="1">
    <w:name w:val="WW8Num7z0"/>
    <w:qFormat/>
    <w:rsid w:val="00b73102"/>
    <w:rPr>
      <w:rFonts w:ascii="Arial Narrow" w:hAnsi="Arial Narrow" w:eastAsia="Arial Narrow" w:cs="Times New Roman"/>
      <w:b w:val="false"/>
      <w:bCs w:val="false"/>
      <w:kern w:val="2"/>
      <w:sz w:val="22"/>
      <w:szCs w:val="22"/>
    </w:rPr>
  </w:style>
  <w:style w:type="character" w:styleId="WW8Num13z0" w:customStyle="1">
    <w:name w:val="WW8Num13z0"/>
    <w:qFormat/>
    <w:rsid w:val="00b73102"/>
    <w:rPr>
      <w:rFonts w:ascii="Arial Narrow" w:hAnsi="Arial Narrow" w:eastAsia="Arial Narrow" w:cs="Times New Roman"/>
    </w:rPr>
  </w:style>
  <w:style w:type="character" w:styleId="WW8Num13z1" w:customStyle="1">
    <w:name w:val="WW8Num13z1"/>
    <w:qFormat/>
    <w:rsid w:val="00b73102"/>
    <w:rPr/>
  </w:style>
  <w:style w:type="character" w:styleId="WW8Num13z2" w:customStyle="1">
    <w:name w:val="WW8Num13z2"/>
    <w:qFormat/>
    <w:rsid w:val="00b73102"/>
    <w:rPr/>
  </w:style>
  <w:style w:type="character" w:styleId="WW8Num13z3" w:customStyle="1">
    <w:name w:val="WW8Num13z3"/>
    <w:qFormat/>
    <w:rsid w:val="00b73102"/>
    <w:rPr/>
  </w:style>
  <w:style w:type="character" w:styleId="WW8Num13z4" w:customStyle="1">
    <w:name w:val="WW8Num13z4"/>
    <w:qFormat/>
    <w:rsid w:val="00b73102"/>
    <w:rPr/>
  </w:style>
  <w:style w:type="character" w:styleId="WW8Num13z5" w:customStyle="1">
    <w:name w:val="WW8Num13z5"/>
    <w:qFormat/>
    <w:rsid w:val="00b73102"/>
    <w:rPr/>
  </w:style>
  <w:style w:type="character" w:styleId="WW8Num13z6" w:customStyle="1">
    <w:name w:val="WW8Num13z6"/>
    <w:qFormat/>
    <w:rsid w:val="00b73102"/>
    <w:rPr/>
  </w:style>
  <w:style w:type="character" w:styleId="WW8Num13z7" w:customStyle="1">
    <w:name w:val="WW8Num13z7"/>
    <w:qFormat/>
    <w:rsid w:val="00b73102"/>
    <w:rPr/>
  </w:style>
  <w:style w:type="character" w:styleId="WW8Num13z8" w:customStyle="1">
    <w:name w:val="WW8Num13z8"/>
    <w:qFormat/>
    <w:rsid w:val="00b73102"/>
    <w:rPr/>
  </w:style>
  <w:style w:type="character" w:styleId="WW8Num9z0" w:customStyle="1">
    <w:name w:val="WW8Num9z0"/>
    <w:qFormat/>
    <w:rsid w:val="00b73102"/>
    <w:rPr>
      <w:rFonts w:cs="Times New Roman"/>
    </w:rPr>
  </w:style>
  <w:style w:type="character" w:styleId="WW8Num8z0" w:customStyle="1">
    <w:name w:val="WW8Num8z0"/>
    <w:qFormat/>
    <w:rsid w:val="00b73102"/>
    <w:rPr>
      <w:rFonts w:ascii="Arial Narrow" w:hAnsi="Arial Narrow" w:eastAsia="Arial Narrow" w:cs="Times New Roman"/>
      <w:bCs/>
      <w:kern w:val="2"/>
    </w:rPr>
  </w:style>
  <w:style w:type="character" w:styleId="WW8Num5z0" w:customStyle="1">
    <w:name w:val="WW8Num5z0"/>
    <w:qFormat/>
    <w:rsid w:val="00b73102"/>
    <w:rPr>
      <w:rFonts w:ascii="Arial Narrow" w:hAnsi="Arial Narrow" w:eastAsia="Arial Narrow" w:cs="Symbol"/>
    </w:rPr>
  </w:style>
  <w:style w:type="character" w:styleId="WW8Num6z0" w:customStyle="1">
    <w:name w:val="WW8Num6z0"/>
    <w:qFormat/>
    <w:rsid w:val="00b73102"/>
    <w:rPr/>
  </w:style>
  <w:style w:type="character" w:styleId="WW8Num4z0" w:customStyle="1">
    <w:name w:val="WW8Num4z0"/>
    <w:qFormat/>
    <w:rsid w:val="00b73102"/>
    <w:rPr>
      <w:rFonts w:ascii="Symbol" w:hAnsi="Symbol" w:eastAsia="Symbol" w:cs="Symbol"/>
    </w:rPr>
  </w:style>
  <w:style w:type="character" w:styleId="Symbolypreslovanie" w:customStyle="1">
    <w:name w:val="Symboly pre číslovanie"/>
    <w:qFormat/>
    <w:rsid w:val="00b73102"/>
    <w:rPr/>
  </w:style>
  <w:style w:type="character" w:styleId="Ra" w:customStyle="1">
    <w:name w:val="ra"/>
    <w:basedOn w:val="DefaultParagraphFont"/>
    <w:qFormat/>
    <w:rsid w:val="00480be5"/>
    <w:rPr/>
  </w:style>
  <w:style w:type="paragraph" w:styleId="Nadpis" w:customStyle="1">
    <w:name w:val="Nadpis"/>
    <w:basedOn w:val="Standard"/>
    <w:next w:val="Textbody"/>
    <w:qFormat/>
    <w:rsid w:val="00b73102"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xtbody"/>
    <w:rsid w:val="00b73102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Standard"/>
    <w:qFormat/>
    <w:rsid w:val="00b73102"/>
    <w:pPr>
      <w:suppressLineNumbers/>
    </w:pPr>
    <w:rPr/>
  </w:style>
  <w:style w:type="paragraph" w:styleId="Standard" w:customStyle="1">
    <w:name w:val="Standard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Textbody" w:customStyle="1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oznmkapodiarou">
    <w:name w:val="Footnote Text"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SimSun" w:cs="Times New Roman"/>
      <w:color w:val="auto"/>
      <w:kern w:val="2"/>
      <w:sz w:val="20"/>
      <w:szCs w:val="20"/>
      <w:lang w:val="sk-SK" w:eastAsia="cs-CZ" w:bidi="ar-SA"/>
    </w:rPr>
  </w:style>
  <w:style w:type="paragraph" w:styleId="Nzov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hAnsi="Arial Narrow" w:eastAsia="Arial Narrow" w:cs="Times New Roman"/>
      <w:b/>
      <w:bCs/>
      <w:sz w:val="22"/>
      <w:szCs w:val="32"/>
      <w:lang w:eastAsia="en-US" w:bidi="ar-SA"/>
    </w:rPr>
  </w:style>
  <w:style w:type="paragraph" w:styleId="Podnzov">
    <w:name w:val="Subtitle"/>
    <w:basedOn w:val="Nadpis"/>
    <w:next w:val="Textbody"/>
    <w:qFormat/>
    <w:rsid w:val="00b73102"/>
    <w:pPr>
      <w:widowControl/>
      <w:spacing w:before="240" w:after="60"/>
      <w:jc w:val="center"/>
      <w:textAlignment w:val="auto"/>
    </w:pPr>
    <w:rPr>
      <w:rFonts w:ascii="Cambria" w:hAnsi="Cambria" w:eastAsia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widowControl/>
      <w:suppressAutoHyphens w:val="true"/>
      <w:bidi w:val="0"/>
      <w:spacing w:before="0" w:after="0"/>
      <w:ind w:left="2124" w:hanging="2124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2">
    <w:name w:val="Body Text Indent 2"/>
    <w:qFormat/>
    <w:rsid w:val="00b73102"/>
    <w:pPr>
      <w:widowControl/>
      <w:suppressAutoHyphens w:val="true"/>
      <w:bidi w:val="0"/>
      <w:spacing w:before="0" w:after="0"/>
      <w:ind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3">
    <w:name w:val="Body Text Indent 3"/>
    <w:qFormat/>
    <w:rsid w:val="00b73102"/>
    <w:pPr>
      <w:widowControl/>
      <w:suppressAutoHyphens w:val="true"/>
      <w:bidi w:val="0"/>
      <w:spacing w:before="0" w:after="0"/>
      <w:ind w:left="708"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alloonText">
    <w:name w:val="Balloon Text"/>
    <w:qFormat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ahoma" w:hAnsi="Tahoma" w:eastAsia="Tahoma" w:cs="Cambria"/>
      <w:color w:val="auto"/>
      <w:kern w:val="2"/>
      <w:sz w:val="16"/>
      <w:szCs w:val="16"/>
      <w:lang w:val="sk-SK" w:eastAsia="cs-CZ" w:bidi="ar-SA"/>
    </w:rPr>
  </w:style>
  <w:style w:type="paragraph" w:styleId="ListParagraph">
    <w:name w:val="List Paragraph"/>
    <w:qFormat/>
    <w:rsid w:val="00b73102"/>
    <w:pPr>
      <w:widowControl/>
      <w:suppressAutoHyphens w:val="true"/>
      <w:bidi w:val="0"/>
      <w:spacing w:before="0" w:after="200"/>
      <w:ind w:left="720" w:hanging="0"/>
      <w:jc w:val="left"/>
      <w:textAlignment w:val="auto"/>
    </w:pPr>
    <w:rPr>
      <w:rFonts w:ascii="Arial Narrow" w:hAnsi="Arial Narrow" w:eastAsia="Arial Narrow" w:cs="Times New Roman"/>
      <w:color w:val="auto"/>
      <w:kern w:val="2"/>
      <w:sz w:val="22"/>
      <w:szCs w:val="36"/>
      <w:lang w:val="sk-SK" w:eastAsia="en-US" w:bidi="ar-SA"/>
    </w:rPr>
  </w:style>
  <w:style w:type="paragraph" w:styleId="TopHeader" w:customStyle="1">
    <w:name w:val="Top Header"/>
    <w:qFormat/>
    <w:rsid w:val="00b73102"/>
    <w:pPr>
      <w:widowControl/>
      <w:suppressAutoHyphens w:val="true"/>
      <w:bidi w:val="0"/>
      <w:spacing w:before="0" w:after="0"/>
      <w:jc w:val="center"/>
      <w:textAlignment w:val="auto"/>
    </w:pPr>
    <w:rPr>
      <w:rFonts w:ascii="Arial Narrow" w:hAnsi="Arial Narrow" w:eastAsia="Arial Narrow" w:cs="Times New Roman"/>
      <w:b/>
      <w:bCs/>
      <w:color w:val="auto"/>
      <w:kern w:val="2"/>
      <w:sz w:val="22"/>
      <w:szCs w:val="22"/>
      <w:lang w:val="sk-SK" w:eastAsia="en-US" w:bidi="ar-SA"/>
    </w:rPr>
  </w:style>
  <w:style w:type="paragraph" w:styleId="NormalWeb">
    <w:name w:val="Normal (Web)"/>
    <w:qFormat/>
    <w:rsid w:val="00b73102"/>
    <w:pPr>
      <w:widowControl/>
      <w:suppressAutoHyphens w:val="true"/>
      <w:bidi w:val="0"/>
      <w:spacing w:before="100" w:after="100"/>
      <w:jc w:val="left"/>
      <w:textAlignment w:val="auto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sk-SK" w:eastAsia="sk-SK" w:bidi="ar-SA"/>
    </w:rPr>
  </w:style>
  <w:style w:type="paragraph" w:styleId="Obsahtabuky" w:customStyle="1">
    <w:name w:val="Obsah tabuľky"/>
    <w:basedOn w:val="Standard"/>
    <w:qFormat/>
    <w:rsid w:val="00b73102"/>
    <w:pPr>
      <w:suppressLineNumbers/>
    </w:pPr>
    <w:rPr/>
  </w:style>
  <w:style w:type="paragraph" w:styleId="Citcie" w:customStyle="1">
    <w:name w:val="Citácie"/>
    <w:basedOn w:val="Standard"/>
    <w:qFormat/>
    <w:rsid w:val="00b73102"/>
    <w:pPr>
      <w:spacing w:before="0" w:after="283"/>
      <w:ind w:left="567" w:right="567" w:hanging="0"/>
    </w:pPr>
    <w:rPr/>
  </w:style>
  <w:style w:type="paragraph" w:styleId="Zhlavietabuky" w:customStyle="1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styleId="Obsahrmca" w:customStyle="1">
    <w:name w:val="Obsah rámca"/>
    <w:basedOn w:val="Standard"/>
    <w:qFormat/>
    <w:rsid w:val="00b73102"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12" w:customStyle="1">
    <w:name w:val="WW8Num12"/>
    <w:qFormat/>
    <w:rsid w:val="00b73102"/>
  </w:style>
  <w:style w:type="numbering" w:styleId="WW8Num2" w:customStyle="1">
    <w:name w:val="WW8Num2"/>
    <w:qFormat/>
    <w:rsid w:val="00b73102"/>
  </w:style>
  <w:style w:type="numbering" w:styleId="WW8Num3" w:customStyle="1">
    <w:name w:val="WW8Num3"/>
    <w:qFormat/>
    <w:rsid w:val="00b73102"/>
  </w:style>
  <w:style w:type="numbering" w:styleId="WW8Num10" w:customStyle="1">
    <w:name w:val="WW8Num10"/>
    <w:qFormat/>
    <w:rsid w:val="00b73102"/>
  </w:style>
  <w:style w:type="numbering" w:styleId="WW8Num11" w:customStyle="1">
    <w:name w:val="WW8Num11"/>
    <w:qFormat/>
    <w:rsid w:val="00b73102"/>
  </w:style>
  <w:style w:type="numbering" w:styleId="WW8Num7" w:customStyle="1">
    <w:name w:val="WW8Num7"/>
    <w:qFormat/>
    <w:rsid w:val="00b73102"/>
  </w:style>
  <w:style w:type="numbering" w:styleId="WW8Num13" w:customStyle="1">
    <w:name w:val="WW8Num13"/>
    <w:qFormat/>
    <w:rsid w:val="00b73102"/>
  </w:style>
  <w:style w:type="numbering" w:styleId="WW8Num9" w:customStyle="1">
    <w:name w:val="WW8Num9"/>
    <w:qFormat/>
    <w:rsid w:val="00b73102"/>
  </w:style>
  <w:style w:type="numbering" w:styleId="WW8Num8" w:customStyle="1">
    <w:name w:val="WW8Num8"/>
    <w:qFormat/>
    <w:rsid w:val="00b73102"/>
  </w:style>
  <w:style w:type="numbering" w:styleId="WW8Num5" w:customStyle="1">
    <w:name w:val="WW8Num5"/>
    <w:qFormat/>
    <w:rsid w:val="00b73102"/>
  </w:style>
  <w:style w:type="numbering" w:styleId="WW8Num6" w:customStyle="1">
    <w:name w:val="WW8Num6"/>
    <w:qFormat/>
    <w:rsid w:val="00b73102"/>
  </w:style>
  <w:style w:type="numbering" w:styleId="WW8Num4" w:customStyle="1">
    <w:name w:val="WW8Num4"/>
    <w:qFormat/>
    <w:rsid w:val="00b73102"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Application>LibreOffice/7.4.4.2$Windows_X86_64 LibreOffice_project/85569322deea74ec9134968a29af2df5663baa21</Application>
  <AppVersion>15.0000</AppVersion>
  <Pages>28</Pages>
  <Words>4707</Words>
  <Characters>25429</Characters>
  <CharactersWithSpaces>29135</CharactersWithSpaces>
  <Paragraphs>1248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2020-11-02T16:35:00Z</dcterms:created>
  <dc:creator>Matulova Silvia</dc:creator>
  <dc:description/>
  <dc:language>sk-SK</dc:language>
  <cp:lastModifiedBy/>
  <cp:lastPrinted>2016-03-02T06:45:00Z</cp:lastPrinted>
  <dcterms:modified xsi:type="dcterms:W3CDTF">2026-06-30T13:28:53Z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