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 - Všeobecné údaje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53"/>
        <w:gridCol w:w="7484"/>
        <w:tblGridChange w:id="0">
          <w:tblGrid>
            <w:gridCol w:w="2253"/>
            <w:gridCol w:w="7484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Názov:</w:t>
            </w:r>
          </w:p>
        </w:tc>
        <w:tc>
          <w:tcPr/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Bylinkáreň s.r.o.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Sídlo:</w:t>
            </w:r>
          </w:p>
        </w:tc>
        <w:tc>
          <w:tcPr/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Javornícka 6167/1, Banská Bystrica 97411, Slovensko</w:t>
            </w:r>
          </w:p>
        </w:tc>
      </w:tr>
    </w:tbl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Údaje o konsolidovanom celku</w:t>
      </w:r>
    </w:p>
    <w:tbl>
      <w:tblPr>
        <w:tblStyle w:val="Table2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74"/>
        <w:gridCol w:w="4863"/>
        <w:tblGridChange w:id="0">
          <w:tblGrid>
            <w:gridCol w:w="4874"/>
            <w:gridCol w:w="4863"/>
          </w:tblGrid>
        </w:tblGridChange>
      </w:tblGrid>
      <w:tr>
        <w:trPr>
          <w:cantSplit w:val="0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7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 sme súčasťou konsolidovaného celku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7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Je účtovná jednotka materskou účtovnou jednotkou:</w:t>
            </w:r>
          </w:p>
        </w:tc>
        <w:tc>
          <w:tcPr/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7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</w:tbl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916"/>
        <w:gridCol w:w="4821"/>
        <w:tblGridChange w:id="0">
          <w:tblGrid>
            <w:gridCol w:w="4916"/>
            <w:gridCol w:w="482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Priemerný prepočítaný počet zamestnancov:</w:t>
            </w:r>
          </w:p>
        </w:tc>
        <w:tc>
          <w:tcPr/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II – Informácie o prijatých postupoch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96"/>
        <w:gridCol w:w="4841"/>
        <w:tblGridChange w:id="0">
          <w:tblGrid>
            <w:gridCol w:w="4896"/>
            <w:gridCol w:w="484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Bude účtovná jednotka nepretržite pokračovať vo svojej činnosti:</w:t>
            </w:r>
          </w:p>
        </w:tc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áno</w:t>
            </w:r>
          </w:p>
        </w:tc>
      </w:tr>
    </w:tbl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Spôsob oceňovania majetku a záväzkov:</w:t>
      </w:r>
    </w:p>
    <w:tbl>
      <w:tblPr>
        <w:tblStyle w:val="Table5"/>
        <w:tblW w:w="9737.0" w:type="dxa"/>
        <w:jc w:val="left"/>
        <w:tblLayout w:type="fixed"/>
        <w:tblLook w:val="0400"/>
      </w:tblPr>
      <w:tblGrid>
        <w:gridCol w:w="4864"/>
        <w:gridCol w:w="4873"/>
        <w:tblGridChange w:id="0">
          <w:tblGrid>
            <w:gridCol w:w="4864"/>
            <w:gridCol w:w="487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 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obstarané kúpou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vytvorené vlastnou činnosťou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MUBright-Roman" w:cs="CMUBright-Roman" w:eastAsia="CMUBright-Roman" w:hAnsi="CMUBright-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Krátkodobé pohľadávky: </w:t>
            </w:r>
            <w:r w:rsidDel="00000000" w:rsidR="00000000" w:rsidRPr="00000000">
              <w:rPr>
                <w:rFonts w:ascii="CMUBright-Roman" w:cs="CMUBright-Roman" w:eastAsia="CMUBright-Roman" w:hAnsi="CMUBright-Roman"/>
                <w:rtl w:val="0"/>
              </w:rPr>
              <w:t xml:space="preserve">69,65</w:t>
            </w: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€ </w:t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MUBright-Roman" w:cs="CMUBright-Roman" w:eastAsia="CMUBright-Roman" w:hAnsi="CMUBright-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 z obchodného styku: </w:t>
            </w:r>
            <w:r w:rsidDel="00000000" w:rsidR="00000000" w:rsidRPr="00000000">
              <w:rPr>
                <w:rFonts w:ascii="CMUBright-Roman" w:cs="CMUBright-Roman" w:eastAsia="CMUBright-Roman" w:hAnsi="CMUBright-Roman"/>
                <w:rtl w:val="0"/>
              </w:rPr>
              <w:t xml:space="preserve">69,65</w:t>
            </w: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€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Záväzky vrátane rezerv, dlhopisov, pôžičiek  a úverov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</w:tbl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Odpisový plán sme zostavili s ohľadom na opotrebovanie dlhodobého majetku zodpovedajúce bežným podmienkam jeho použitia s dodržaním ostatných ustanovení § 20 postupov účtovania pre podnikateľov účtujúcich v sústave podvojného účtovníctva. Účtovné odpisy sa rovnajú daňovým odpisom</w:t>
        <w:tab/>
        <w:tab/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Náš odpisový plán je nasledovný:</w:t>
      </w:r>
    </w:p>
    <w:tbl>
      <w:tblPr>
        <w:tblStyle w:val="Table6"/>
        <w:tblW w:w="974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2693"/>
        <w:gridCol w:w="2127"/>
        <w:gridCol w:w="1842"/>
        <w:tblGridChange w:id="0">
          <w:tblGrid>
            <w:gridCol w:w="3085"/>
            <w:gridCol w:w="2693"/>
            <w:gridCol w:w="2127"/>
            <w:gridCol w:w="18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Druh majetku</w:t>
            </w:r>
          </w:p>
        </w:tc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Metóda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Doba odpisovania  v rokoch</w:t>
            </w:r>
          </w:p>
        </w:tc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Odpisová sadzba v %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038"/>
        <w:gridCol w:w="1699"/>
        <w:tblGridChange w:id="0">
          <w:tblGrid>
            <w:gridCol w:w="8038"/>
            <w:gridCol w:w="169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Boli zmenené účtovné zásady alebo účtovné metódy</w:t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Boli účtovnej jednotke poskytnuté dotácie (ak áno popíš ich)</w:t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Boli účtované opravy významných chýb minulých období v bežnom účtovnom období na účty nerozdelených ziskov alebo neuhradených strát minulých rokov?</w:t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Ak áno udaj informácie o týchto účtovaniach.</w:t>
            </w:r>
          </w:p>
        </w:tc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</w:tbl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III – Informácie, ktoré vysvetľujú a dopĺňajú súvahu a výkaz ziskov a strát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038"/>
        <w:gridCol w:w="1699"/>
        <w:tblGridChange w:id="0">
          <w:tblGrid>
            <w:gridCol w:w="8038"/>
            <w:gridCol w:w="169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Účtovala účtovná jednotka o nákladoch alebo výnosoch výnimočného rozsahu? </w:t>
            </w:r>
          </w:p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Napríklad výnosy z predaja podniku alebo časti podniku, náklady z dôvodu predaja podniku alebo časti podniku, škody z dôvodu živelných pohrôm. Ak áno uveď ich.</w:t>
            </w:r>
          </w:p>
        </w:tc>
        <w:tc>
          <w:tcPr/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3"/>
                <w:szCs w:val="2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3"/>
                <w:szCs w:val="23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Celková suma záväzkov so zostatkovou dobou splatnosti dlhšou ako päť rokov</w:t>
            </w:r>
          </w:p>
        </w:tc>
        <w:tc>
          <w:tcPr/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0 €</w:t>
            </w:r>
          </w:p>
        </w:tc>
      </w:tr>
    </w:tbl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Informácie o pôžičkách poskytnutých orgánom účtovnej jednotky:</w:t>
      </w:r>
    </w:p>
    <w:tbl>
      <w:tblPr>
        <w:tblStyle w:val="Table9"/>
        <w:tblW w:w="8046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1985"/>
        <w:gridCol w:w="1417"/>
        <w:gridCol w:w="1559"/>
        <w:tblGridChange w:id="0">
          <w:tblGrid>
            <w:gridCol w:w="3085"/>
            <w:gridCol w:w="1985"/>
            <w:gridCol w:w="1417"/>
            <w:gridCol w:w="155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Orgán</w:t>
            </w:r>
          </w:p>
        </w:tc>
        <w:tc>
          <w:tcPr/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pohľadávok z pôžičiek k poslednému dňu obdobia</w:t>
            </w:r>
          </w:p>
        </w:tc>
        <w:tc>
          <w:tcPr/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splatených pôžičiek</w:t>
            </w:r>
          </w:p>
        </w:tc>
        <w:tc>
          <w:tcPr/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odpustených pôžičiek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konateľ</w:t>
            </w:r>
          </w:p>
        </w:tc>
        <w:tc>
          <w:tcPr/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vytvorený ostatný kapitálový fond.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V poznámkach neboli uvedené údaje, pre ktoré nemáme obsahovú náplň. </w:t>
      </w:r>
    </w:p>
    <w:sectPr>
      <w:headerReference r:id="rId6" w:type="default"/>
      <w:footerReference r:id="rId7" w:type="default"/>
      <w:pgSz w:h="16839" w:w="11907" w:orient="portrait"/>
      <w:pgMar w:bottom="1440" w:top="1440" w:left="1080" w:right="1080" w:header="708" w:footer="708"/>
      <w:pgNumType w:start="6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CMUBright-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ab/>
    </w: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72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MÚJ 3 – 01</w:t>
      <w:tab/>
      <w:tab/>
      <w:t xml:space="preserve">IČO: </w:t>
    </w:r>
    <w:r w:rsidDel="00000000" w:rsidR="00000000" w:rsidRPr="00000000">
      <w:rPr>
        <w:rFonts w:ascii="Roboto" w:cs="Roboto" w:eastAsia="Roboto" w:hAnsi="Roboto"/>
        <w:color w:val="807a7a"/>
        <w:sz w:val="21"/>
        <w:szCs w:val="21"/>
        <w:highlight w:val="white"/>
        <w:rtl w:val="0"/>
      </w:rPr>
      <w:t xml:space="preserve">54767059</w:t>
    </w:r>
    <w:r w:rsidDel="00000000" w:rsidR="00000000" w:rsidRPr="00000000">
      <w:rPr>
        <w:rtl w:val="0"/>
      </w:rPr>
      <w:t xml:space="preserve"> </w:t>
    </w: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, DIČ: </w:t>
    </w:r>
    <w:r w:rsidDel="00000000" w:rsidR="00000000" w:rsidRPr="00000000">
      <w:rPr>
        <w:rFonts w:ascii="Roboto" w:cs="Roboto" w:eastAsia="Roboto" w:hAnsi="Roboto"/>
        <w:color w:val="807a7a"/>
        <w:sz w:val="21"/>
        <w:szCs w:val="21"/>
        <w:highlight w:val="white"/>
        <w:rtl w:val="0"/>
      </w:rPr>
      <w:t xml:space="preserve">2121778131</w:t>
    </w:r>
    <w:r w:rsidDel="00000000" w:rsidR="00000000" w:rsidRPr="00000000">
      <w:rPr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sk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