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DFD73">
      <w:pPr>
        <w:pStyle w:val="14"/>
      </w:pPr>
    </w:p>
    <w:p w14:paraId="41910BA7">
      <w:pPr>
        <w:pStyle w:val="14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                IČO: 46337466                          DIČ:2023335039 </w:t>
      </w:r>
    </w:p>
    <w:p w14:paraId="7478EE91">
      <w:pPr>
        <w:pStyle w:val="14"/>
        <w:rPr>
          <w:color w:val="auto"/>
        </w:rPr>
      </w:pPr>
    </w:p>
    <w:p w14:paraId="5E6515E7">
      <w:pPr>
        <w:pStyle w:val="14"/>
        <w:rPr>
          <w:color w:val="auto"/>
        </w:rPr>
      </w:pPr>
      <w:r>
        <w:rPr>
          <w:color w:val="auto"/>
        </w:rPr>
        <w:t xml:space="preserve"> </w:t>
      </w:r>
    </w:p>
    <w:p w14:paraId="6706280A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>
      <w:pPr>
        <w:pStyle w:val="14"/>
        <w:rPr>
          <w:color w:val="auto"/>
          <w:sz w:val="23"/>
          <w:szCs w:val="23"/>
        </w:rPr>
      </w:pPr>
    </w:p>
    <w:p w14:paraId="5CBF98E3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>
        <w:rPr>
          <w:b/>
          <w:color w:val="auto"/>
          <w:sz w:val="23"/>
          <w:szCs w:val="23"/>
        </w:rPr>
        <w:t>MaZ Group s.r.o.</w:t>
      </w:r>
    </w:p>
    <w:p w14:paraId="3D5930D4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114385/B,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dňa 30.09.2016</w:t>
      </w:r>
    </w:p>
    <w:p w14:paraId="21B3123B">
      <w:pPr>
        <w:pStyle w:val="14"/>
        <w:rPr>
          <w:color w:val="auto"/>
          <w:sz w:val="23"/>
          <w:szCs w:val="23"/>
        </w:rPr>
      </w:pPr>
    </w:p>
    <w:p w14:paraId="6DCF1369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Zuzana Guštafíková, vznik funkcie od 16.11.2016</w:t>
      </w:r>
    </w:p>
    <w:p w14:paraId="3C2882E7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Mário Németh vznik funkcie od 16.11.2016</w:t>
      </w:r>
    </w:p>
    <w:p w14:paraId="7932B726">
      <w:pPr>
        <w:pStyle w:val="14"/>
        <w:rPr>
          <w:color w:val="auto"/>
          <w:sz w:val="23"/>
          <w:szCs w:val="23"/>
        </w:rPr>
      </w:pPr>
    </w:p>
    <w:p w14:paraId="29A927D7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Spoločníci: Zuzana Guštafíková, od 16.11.2016  - 100% podiel</w:t>
      </w:r>
    </w:p>
    <w:p w14:paraId="596A2078">
      <w:pPr>
        <w:pStyle w:val="14"/>
        <w:rPr>
          <w:color w:val="auto"/>
          <w:sz w:val="23"/>
          <w:szCs w:val="23"/>
        </w:rPr>
      </w:pPr>
    </w:p>
    <w:p w14:paraId="576C92BB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>
      <w:pPr>
        <w:pStyle w:val="14"/>
        <w:rPr>
          <w:color w:val="auto"/>
          <w:sz w:val="23"/>
          <w:szCs w:val="23"/>
        </w:rPr>
      </w:pPr>
    </w:p>
    <w:p w14:paraId="430C6F47">
      <w:pPr>
        <w:pStyle w:val="14"/>
        <w:rPr>
          <w:color w:val="auto"/>
          <w:sz w:val="23"/>
          <w:szCs w:val="23"/>
        </w:rPr>
      </w:pPr>
    </w:p>
    <w:p w14:paraId="4F15BE0D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>
      <w:pPr>
        <w:pStyle w:val="14"/>
        <w:rPr>
          <w:color w:val="auto"/>
          <w:sz w:val="23"/>
          <w:szCs w:val="23"/>
        </w:rPr>
      </w:pPr>
    </w:p>
    <w:p w14:paraId="07A46130">
      <w:pPr>
        <w:pStyle w:val="5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Účtovná závierka </w:t>
      </w:r>
      <w:r>
        <w:rPr>
          <w:rFonts w:hint="default"/>
          <w:sz w:val="23"/>
          <w:szCs w:val="23"/>
          <w:lang w:val="sk-SK"/>
        </w:rPr>
        <w:t>s</w:t>
      </w:r>
      <w:bookmarkStart w:id="0" w:name="_GoBack"/>
      <w:bookmarkEnd w:id="0"/>
      <w:r>
        <w:rPr>
          <w:sz w:val="23"/>
          <w:szCs w:val="23"/>
        </w:rPr>
        <w:t>poločnosti k 31. decembru 202</w:t>
      </w:r>
      <w:r>
        <w:rPr>
          <w:rFonts w:hint="default"/>
          <w:sz w:val="23"/>
          <w:szCs w:val="23"/>
          <w:lang w:val="sk-SK"/>
        </w:rPr>
        <w:t xml:space="preserve">5 </w:t>
      </w:r>
      <w:r>
        <w:rPr>
          <w:sz w:val="23"/>
          <w:szCs w:val="23"/>
        </w:rPr>
        <w:t>je zostavená ako riadna účtovná závierka podľa § 17</w:t>
      </w:r>
    </w:p>
    <w:p w14:paraId="7E05A6ED">
      <w:pPr>
        <w:pStyle w:val="5"/>
        <w:ind w:hanging="426"/>
        <w:rPr>
          <w:rFonts w:hint="default"/>
          <w:sz w:val="23"/>
          <w:szCs w:val="23"/>
          <w:lang w:val="sk-SK"/>
        </w:rPr>
      </w:pPr>
      <w:r>
        <w:rPr>
          <w:sz w:val="23"/>
          <w:szCs w:val="23"/>
        </w:rPr>
        <w:t>ods. 6 zákona NR SR č. 431/2002 Z. z. o účtovníctve za účtovné obdobie od 1. januára 202</w:t>
      </w:r>
      <w:r>
        <w:rPr>
          <w:rFonts w:hint="default"/>
          <w:sz w:val="23"/>
          <w:szCs w:val="23"/>
          <w:lang w:val="sk-SK"/>
        </w:rPr>
        <w:t xml:space="preserve">5 </w:t>
      </w:r>
    </w:p>
    <w:p w14:paraId="21842D72">
      <w:pPr>
        <w:pStyle w:val="5"/>
        <w:ind w:hanging="426"/>
        <w:rPr>
          <w:sz w:val="23"/>
          <w:szCs w:val="23"/>
        </w:rPr>
      </w:pPr>
      <w:r>
        <w:rPr>
          <w:sz w:val="23"/>
          <w:szCs w:val="23"/>
        </w:rPr>
        <w:t>do 31. decembra 202</w:t>
      </w:r>
      <w:r>
        <w:rPr>
          <w:rFonts w:hint="default"/>
          <w:sz w:val="23"/>
          <w:szCs w:val="23"/>
          <w:lang w:val="sk-SK"/>
        </w:rPr>
        <w:t>5</w:t>
      </w:r>
      <w:r>
        <w:rPr>
          <w:sz w:val="23"/>
          <w:szCs w:val="23"/>
        </w:rPr>
        <w:t>.</w:t>
      </w:r>
    </w:p>
    <w:p w14:paraId="66D0422F">
      <w:pPr>
        <w:pStyle w:val="5"/>
        <w:ind w:left="0"/>
        <w:rPr>
          <w:sz w:val="23"/>
          <w:szCs w:val="23"/>
        </w:rPr>
      </w:pPr>
    </w:p>
    <w:p w14:paraId="5E87E1C2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>Spoločnosť neeviduje dlhodobý nehmotný majetok.</w:t>
      </w:r>
    </w:p>
    <w:p w14:paraId="1DECC3C5">
      <w:pPr>
        <w:pStyle w:val="5"/>
        <w:rPr>
          <w:sz w:val="23"/>
          <w:szCs w:val="23"/>
        </w:rPr>
      </w:pPr>
    </w:p>
    <w:p w14:paraId="1F1F0C73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>
      <w:pPr>
        <w:pStyle w:val="5"/>
        <w:ind w:left="0"/>
        <w:rPr>
          <w:sz w:val="23"/>
          <w:szCs w:val="23"/>
        </w:rPr>
      </w:pPr>
      <w:r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>
      <w:pPr>
        <w:pStyle w:val="5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C3357AE">
      <w:pPr>
        <w:pStyle w:val="5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Odpisova skupina           Počet rokov odpisovania         Metoda odpisovania</w:t>
      </w:r>
    </w:p>
    <w:tbl>
      <w:tblPr>
        <w:tblStyle w:val="3"/>
        <w:tblW w:w="0" w:type="auto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18"/>
        <w:gridCol w:w="1985"/>
        <w:gridCol w:w="141"/>
        <w:gridCol w:w="1701"/>
        <w:gridCol w:w="142"/>
        <w:gridCol w:w="1701"/>
      </w:tblGrid>
      <w:tr w14:paraId="3265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  <w:tcBorders>
              <w:top w:val="single" w:color="auto" w:sz="4" w:space="0"/>
            </w:tcBorders>
          </w:tcPr>
          <w:p w14:paraId="78B781E7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 w14:paraId="32FF7700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color="auto" w:sz="4" w:space="0"/>
            </w:tcBorders>
          </w:tcPr>
          <w:p w14:paraId="0D850D0D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4525B3A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color="auto" w:sz="4" w:space="0"/>
            </w:tcBorders>
          </w:tcPr>
          <w:p w14:paraId="2682A00E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C4306B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0E849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7474F5DA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Stroje, prístroje a zariadenia</w:t>
            </w:r>
          </w:p>
          <w:p w14:paraId="4608910C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Elektrické motory</w:t>
            </w:r>
          </w:p>
          <w:p w14:paraId="51B16614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3D8C35E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14:paraId="2DCBA6B2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  <w:p w14:paraId="3FA9BF4D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  <w:p w14:paraId="6E1CB606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  <w:p w14:paraId="32BF2FFC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  <w:p w14:paraId="6BA0AFC9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359A8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FE1D2A2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  <w:tr w14:paraId="55224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516F2CE">
            <w:pPr>
              <w:pStyle w:val="1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>
            <w:pPr>
              <w:pStyle w:val="16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>
            <w:pPr>
              <w:pStyle w:val="1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Lineárna</w:t>
            </w:r>
          </w:p>
        </w:tc>
      </w:tr>
    </w:tbl>
    <w:p w14:paraId="1F6D346B">
      <w:pPr>
        <w:pStyle w:val="14"/>
        <w:rPr>
          <w:color w:val="auto"/>
          <w:sz w:val="23"/>
          <w:szCs w:val="23"/>
        </w:rPr>
      </w:pPr>
    </w:p>
    <w:p w14:paraId="3B80A033">
      <w:pPr>
        <w:pStyle w:val="14"/>
        <w:spacing w:after="27"/>
        <w:rPr>
          <w:color w:val="auto"/>
          <w:sz w:val="23"/>
          <w:szCs w:val="23"/>
        </w:rPr>
      </w:pPr>
    </w:p>
    <w:p w14:paraId="508E8843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pohľadávok a záväzkov, a to </w:t>
      </w:r>
    </w:p>
    <w:p w14:paraId="070E53FA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pohľadávok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pohľadávky oceňujú menovitou hodnotou</w:t>
      </w:r>
    </w:p>
    <w:p w14:paraId="4BB844EF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záväzkov vrátane rezerv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>
      <w:pPr>
        <w:pStyle w:val="14"/>
        <w:spacing w:after="27"/>
        <w:rPr>
          <w:color w:val="auto"/>
          <w:sz w:val="23"/>
          <w:szCs w:val="23"/>
        </w:rPr>
      </w:pPr>
    </w:p>
    <w:p w14:paraId="7739579E">
      <w:pPr>
        <w:pStyle w:val="14"/>
        <w:spacing w:after="27"/>
        <w:rPr>
          <w:color w:val="auto"/>
          <w:sz w:val="23"/>
          <w:szCs w:val="23"/>
        </w:rPr>
      </w:pPr>
    </w:p>
    <w:p w14:paraId="6DE33D95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neúčtovala o významných opravách chýb minulých účtovných období v bežnom účtovnom období, nakoľko nenastala dôvodná skutočnosť pre ich účtovanie.</w:t>
      </w:r>
    </w:p>
    <w:p w14:paraId="3BCE0BA5">
      <w:pPr>
        <w:pStyle w:val="14"/>
        <w:rPr>
          <w:color w:val="auto"/>
          <w:sz w:val="23"/>
          <w:szCs w:val="23"/>
        </w:rPr>
      </w:pPr>
    </w:p>
    <w:p w14:paraId="41BE80A1">
      <w:pPr>
        <w:pStyle w:val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bol zaúčtovaný v prospech účtu </w:t>
      </w:r>
      <w:r>
        <w:rPr>
          <w:rFonts w:hint="default"/>
          <w:color w:val="auto"/>
          <w:sz w:val="23"/>
          <w:szCs w:val="23"/>
          <w:lang w:val="sk-SK"/>
        </w:rPr>
        <w:t xml:space="preserve">straty minulych </w:t>
      </w:r>
      <w:r>
        <w:rPr>
          <w:color w:val="auto"/>
          <w:sz w:val="23"/>
          <w:szCs w:val="23"/>
        </w:rPr>
        <w:t xml:space="preserve">minulých rokov. </w:t>
      </w:r>
    </w:p>
    <w:p w14:paraId="445971EF">
      <w:pPr>
        <w:pStyle w:val="14"/>
        <w:rPr>
          <w:color w:val="auto"/>
          <w:sz w:val="23"/>
          <w:szCs w:val="23"/>
        </w:rPr>
      </w:pPr>
    </w:p>
    <w:p w14:paraId="3674C8AC">
      <w:pPr>
        <w:pStyle w:val="14"/>
        <w:rPr>
          <w:color w:val="auto"/>
          <w:sz w:val="23"/>
          <w:szCs w:val="23"/>
        </w:rPr>
      </w:pPr>
    </w:p>
    <w:p w14:paraId="04BF568C">
      <w:pPr>
        <w:pStyle w:val="14"/>
        <w:rPr>
          <w:color w:val="auto"/>
          <w:sz w:val="23"/>
          <w:szCs w:val="23"/>
        </w:rPr>
      </w:pPr>
    </w:p>
    <w:p w14:paraId="2E10CDCF">
      <w:pPr>
        <w:pStyle w:val="14"/>
        <w:rPr>
          <w:color w:val="auto"/>
          <w:sz w:val="23"/>
          <w:szCs w:val="23"/>
        </w:rPr>
      </w:pPr>
    </w:p>
    <w:p w14:paraId="1C7255F6">
      <w:pPr>
        <w:pStyle w:val="14"/>
        <w:rPr>
          <w:color w:val="auto"/>
          <w:sz w:val="23"/>
          <w:szCs w:val="23"/>
        </w:rPr>
      </w:pPr>
    </w:p>
    <w:p w14:paraId="0219D160">
      <w:pPr>
        <w:pStyle w:val="14"/>
        <w:rPr>
          <w:color w:val="auto"/>
          <w:sz w:val="23"/>
          <w:szCs w:val="23"/>
        </w:rPr>
      </w:pPr>
    </w:p>
    <w:p w14:paraId="39434913">
      <w:pPr>
        <w:pStyle w:val="14"/>
        <w:rPr>
          <w:color w:val="auto"/>
          <w:sz w:val="23"/>
          <w:szCs w:val="23"/>
        </w:rPr>
      </w:pPr>
    </w:p>
    <w:p w14:paraId="32E37A72">
      <w:pPr>
        <w:pStyle w:val="14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DD42C0">
      <w:pPr>
        <w:pStyle w:val="14"/>
        <w:rPr>
          <w:color w:val="auto"/>
          <w:sz w:val="23"/>
          <w:szCs w:val="23"/>
        </w:rPr>
      </w:pPr>
    </w:p>
    <w:p w14:paraId="5256A9B3">
      <w:pPr>
        <w:pStyle w:val="14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>
      <w:pPr>
        <w:pStyle w:val="14"/>
        <w:rPr>
          <w:color w:val="auto"/>
          <w:sz w:val="23"/>
          <w:szCs w:val="23"/>
        </w:rPr>
      </w:pPr>
    </w:p>
    <w:p w14:paraId="20D7BC19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Účtovná jednotka v r.202</w:t>
      </w:r>
      <w:r>
        <w:rPr>
          <w:rFonts w:hint="default"/>
          <w:color w:val="auto"/>
          <w:sz w:val="23"/>
          <w:szCs w:val="23"/>
          <w:lang w:val="sk-SK"/>
        </w:rPr>
        <w:t>5</w:t>
      </w:r>
      <w:r>
        <w:rPr>
          <w:color w:val="auto"/>
          <w:sz w:val="23"/>
          <w:szCs w:val="23"/>
        </w:rPr>
        <w:t xml:space="preserve"> účtovala o </w:t>
      </w:r>
      <w:r>
        <w:rPr>
          <w:rFonts w:hint="default"/>
          <w:color w:val="auto"/>
          <w:sz w:val="23"/>
          <w:szCs w:val="23"/>
          <w:lang w:val="sk-SK"/>
        </w:rPr>
        <w:t xml:space="preserve">odpisoch </w:t>
      </w:r>
      <w:r>
        <w:rPr>
          <w:color w:val="auto"/>
          <w:sz w:val="23"/>
          <w:szCs w:val="23"/>
        </w:rPr>
        <w:t xml:space="preserve">hmotného majetku </w:t>
      </w:r>
      <w:r>
        <w:rPr>
          <w:rFonts w:hint="default"/>
          <w:color w:val="auto"/>
          <w:sz w:val="23"/>
          <w:szCs w:val="23"/>
          <w:lang w:val="sk-SK"/>
        </w:rPr>
        <w:t xml:space="preserve">- </w:t>
      </w:r>
      <w:r>
        <w:rPr>
          <w:color w:val="auto"/>
          <w:sz w:val="23"/>
          <w:szCs w:val="23"/>
        </w:rPr>
        <w:t>osobné automobil</w:t>
      </w:r>
      <w:r>
        <w:rPr>
          <w:rFonts w:hint="default"/>
          <w:color w:val="auto"/>
          <w:sz w:val="23"/>
          <w:szCs w:val="23"/>
          <w:lang w:val="sk-SK"/>
        </w:rPr>
        <w:t>y</w:t>
      </w:r>
      <w:r>
        <w:rPr>
          <w:color w:val="auto"/>
          <w:sz w:val="23"/>
          <w:szCs w:val="23"/>
        </w:rPr>
        <w:t>. Osobn</w:t>
      </w:r>
      <w:r>
        <w:rPr>
          <w:rFonts w:hint="default"/>
          <w:color w:val="auto"/>
          <w:sz w:val="23"/>
          <w:szCs w:val="23"/>
          <w:lang w:val="sk-SK"/>
        </w:rPr>
        <w:t>é</w:t>
      </w:r>
      <w:r>
        <w:rPr>
          <w:color w:val="auto"/>
          <w:sz w:val="23"/>
          <w:szCs w:val="23"/>
        </w:rPr>
        <w:t xml:space="preserve"> automobil</w:t>
      </w:r>
      <w:r>
        <w:rPr>
          <w:rFonts w:hint="default"/>
          <w:color w:val="auto"/>
          <w:sz w:val="23"/>
          <w:szCs w:val="23"/>
          <w:lang w:val="sk-SK"/>
        </w:rPr>
        <w:t>y sú zaradené do skupiny Dopravné prostriedky s dobou odpisovania 4 roky.</w:t>
      </w:r>
    </w:p>
    <w:p w14:paraId="4B444B83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</w:p>
    <w:p w14:paraId="53CE4A34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Odpisy hmotného majetku k 31.12.202</w:t>
      </w:r>
      <w:r>
        <w:rPr>
          <w:rFonts w:hint="default"/>
          <w:color w:val="auto"/>
          <w:sz w:val="23"/>
          <w:szCs w:val="23"/>
          <w:lang w:val="sk-SK"/>
        </w:rPr>
        <w:t>5</w:t>
      </w:r>
      <w:r>
        <w:rPr>
          <w:color w:val="auto"/>
          <w:sz w:val="23"/>
          <w:szCs w:val="23"/>
        </w:rPr>
        <w:t xml:space="preserve"> boli celkom v sume </w:t>
      </w:r>
      <w:r>
        <w:rPr>
          <w:rFonts w:hint="default"/>
          <w:color w:val="auto"/>
          <w:sz w:val="23"/>
          <w:szCs w:val="23"/>
          <w:lang w:val="sk-SK"/>
        </w:rPr>
        <w:t>6885,31 eur. Počas roka 2025 prišlo k predaju osobného automobilu Škoda Kodiaq, ktorý bol riadne doodpisovaný ešte pred predajom.</w:t>
      </w:r>
    </w:p>
    <w:p w14:paraId="3A6FAA0E">
      <w:pPr>
        <w:pStyle w:val="14"/>
        <w:rPr>
          <w:color w:val="auto"/>
          <w:sz w:val="23"/>
          <w:szCs w:val="23"/>
        </w:rPr>
      </w:pPr>
    </w:p>
    <w:p w14:paraId="13038DEE">
      <w:pPr>
        <w:pStyle w:val="14"/>
        <w:rPr>
          <w:color w:val="auto"/>
          <w:sz w:val="23"/>
          <w:szCs w:val="23"/>
          <w:u w:val="single"/>
        </w:rPr>
      </w:pPr>
    </w:p>
    <w:p w14:paraId="0A688F26">
      <w:pPr>
        <w:pStyle w:val="14"/>
        <w:rPr>
          <w:color w:val="auto"/>
          <w:sz w:val="23"/>
          <w:szCs w:val="23"/>
          <w:u w:val="single"/>
        </w:rPr>
      </w:pPr>
    </w:p>
    <w:p w14:paraId="6848544F">
      <w:pPr>
        <w:pStyle w:val="14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peňažných prostriedkoch:</w:t>
      </w:r>
    </w:p>
    <w:p w14:paraId="39D73AAF">
      <w:pPr>
        <w:pStyle w:val="14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pokladne – </w:t>
      </w:r>
      <w:r>
        <w:rPr>
          <w:rFonts w:hint="default"/>
          <w:color w:val="auto"/>
          <w:sz w:val="23"/>
          <w:szCs w:val="23"/>
          <w:lang w:val="sk-SK"/>
        </w:rPr>
        <w:t>578,20</w:t>
      </w:r>
      <w:r>
        <w:rPr>
          <w:color w:val="auto"/>
          <w:sz w:val="23"/>
          <w:szCs w:val="23"/>
        </w:rPr>
        <w:t xml:space="preserve"> eur</w:t>
      </w:r>
    </w:p>
    <w:p w14:paraId="10F31934">
      <w:pPr>
        <w:pStyle w:val="14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bankový účet Tatra banka – </w:t>
      </w:r>
      <w:r>
        <w:rPr>
          <w:rFonts w:hint="default"/>
          <w:color w:val="auto"/>
          <w:sz w:val="23"/>
          <w:szCs w:val="23"/>
          <w:lang w:val="sk-SK"/>
        </w:rPr>
        <w:t>1209,76</w:t>
      </w:r>
      <w:r>
        <w:rPr>
          <w:color w:val="auto"/>
          <w:sz w:val="23"/>
          <w:szCs w:val="23"/>
        </w:rPr>
        <w:t xml:space="preserve"> eur</w:t>
      </w:r>
    </w:p>
    <w:p w14:paraId="591A9A42">
      <w:pPr>
        <w:pStyle w:val="14"/>
        <w:rPr>
          <w:color w:val="auto"/>
          <w:sz w:val="23"/>
          <w:szCs w:val="23"/>
        </w:rPr>
      </w:pPr>
    </w:p>
    <w:p w14:paraId="6C9CC2EB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kratšou ako 1 rok – </w:t>
      </w:r>
      <w:r>
        <w:rPr>
          <w:rFonts w:hint="default"/>
          <w:color w:val="auto"/>
          <w:sz w:val="23"/>
          <w:szCs w:val="23"/>
          <w:lang w:val="sk-SK"/>
        </w:rPr>
        <w:t>5141,78</w:t>
      </w:r>
      <w:r>
        <w:rPr>
          <w:color w:val="auto"/>
          <w:sz w:val="23"/>
          <w:szCs w:val="23"/>
        </w:rPr>
        <w:t xml:space="preserve"> eur</w:t>
      </w:r>
    </w:p>
    <w:p w14:paraId="5CE1B642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ostatných záväzkov voči spoločníkovi – </w:t>
      </w:r>
      <w:r>
        <w:rPr>
          <w:rFonts w:hint="default"/>
          <w:color w:val="auto"/>
          <w:sz w:val="23"/>
          <w:szCs w:val="23"/>
          <w:lang w:val="sk-SK"/>
        </w:rPr>
        <w:t>55337,05</w:t>
      </w:r>
      <w:r>
        <w:rPr>
          <w:color w:val="auto"/>
          <w:sz w:val="23"/>
          <w:szCs w:val="23"/>
        </w:rPr>
        <w:t xml:space="preserve"> eur</w:t>
      </w:r>
    </w:p>
    <w:p w14:paraId="05710226">
      <w:pPr>
        <w:pStyle w:val="14"/>
        <w:numPr>
          <w:ilvl w:val="0"/>
          <w:numId w:val="2"/>
        </w:numPr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z obchodného styku so zostatkovou dobou splatnosti viac ako</w:t>
      </w:r>
      <w:r>
        <w:rPr>
          <w:rFonts w:hint="default"/>
          <w:color w:val="auto"/>
          <w:sz w:val="23"/>
          <w:szCs w:val="23"/>
          <w:lang w:val="sk-SK"/>
        </w:rPr>
        <w:t xml:space="preserve">                         </w:t>
      </w:r>
      <w:r>
        <w:rPr>
          <w:color w:val="auto"/>
          <w:sz w:val="23"/>
          <w:szCs w:val="23"/>
        </w:rPr>
        <w:t xml:space="preserve"> 1 rok –</w:t>
      </w:r>
      <w:r>
        <w:rPr>
          <w:rFonts w:hint="default"/>
          <w:color w:val="auto"/>
          <w:sz w:val="23"/>
          <w:szCs w:val="23"/>
          <w:lang w:val="sk-SK"/>
        </w:rPr>
        <w:t xml:space="preserve">0,00 </w:t>
      </w:r>
      <w:r>
        <w:rPr>
          <w:color w:val="auto"/>
          <w:sz w:val="23"/>
          <w:szCs w:val="23"/>
        </w:rPr>
        <w:t>eur</w:t>
      </w:r>
    </w:p>
    <w:p w14:paraId="0721243E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účtuje o bankovom úvere v Tatra banke – záväzok k 31.12.202 predstavuje</w:t>
      </w:r>
      <w:r>
        <w:rPr>
          <w:rFonts w:hint="default"/>
          <w:color w:val="auto"/>
          <w:sz w:val="23"/>
          <w:szCs w:val="23"/>
          <w:lang w:val="sk-SK"/>
        </w:rPr>
        <w:t xml:space="preserve">    </w:t>
      </w:r>
      <w:r>
        <w:rPr>
          <w:color w:val="auto"/>
          <w:sz w:val="23"/>
          <w:szCs w:val="23"/>
        </w:rPr>
        <w:t xml:space="preserve"> </w:t>
      </w:r>
      <w:r>
        <w:rPr>
          <w:rFonts w:hint="default"/>
          <w:color w:val="auto"/>
          <w:sz w:val="23"/>
          <w:szCs w:val="23"/>
          <w:lang w:val="sk-SK"/>
        </w:rPr>
        <w:t>6802,00 eur</w:t>
      </w:r>
      <w:r>
        <w:rPr>
          <w:color w:val="auto"/>
          <w:sz w:val="23"/>
          <w:szCs w:val="23"/>
        </w:rPr>
        <w:t xml:space="preserve"> </w:t>
      </w:r>
    </w:p>
    <w:p w14:paraId="56C23526">
      <w:pPr>
        <w:pStyle w:val="14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daňových </w:t>
      </w:r>
      <w:r>
        <w:rPr>
          <w:rFonts w:hint="default"/>
          <w:color w:val="auto"/>
          <w:sz w:val="23"/>
          <w:szCs w:val="23"/>
          <w:lang w:val="sk-SK"/>
        </w:rPr>
        <w:t>záväzkov</w:t>
      </w:r>
      <w:r>
        <w:rPr>
          <w:color w:val="auto"/>
          <w:sz w:val="23"/>
          <w:szCs w:val="23"/>
        </w:rPr>
        <w:t xml:space="preserve"> je </w:t>
      </w:r>
      <w:r>
        <w:rPr>
          <w:rFonts w:hint="default"/>
          <w:color w:val="auto"/>
          <w:sz w:val="23"/>
          <w:szCs w:val="23"/>
          <w:lang w:val="sk-SK"/>
        </w:rPr>
        <w:t>1480,53e</w:t>
      </w:r>
      <w:r>
        <w:rPr>
          <w:color w:val="auto"/>
          <w:sz w:val="23"/>
          <w:szCs w:val="23"/>
        </w:rPr>
        <w:t>u</w:t>
      </w:r>
      <w:r>
        <w:rPr>
          <w:rFonts w:hint="default"/>
          <w:color w:val="auto"/>
          <w:sz w:val="23"/>
          <w:szCs w:val="23"/>
          <w:lang w:val="sk-SK"/>
        </w:rPr>
        <w:t>r</w:t>
      </w:r>
    </w:p>
    <w:p w14:paraId="19DB426A">
      <w:pPr>
        <w:pStyle w:val="14"/>
        <w:spacing w:after="27"/>
        <w:rPr>
          <w:color w:val="auto"/>
          <w:sz w:val="23"/>
          <w:szCs w:val="23"/>
        </w:rPr>
      </w:pPr>
    </w:p>
    <w:p w14:paraId="0B8F9ADA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Informácie o základnom ímaní</w:t>
      </w:r>
      <w:r>
        <w:rPr>
          <w:color w:val="auto"/>
          <w:sz w:val="23"/>
          <w:szCs w:val="23"/>
        </w:rPr>
        <w:t>: Vklad: 5000 eur</w:t>
      </w:r>
    </w:p>
    <w:p w14:paraId="1F345578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Splatené: 5000 eur </w:t>
      </w:r>
    </w:p>
    <w:p w14:paraId="35BF9FE1">
      <w:pPr>
        <w:pStyle w:val="14"/>
        <w:spacing w:after="27"/>
        <w:rPr>
          <w:color w:val="auto"/>
          <w:sz w:val="23"/>
          <w:szCs w:val="23"/>
        </w:rPr>
      </w:pPr>
    </w:p>
    <w:p w14:paraId="136558ED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2016 – 43,91eur</w:t>
      </w:r>
    </w:p>
    <w:p w14:paraId="0CCF0790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2017 – 1433,96 eur</w:t>
      </w:r>
    </w:p>
    <w:p w14:paraId="04379779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Nerozdelená strata minulých rokov 2018 – 5826,20 eur</w:t>
      </w:r>
    </w:p>
    <w:p w14:paraId="0DFDA2D6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Nerozdelená strata minulých rokov 2019 – 16754,78 eur</w:t>
      </w:r>
    </w:p>
    <w:p w14:paraId="1C5BD7A5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2020 – 26620,90 eur</w:t>
      </w:r>
    </w:p>
    <w:p w14:paraId="5F2B3930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2021 – 1373,49 eur</w:t>
      </w:r>
    </w:p>
    <w:p w14:paraId="657F1136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</w:t>
      </w:r>
      <w:r>
        <w:rPr>
          <w:rFonts w:hint="default"/>
          <w:color w:val="auto"/>
          <w:sz w:val="23"/>
          <w:szCs w:val="23"/>
          <w:lang w:val="sk-SK"/>
        </w:rPr>
        <w:t>2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 xml:space="preserve">9287,49 </w:t>
      </w:r>
      <w:r>
        <w:rPr>
          <w:color w:val="auto"/>
          <w:sz w:val="23"/>
          <w:szCs w:val="23"/>
        </w:rPr>
        <w:t>eur</w:t>
      </w:r>
    </w:p>
    <w:p w14:paraId="75F572B7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8086,17</w:t>
      </w:r>
      <w:r>
        <w:rPr>
          <w:color w:val="auto"/>
          <w:sz w:val="23"/>
          <w:szCs w:val="23"/>
        </w:rPr>
        <w:t xml:space="preserve"> eur</w:t>
      </w:r>
    </w:p>
    <w:p w14:paraId="714FB85B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7681,49</w:t>
      </w:r>
      <w:r>
        <w:rPr>
          <w:color w:val="auto"/>
          <w:sz w:val="23"/>
          <w:szCs w:val="23"/>
        </w:rPr>
        <w:t xml:space="preserve"> eur</w:t>
      </w:r>
    </w:p>
    <w:p w14:paraId="7F5FDECC">
      <w:pPr>
        <w:pStyle w:val="14"/>
        <w:spacing w:after="27"/>
        <w:ind w:firstLine="708"/>
        <w:rPr>
          <w:color w:val="auto"/>
          <w:sz w:val="23"/>
          <w:szCs w:val="23"/>
        </w:rPr>
      </w:pPr>
    </w:p>
    <w:p w14:paraId="0610E0E3">
      <w:pPr>
        <w:pStyle w:val="14"/>
        <w:spacing w:after="27"/>
        <w:ind w:firstLine="708"/>
        <w:rPr>
          <w:color w:val="auto"/>
          <w:sz w:val="23"/>
          <w:szCs w:val="23"/>
        </w:rPr>
      </w:pPr>
    </w:p>
    <w:p w14:paraId="32113BF0">
      <w:pPr>
        <w:pStyle w:val="14"/>
        <w:spacing w:after="27"/>
        <w:rPr>
          <w:color w:val="auto"/>
          <w:sz w:val="23"/>
          <w:szCs w:val="23"/>
        </w:rPr>
      </w:pPr>
    </w:p>
    <w:p w14:paraId="5A3536BC">
      <w:pPr>
        <w:pStyle w:val="14"/>
        <w:spacing w:after="27"/>
        <w:rPr>
          <w:color w:val="auto"/>
          <w:sz w:val="23"/>
          <w:szCs w:val="23"/>
        </w:rPr>
      </w:pPr>
    </w:p>
    <w:p w14:paraId="4681AE40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pohľadávkach, a to </w:t>
      </w:r>
    </w:p>
    <w:p w14:paraId="7806B2ED">
      <w:pPr>
        <w:pStyle w:val="14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pohľadávok z obchodného styku so zostatkovou dobou splatnosti kratšou ako 1 rok – </w:t>
      </w:r>
      <w:r>
        <w:rPr>
          <w:rFonts w:hint="default"/>
          <w:color w:val="auto"/>
          <w:sz w:val="23"/>
          <w:szCs w:val="23"/>
          <w:lang w:val="sk-SK"/>
        </w:rPr>
        <w:t>1752,50</w:t>
      </w:r>
      <w:r>
        <w:rPr>
          <w:color w:val="auto"/>
          <w:sz w:val="23"/>
          <w:szCs w:val="23"/>
        </w:rPr>
        <w:t xml:space="preserve"> eur</w:t>
      </w:r>
    </w:p>
    <w:p w14:paraId="340B1A98">
      <w:pPr>
        <w:pStyle w:val="14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>
        <w:rPr>
          <w:rFonts w:hint="default"/>
          <w:color w:val="auto"/>
          <w:sz w:val="23"/>
          <w:szCs w:val="23"/>
          <w:lang w:val="sk-SK"/>
        </w:rPr>
        <w:t>154,04</w:t>
      </w:r>
      <w:r>
        <w:rPr>
          <w:color w:val="auto"/>
          <w:sz w:val="23"/>
          <w:szCs w:val="23"/>
        </w:rPr>
        <w:t xml:space="preserve"> eur</w:t>
      </w:r>
    </w:p>
    <w:p w14:paraId="290813A9">
      <w:pPr>
        <w:pStyle w:val="14"/>
        <w:spacing w:after="27"/>
        <w:rPr>
          <w:color w:val="auto"/>
          <w:sz w:val="23"/>
          <w:szCs w:val="23"/>
        </w:rPr>
      </w:pPr>
    </w:p>
    <w:p w14:paraId="5878F175">
      <w:pPr>
        <w:pStyle w:val="14"/>
        <w:spacing w:after="27"/>
        <w:rPr>
          <w:color w:val="auto"/>
          <w:sz w:val="23"/>
          <w:szCs w:val="23"/>
        </w:rPr>
      </w:pPr>
    </w:p>
    <w:p w14:paraId="401DD724">
      <w:pPr>
        <w:pStyle w:val="14"/>
        <w:spacing w:after="27"/>
        <w:rPr>
          <w:color w:val="auto"/>
          <w:sz w:val="23"/>
          <w:szCs w:val="23"/>
        </w:rPr>
      </w:pPr>
    </w:p>
    <w:p w14:paraId="174C21AA">
      <w:pPr>
        <w:pStyle w:val="14"/>
        <w:spacing w:after="27"/>
        <w:rPr>
          <w:color w:val="auto"/>
          <w:sz w:val="23"/>
          <w:szCs w:val="23"/>
        </w:rPr>
      </w:pPr>
    </w:p>
    <w:p w14:paraId="02B8985D">
      <w:pPr>
        <w:pStyle w:val="14"/>
        <w:spacing w:after="27"/>
        <w:rPr>
          <w:color w:val="auto"/>
          <w:sz w:val="23"/>
          <w:szCs w:val="23"/>
        </w:rPr>
      </w:pPr>
    </w:p>
    <w:p w14:paraId="3464E9FD">
      <w:pPr>
        <w:pStyle w:val="14"/>
        <w:spacing w:after="27"/>
        <w:rPr>
          <w:color w:val="auto"/>
          <w:sz w:val="23"/>
          <w:szCs w:val="23"/>
        </w:rPr>
      </w:pPr>
    </w:p>
    <w:p w14:paraId="5BA66885">
      <w:pPr>
        <w:pStyle w:val="14"/>
        <w:spacing w:after="27"/>
        <w:rPr>
          <w:color w:val="auto"/>
          <w:sz w:val="23"/>
          <w:szCs w:val="23"/>
        </w:rPr>
      </w:pPr>
    </w:p>
    <w:p w14:paraId="1F2D2EA0">
      <w:pPr>
        <w:pStyle w:val="14"/>
        <w:spacing w:after="27"/>
        <w:rPr>
          <w:color w:val="auto"/>
          <w:sz w:val="23"/>
          <w:szCs w:val="23"/>
        </w:rPr>
      </w:pPr>
    </w:p>
    <w:p w14:paraId="5E6681AB">
      <w:pPr>
        <w:pStyle w:val="14"/>
        <w:spacing w:after="27"/>
        <w:rPr>
          <w:color w:val="auto"/>
          <w:sz w:val="23"/>
          <w:szCs w:val="23"/>
        </w:rPr>
      </w:pPr>
    </w:p>
    <w:p w14:paraId="18F526B5">
      <w:pPr>
        <w:pStyle w:val="14"/>
        <w:spacing w:after="27"/>
        <w:rPr>
          <w:color w:val="auto"/>
          <w:sz w:val="23"/>
          <w:szCs w:val="23"/>
        </w:rPr>
      </w:pPr>
    </w:p>
    <w:p w14:paraId="75F8D483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 o nákladoch:</w:t>
      </w:r>
    </w:p>
    <w:p w14:paraId="4E38B538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PHM – </w:t>
      </w:r>
      <w:r>
        <w:rPr>
          <w:rFonts w:hint="default"/>
          <w:color w:val="auto"/>
          <w:sz w:val="23"/>
          <w:szCs w:val="23"/>
          <w:lang w:val="sk-SK"/>
        </w:rPr>
        <w:t>15405,93</w:t>
      </w:r>
      <w:r>
        <w:rPr>
          <w:color w:val="auto"/>
          <w:sz w:val="23"/>
          <w:szCs w:val="23"/>
        </w:rPr>
        <w:t xml:space="preserve"> eur</w:t>
      </w:r>
    </w:p>
    <w:p w14:paraId="181FC137">
      <w:pPr>
        <w:pStyle w:val="14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</w:t>
      </w:r>
      <w:r>
        <w:rPr>
          <w:rFonts w:hint="default"/>
          <w:color w:val="auto"/>
          <w:sz w:val="23"/>
          <w:szCs w:val="23"/>
          <w:lang w:val="sk-SK"/>
        </w:rPr>
        <w:t>kancelárske potreby</w:t>
      </w:r>
      <w:r>
        <w:rPr>
          <w:color w:val="auto"/>
          <w:sz w:val="23"/>
          <w:szCs w:val="23"/>
        </w:rPr>
        <w:t xml:space="preserve"> –  </w:t>
      </w:r>
      <w:r>
        <w:rPr>
          <w:rFonts w:hint="default"/>
          <w:color w:val="auto"/>
          <w:sz w:val="23"/>
          <w:szCs w:val="23"/>
          <w:lang w:val="sk-SK"/>
        </w:rPr>
        <w:t>1138,48</w:t>
      </w:r>
      <w:r>
        <w:rPr>
          <w:color w:val="auto"/>
          <w:sz w:val="23"/>
          <w:szCs w:val="23"/>
        </w:rPr>
        <w:t xml:space="preserve"> eur</w:t>
      </w:r>
    </w:p>
    <w:p w14:paraId="38B8AAE5">
      <w:pPr>
        <w:pStyle w:val="14"/>
        <w:spacing w:after="27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>Náklady na predaný tovar - 560,04 eur</w:t>
      </w:r>
      <w:r>
        <w:rPr>
          <w:rFonts w:hint="default"/>
          <w:color w:val="auto"/>
          <w:sz w:val="23"/>
          <w:szCs w:val="23"/>
          <w:lang w:val="sk-SK"/>
        </w:rPr>
        <w:tab/>
      </w:r>
      <w:r>
        <w:rPr>
          <w:rFonts w:hint="default"/>
          <w:color w:val="auto"/>
          <w:sz w:val="23"/>
          <w:szCs w:val="23"/>
          <w:lang w:val="sk-SK"/>
        </w:rPr>
        <w:tab/>
      </w:r>
    </w:p>
    <w:p w14:paraId="3ED54227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opravu aút – </w:t>
      </w:r>
      <w:r>
        <w:rPr>
          <w:rFonts w:hint="default"/>
          <w:color w:val="auto"/>
          <w:sz w:val="23"/>
          <w:szCs w:val="23"/>
          <w:lang w:val="sk-SK"/>
        </w:rPr>
        <w:t>7354,54 e</w:t>
      </w:r>
      <w:r>
        <w:rPr>
          <w:color w:val="auto"/>
          <w:sz w:val="23"/>
          <w:szCs w:val="23"/>
        </w:rPr>
        <w:t>ur</w:t>
      </w:r>
    </w:p>
    <w:p w14:paraId="507A157D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Ostatné služby - 2791,86 eur</w:t>
      </w:r>
    </w:p>
    <w:p w14:paraId="3609802F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reprezentáciu - 1260,00 eur</w:t>
      </w:r>
    </w:p>
    <w:p w14:paraId="34679E7E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mobil – </w:t>
      </w:r>
      <w:r>
        <w:rPr>
          <w:rFonts w:hint="default"/>
          <w:color w:val="auto"/>
          <w:sz w:val="23"/>
          <w:szCs w:val="23"/>
          <w:lang w:val="sk-SK"/>
        </w:rPr>
        <w:t>1550,43</w:t>
      </w:r>
      <w:r>
        <w:rPr>
          <w:color w:val="auto"/>
          <w:sz w:val="23"/>
          <w:szCs w:val="23"/>
        </w:rPr>
        <w:t xml:space="preserve"> eur</w:t>
      </w:r>
    </w:p>
    <w:p w14:paraId="56203F67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parkovné - 2156,36 eur</w:t>
      </w:r>
    </w:p>
    <w:p w14:paraId="199B1299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servis vozidla - 2064,92 eur</w:t>
      </w:r>
    </w:p>
    <w:p w14:paraId="3D8F63F6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Náklady na cestovné 4371,72 eur</w:t>
      </w:r>
    </w:p>
    <w:p w14:paraId="34AFAFEE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Úroky  z </w:t>
      </w:r>
      <w:r>
        <w:rPr>
          <w:rFonts w:hint="default"/>
          <w:color w:val="auto"/>
          <w:sz w:val="23"/>
          <w:szCs w:val="23"/>
          <w:lang w:val="sk-SK"/>
        </w:rPr>
        <w:t>bankového úver - 867,40</w:t>
      </w:r>
      <w:r>
        <w:rPr>
          <w:color w:val="auto"/>
          <w:sz w:val="23"/>
          <w:szCs w:val="23"/>
        </w:rPr>
        <w:t xml:space="preserve"> eur</w:t>
      </w:r>
    </w:p>
    <w:p w14:paraId="28B55410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Bankové poplatky – </w:t>
      </w:r>
      <w:r>
        <w:rPr>
          <w:rFonts w:hint="default"/>
          <w:color w:val="auto"/>
          <w:sz w:val="23"/>
          <w:szCs w:val="23"/>
          <w:lang w:val="sk-SK"/>
        </w:rPr>
        <w:t>541,00</w:t>
      </w:r>
      <w:r>
        <w:rPr>
          <w:color w:val="auto"/>
          <w:sz w:val="23"/>
          <w:szCs w:val="23"/>
        </w:rPr>
        <w:t xml:space="preserve"> eur</w:t>
      </w:r>
    </w:p>
    <w:p w14:paraId="420E5700">
      <w:pPr>
        <w:pStyle w:val="14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Poistenie majetku – </w:t>
      </w:r>
      <w:r>
        <w:rPr>
          <w:rFonts w:hint="default"/>
          <w:color w:val="auto"/>
          <w:sz w:val="23"/>
          <w:szCs w:val="23"/>
          <w:lang w:val="sk-SK"/>
        </w:rPr>
        <w:t>632,65</w:t>
      </w:r>
      <w:r>
        <w:rPr>
          <w:color w:val="auto"/>
          <w:sz w:val="23"/>
          <w:szCs w:val="23"/>
        </w:rPr>
        <w:t xml:space="preserve"> eur</w:t>
      </w:r>
    </w:p>
    <w:p w14:paraId="1F833DCA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DPH z nakladov k sluzbam bez DPH - 4265,12 eur</w:t>
      </w:r>
    </w:p>
    <w:p w14:paraId="3577CEE8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Nedaňová spotreba PHM - 3851,48 eur</w:t>
      </w:r>
    </w:p>
    <w:p w14:paraId="13A6BF25">
      <w:pPr>
        <w:pStyle w:val="14"/>
        <w:spacing w:after="27"/>
        <w:ind w:left="2832"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Ostatné dane a poplatky - 865,72 eur</w:t>
      </w:r>
    </w:p>
    <w:p w14:paraId="4D806364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268151C9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7BA2351A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50D1DF54">
      <w:pPr>
        <w:pStyle w:val="14"/>
        <w:spacing w:after="27"/>
        <w:ind w:left="2832" w:firstLine="708"/>
        <w:rPr>
          <w:color w:val="auto"/>
          <w:sz w:val="23"/>
          <w:szCs w:val="23"/>
        </w:rPr>
      </w:pPr>
    </w:p>
    <w:p w14:paraId="259A5C6A">
      <w:pPr>
        <w:pStyle w:val="14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výnosoch:</w:t>
      </w:r>
    </w:p>
    <w:p w14:paraId="2DD827E6">
      <w:pPr>
        <w:pStyle w:val="14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 tovaru – </w:t>
      </w:r>
      <w:r>
        <w:rPr>
          <w:rFonts w:hint="default"/>
          <w:color w:val="auto"/>
          <w:sz w:val="23"/>
          <w:szCs w:val="23"/>
          <w:lang w:val="sk-SK"/>
        </w:rPr>
        <w:t>9574,47</w:t>
      </w:r>
      <w:r>
        <w:rPr>
          <w:color w:val="auto"/>
          <w:sz w:val="23"/>
          <w:szCs w:val="23"/>
        </w:rPr>
        <w:t xml:space="preserve"> eur</w:t>
      </w:r>
    </w:p>
    <w:p w14:paraId="587F70C7">
      <w:pPr>
        <w:pStyle w:val="14"/>
        <w:spacing w:after="27"/>
        <w:ind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T</w:t>
      </w:r>
      <w:r>
        <w:rPr>
          <w:color w:val="auto"/>
          <w:sz w:val="23"/>
          <w:szCs w:val="23"/>
        </w:rPr>
        <w:t xml:space="preserve">ržby z predaja služieb – </w:t>
      </w:r>
      <w:r>
        <w:rPr>
          <w:rFonts w:hint="default"/>
          <w:color w:val="auto"/>
          <w:sz w:val="23"/>
          <w:szCs w:val="23"/>
          <w:lang w:val="sk-SK"/>
        </w:rPr>
        <w:t>49097,03 eur</w:t>
      </w:r>
    </w:p>
    <w:p w14:paraId="7692E082">
      <w:pPr>
        <w:pStyle w:val="14"/>
        <w:spacing w:after="27"/>
        <w:ind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T</w:t>
      </w:r>
      <w:r>
        <w:rPr>
          <w:color w:val="auto"/>
          <w:sz w:val="23"/>
          <w:szCs w:val="23"/>
        </w:rPr>
        <w:t>ržby z pre</w:t>
      </w:r>
      <w:r>
        <w:rPr>
          <w:rFonts w:hint="default"/>
          <w:color w:val="auto"/>
          <w:sz w:val="23"/>
          <w:szCs w:val="23"/>
          <w:lang w:val="sk-SK"/>
        </w:rPr>
        <w:t xml:space="preserve">nájmu vozidla 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2900,00 eur</w:t>
      </w:r>
    </w:p>
    <w:p w14:paraId="6FBED5B0">
      <w:pPr>
        <w:pStyle w:val="14"/>
        <w:spacing w:after="27"/>
        <w:ind w:firstLine="708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T</w:t>
      </w:r>
      <w:r>
        <w:rPr>
          <w:color w:val="auto"/>
          <w:sz w:val="23"/>
          <w:szCs w:val="23"/>
        </w:rPr>
        <w:t xml:space="preserve">ržby z predaja </w:t>
      </w:r>
      <w:r>
        <w:rPr>
          <w:rFonts w:hint="default"/>
          <w:color w:val="auto"/>
          <w:sz w:val="23"/>
          <w:szCs w:val="23"/>
          <w:lang w:val="sk-SK"/>
        </w:rPr>
        <w:t xml:space="preserve">hmotného majetku </w:t>
      </w:r>
      <w:r>
        <w:rPr>
          <w:color w:val="auto"/>
          <w:sz w:val="23"/>
          <w:szCs w:val="23"/>
        </w:rPr>
        <w:t xml:space="preserve">– </w:t>
      </w:r>
      <w:r>
        <w:rPr>
          <w:rFonts w:hint="default"/>
          <w:color w:val="auto"/>
          <w:sz w:val="23"/>
          <w:szCs w:val="23"/>
          <w:lang w:val="sk-SK"/>
        </w:rPr>
        <w:t>3000,00 eur</w:t>
      </w:r>
    </w:p>
    <w:p w14:paraId="03FB3DDC">
      <w:pPr>
        <w:pStyle w:val="14"/>
        <w:spacing w:after="27"/>
        <w:rPr>
          <w:color w:val="auto"/>
          <w:sz w:val="23"/>
          <w:szCs w:val="23"/>
        </w:rPr>
      </w:pPr>
    </w:p>
    <w:p w14:paraId="343AF3A4">
      <w:pPr>
        <w:pStyle w:val="14"/>
        <w:spacing w:after="27"/>
        <w:rPr>
          <w:color w:val="auto"/>
          <w:sz w:val="23"/>
          <w:szCs w:val="23"/>
        </w:rPr>
      </w:pP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8C7"/>
    <w:multiLevelType w:val="multilevel"/>
    <w:tmpl w:val="233858C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7693D"/>
    <w:rsid w:val="000B0E0A"/>
    <w:rsid w:val="00192E71"/>
    <w:rsid w:val="001A51E6"/>
    <w:rsid w:val="00296F3B"/>
    <w:rsid w:val="002A44D5"/>
    <w:rsid w:val="004049B8"/>
    <w:rsid w:val="0042515D"/>
    <w:rsid w:val="00440F25"/>
    <w:rsid w:val="004447E8"/>
    <w:rsid w:val="00490E79"/>
    <w:rsid w:val="004A214E"/>
    <w:rsid w:val="004A277A"/>
    <w:rsid w:val="004B6DF1"/>
    <w:rsid w:val="004E358E"/>
    <w:rsid w:val="004F6018"/>
    <w:rsid w:val="00524A9C"/>
    <w:rsid w:val="00595149"/>
    <w:rsid w:val="005F0C9E"/>
    <w:rsid w:val="006052E3"/>
    <w:rsid w:val="0063337D"/>
    <w:rsid w:val="0070475C"/>
    <w:rsid w:val="00851CCE"/>
    <w:rsid w:val="008846E2"/>
    <w:rsid w:val="00896480"/>
    <w:rsid w:val="008C4C66"/>
    <w:rsid w:val="00900034"/>
    <w:rsid w:val="00930047"/>
    <w:rsid w:val="009D0A1D"/>
    <w:rsid w:val="009F1607"/>
    <w:rsid w:val="00A25A77"/>
    <w:rsid w:val="00A25DD3"/>
    <w:rsid w:val="00A35832"/>
    <w:rsid w:val="00A82D74"/>
    <w:rsid w:val="00BB3D6F"/>
    <w:rsid w:val="00BB61B2"/>
    <w:rsid w:val="00CB74B5"/>
    <w:rsid w:val="00CF73C9"/>
    <w:rsid w:val="00D01967"/>
    <w:rsid w:val="00D4437B"/>
    <w:rsid w:val="00DC6D6B"/>
    <w:rsid w:val="00E031C7"/>
    <w:rsid w:val="00E717C3"/>
    <w:rsid w:val="00E8104F"/>
    <w:rsid w:val="00FD015C"/>
    <w:rsid w:val="1C0155CC"/>
    <w:rsid w:val="353B2FEF"/>
    <w:rsid w:val="69972DBE"/>
    <w:rsid w:val="7A5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5"/>
    <w:qFormat/>
    <w:uiPriority w:val="0"/>
    <w:pPr>
      <w:spacing w:after="0" w:line="240" w:lineRule="auto"/>
      <w:ind w:left="426"/>
      <w:jc w:val="both"/>
    </w:pPr>
    <w:rPr>
      <w:rFonts w:ascii="Times New Roman" w:hAnsi="Times New Roman" w:eastAsia="Times New Roman" w:cs="Times New Roman"/>
      <w:sz w:val="18"/>
      <w:szCs w:val="20"/>
      <w:lang w:eastAsia="en-US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Plain Text"/>
    <w:basedOn w:val="1"/>
    <w:link w:val="10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0">
    <w:name w:val="Obyčajný text Char"/>
    <w:basedOn w:val="2"/>
    <w:link w:val="9"/>
    <w:semiHidden/>
    <w:qFormat/>
    <w:uiPriority w:val="99"/>
    <w:rPr>
      <w:rFonts w:ascii="Consolas" w:hAnsi="Consolas"/>
      <w:sz w:val="21"/>
      <w:szCs w:val="21"/>
    </w:rPr>
  </w:style>
  <w:style w:type="character" w:customStyle="1" w:styleId="11">
    <w:name w:val="Text komentára Char"/>
    <w:basedOn w:val="2"/>
    <w:link w:val="7"/>
    <w:semiHidden/>
    <w:qFormat/>
    <w:uiPriority w:val="99"/>
    <w:rPr>
      <w:sz w:val="20"/>
      <w:szCs w:val="20"/>
    </w:rPr>
  </w:style>
  <w:style w:type="character" w:customStyle="1" w:styleId="12">
    <w:name w:val="Predmet komentára Char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  <w:style w:type="character" w:customStyle="1" w:styleId="15">
    <w:name w:val="Základný text Char"/>
    <w:basedOn w:val="2"/>
    <w:link w:val="5"/>
    <w:qFormat/>
    <w:uiPriority w:val="0"/>
    <w:rPr>
      <w:rFonts w:ascii="Times New Roman" w:hAnsi="Times New Roman" w:eastAsia="Times New Roman" w:cs="Times New Roman"/>
      <w:sz w:val="18"/>
      <w:szCs w:val="20"/>
      <w:lang w:eastAsia="en-US"/>
    </w:rPr>
  </w:style>
  <w:style w:type="paragraph" w:customStyle="1" w:styleId="16">
    <w:name w:val="Tabulka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703</Words>
  <Characters>4013</Characters>
  <Lines>33</Lines>
  <Paragraphs>9</Paragraphs>
  <TotalTime>36</TotalTime>
  <ScaleCrop>false</ScaleCrop>
  <LinksUpToDate>false</LinksUpToDate>
  <CharactersWithSpaces>4707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2023-06-29T22:52:00Z</dcterms:created>
  <dc:creator>cechova</dc:creator>
  <cp:lastModifiedBy>mfols</cp:lastModifiedBy>
  <cp:lastPrinted>2018-06-27T14:12:00Z</cp:lastPrinted>
  <dcterms:modified xsi:type="dcterms:W3CDTF">2026-06-30T16:02:30Z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48EA1AE30D9247F297D2908A5A25DB1A_12</vt:lpwstr>
  </property>
</Properties>
</file>