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jc w:val="center"/>
      </w:pPr>
      <w:r>
        <w:rPr>
          <w:b/>
          <w:sz w:val="28"/>
        </w:rPr>
        <w:t>Poznámky k účtovnej závierke</w:t>
        <w:br/>
        <w:t>zostavenej k 31. decembru 2025</w:t>
      </w:r>
    </w:p>
    <w:p>
      <w:pPr>
        <w:jc w:val="center"/>
      </w:pPr>
      <w:r>
        <w:rPr>
          <w:i/>
          <w:sz w:val="20"/>
        </w:rPr>
        <w:t>(Úč POD 3 – 01)</w:t>
      </w:r>
    </w:p>
    <w:p>
      <w:pPr>
        <w:spacing w:before="200" w:after="80"/>
      </w:pPr>
      <w:r>
        <w:rPr>
          <w:b/>
          <w:sz w:val="24"/>
        </w:rPr>
        <w:t>Čl. I – Všeobecné informácie o účtovnej jednotke</w:t>
      </w:r>
    </w:p>
    <w:tbl>
      <w:tblPr>
        <w:tblW w:type="auto" w:w="0"/>
        <w:tblLook w:firstColumn="1" w:firstRow="1" w:lastColumn="0" w:lastRow="0" w:noHBand="0" w:noVBand="1" w:val="04A0"/>
      </w:tblPr>
      <w:tblGrid>
        <w:gridCol w:w="4320"/>
        <w:gridCol w:w="4320"/>
      </w:tblGrid>
      <w:tr>
        <w:tc>
          <w:tcPr>
            <w:tcW w:type="dxa" w:w="2551"/>
          </w:tcPr>
          <w:p>
            <w:r/>
            <w:r>
              <w:rPr>
                <w:b/>
                <w:sz w:val="20"/>
              </w:rPr>
              <w:t>Obchodné meno:</w:t>
            </w:r>
          </w:p>
        </w:tc>
        <w:tc>
          <w:tcPr>
            <w:tcW w:type="dxa" w:w="6803"/>
          </w:tcPr>
          <w:p>
            <w:r/>
            <w:r>
              <w:rPr>
                <w:sz w:val="20"/>
              </w:rPr>
              <w:t>BURKESRENT s. r. o.</w:t>
            </w:r>
          </w:p>
        </w:tc>
      </w:tr>
      <w:tr>
        <w:tc>
          <w:tcPr>
            <w:tcW w:type="dxa" w:w="2551"/>
          </w:tcPr>
          <w:p>
            <w:r/>
            <w:r>
              <w:rPr>
                <w:b/>
                <w:sz w:val="20"/>
              </w:rPr>
              <w:t>Sídlo:</w:t>
            </w:r>
          </w:p>
        </w:tc>
        <w:tc>
          <w:tcPr>
            <w:tcW w:type="dxa" w:w="6803"/>
          </w:tcPr>
          <w:p>
            <w:r/>
            <w:r>
              <w:rPr>
                <w:sz w:val="20"/>
              </w:rPr>
              <w:t>Zornička 910/7, 924 01 Galanta</w:t>
            </w:r>
          </w:p>
        </w:tc>
      </w:tr>
      <w:tr>
        <w:tc>
          <w:tcPr>
            <w:tcW w:type="dxa" w:w="2551"/>
          </w:tcPr>
          <w:p>
            <w:r/>
            <w:r>
              <w:rPr>
                <w:b/>
                <w:sz w:val="20"/>
              </w:rPr>
              <w:t>IČO:</w:t>
            </w:r>
          </w:p>
        </w:tc>
        <w:tc>
          <w:tcPr>
            <w:tcW w:type="dxa" w:w="6803"/>
          </w:tcPr>
          <w:p>
            <w:r/>
            <w:r>
              <w:rPr>
                <w:sz w:val="20"/>
              </w:rPr>
              <w:t>55 961 649</w:t>
            </w:r>
          </w:p>
        </w:tc>
      </w:tr>
      <w:tr>
        <w:tc>
          <w:tcPr>
            <w:tcW w:type="dxa" w:w="2551"/>
          </w:tcPr>
          <w:p>
            <w:r/>
            <w:r>
              <w:rPr>
                <w:b/>
                <w:sz w:val="20"/>
              </w:rPr>
              <w:t>DIČ:</w:t>
            </w:r>
          </w:p>
        </w:tc>
        <w:tc>
          <w:tcPr>
            <w:tcW w:type="dxa" w:w="6803"/>
          </w:tcPr>
          <w:p>
            <w:r/>
            <w:r>
              <w:rPr>
                <w:sz w:val="20"/>
              </w:rPr>
              <w:t>2122142858</w:t>
            </w:r>
          </w:p>
        </w:tc>
      </w:tr>
      <w:tr>
        <w:tc>
          <w:tcPr>
            <w:tcW w:type="dxa" w:w="2551"/>
          </w:tcPr>
          <w:p>
            <w:r/>
            <w:r>
              <w:rPr>
                <w:b/>
                <w:sz w:val="20"/>
              </w:rPr>
              <w:t>IČ DPH:</w:t>
            </w:r>
          </w:p>
        </w:tc>
        <w:tc>
          <w:tcPr>
            <w:tcW w:type="dxa" w:w="6803"/>
          </w:tcPr>
          <w:p>
            <w:r/>
            <w:r>
              <w:rPr>
                <w:sz w:val="20"/>
              </w:rPr>
              <w:t>neplatiteľ DPH</w:t>
            </w:r>
          </w:p>
        </w:tc>
      </w:tr>
      <w:tr>
        <w:tc>
          <w:tcPr>
            <w:tcW w:type="dxa" w:w="2551"/>
          </w:tcPr>
          <w:p>
            <w:r/>
            <w:r>
              <w:rPr>
                <w:b/>
                <w:sz w:val="20"/>
              </w:rPr>
              <w:t>Právna forma:</w:t>
            </w:r>
          </w:p>
        </w:tc>
        <w:tc>
          <w:tcPr>
            <w:tcW w:type="dxa" w:w="6803"/>
          </w:tcPr>
          <w:p>
            <w:r/>
            <w:r>
              <w:rPr>
                <w:sz w:val="20"/>
              </w:rPr>
              <w:t>spoločnosť s ručením obmedzeným</w:t>
            </w:r>
          </w:p>
        </w:tc>
      </w:tr>
      <w:tr>
        <w:tc>
          <w:tcPr>
            <w:tcW w:type="dxa" w:w="2551"/>
          </w:tcPr>
          <w:p>
            <w:r/>
            <w:r>
              <w:rPr>
                <w:b/>
                <w:sz w:val="20"/>
              </w:rPr>
              <w:t>Deň zápisu:</w:t>
            </w:r>
          </w:p>
        </w:tc>
        <w:tc>
          <w:tcPr>
            <w:tcW w:type="dxa" w:w="6803"/>
          </w:tcPr>
          <w:p>
            <w:r/>
            <w:r>
              <w:rPr>
                <w:sz w:val="20"/>
              </w:rPr>
              <w:t>Obchodný register</w:t>
            </w:r>
          </w:p>
        </w:tc>
      </w:tr>
      <w:tr>
        <w:tc>
          <w:tcPr>
            <w:tcW w:type="dxa" w:w="2551"/>
          </w:tcPr>
          <w:p>
            <w:r/>
            <w:r>
              <w:rPr>
                <w:b/>
                <w:sz w:val="20"/>
              </w:rPr>
              <w:t>Predmet činnosti:</w:t>
            </w:r>
          </w:p>
        </w:tc>
        <w:tc>
          <w:tcPr>
            <w:tcW w:type="dxa" w:w="6803"/>
          </w:tcPr>
          <w:p>
            <w:r/>
            <w:r>
              <w:rPr>
                <w:sz w:val="20"/>
              </w:rPr>
              <w:t>prenájom stavebných strojov a zariadení (stavebné mechanizmy – minibáger, vibračná doska a pod.)</w:t>
            </w:r>
          </w:p>
        </w:tc>
      </w:tr>
      <w:tr>
        <w:tc>
          <w:tcPr>
            <w:tcW w:type="dxa" w:w="2551"/>
          </w:tcPr>
          <w:p>
            <w:r/>
            <w:r>
              <w:rPr>
                <w:b/>
                <w:sz w:val="20"/>
              </w:rPr>
              <w:t>Účtovné obdobie:</w:t>
            </w:r>
          </w:p>
        </w:tc>
        <w:tc>
          <w:tcPr>
            <w:tcW w:type="dxa" w:w="6803"/>
          </w:tcPr>
          <w:p>
            <w:r/>
            <w:r>
              <w:rPr>
                <w:sz w:val="20"/>
              </w:rPr>
              <w:t>kalendárny rok 2025 (1. 1. 2025 – 31. 12. 2025)</w:t>
            </w:r>
          </w:p>
        </w:tc>
      </w:tr>
    </w:tbl>
    <w:p>
      <w:pPr>
        <w:spacing w:after="80"/>
        <w:jc w:val="both"/>
      </w:pPr>
      <w:r>
        <w:rPr>
          <w:b w:val="0"/>
          <w:i w:val="0"/>
          <w:sz w:val="20"/>
        </w:rPr>
      </w:r>
    </w:p>
    <w:p>
      <w:pPr>
        <w:spacing w:after="80"/>
        <w:jc w:val="both"/>
      </w:pPr>
      <w:r>
        <w:rPr>
          <w:b w:val="0"/>
          <w:i w:val="0"/>
          <w:sz w:val="20"/>
        </w:rPr>
        <w:t>Účtovná jednotka nie je neobmedzene ručiacim spoločníkom v iných účtovných jednotkách podľa § 56 ods. 5 Obchodného zákonníka.</w:t>
      </w:r>
    </w:p>
    <w:p>
      <w:pPr>
        <w:spacing w:after="80"/>
        <w:jc w:val="both"/>
      </w:pPr>
      <w:r>
        <w:rPr>
          <w:b w:val="0"/>
          <w:i w:val="0"/>
          <w:sz w:val="20"/>
        </w:rPr>
        <w:t>Účtovná jednotka nie je súčasťou konsolidovaného celku a nie je materskou účtovnou jednotkou.</w:t>
      </w:r>
    </w:p>
    <w:p>
      <w:pPr>
        <w:spacing w:after="80"/>
        <w:jc w:val="both"/>
      </w:pPr>
      <w:r>
        <w:rPr>
          <w:b w:val="0"/>
          <w:i w:val="0"/>
          <w:sz w:val="20"/>
        </w:rPr>
        <w:t>Účtovná závierka je zostavená ako riadna za predpokladu nepretržitého pokračovania v činnosti účtovnej jednotky.</w:t>
      </w:r>
    </w:p>
    <w:p>
      <w:pPr>
        <w:spacing w:before="200" w:after="80"/>
      </w:pPr>
      <w:r>
        <w:rPr>
          <w:b/>
          <w:sz w:val="22"/>
        </w:rPr>
        <w:t>Zamestnanci</w:t>
      </w:r>
    </w:p>
    <w:tbl>
      <w:tblPr>
        <w:tblW w:type="auto" w:w="0"/>
        <w:jc w:val="center"/>
        <w:tblLayout w:type="autofit"/>
        <w:tblLook w:firstColumn="1" w:firstRow="1" w:lastColumn="0" w:lastRow="0" w:noHBand="0" w:noVBand="1" w:val="04A0"/>
      </w:tblPr>
      <w:tblGrid>
        <w:gridCol w:w="2880"/>
        <w:gridCol w:w="2880"/>
        <w:gridCol w:w="2880"/>
      </w:tblGrid>
      <w:tr>
        <w:tc>
          <w:tcPr>
            <w:tcW w:type="dxa" w:w="510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>
            <w:r/>
            <w:r>
              <w:rPr>
                <w:b/>
                <w:sz w:val="18"/>
              </w:rPr>
              <w:t>Názov položky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>
            <w:pPr>
              <w:jc w:val="center"/>
            </w:pPr>
            <w:r/>
            <w:r>
              <w:rPr>
                <w:b/>
                <w:sz w:val="18"/>
              </w:rPr>
              <w:t>Bežné obdobie 2025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>
            <w:pPr>
              <w:jc w:val="center"/>
            </w:pPr>
            <w:r/>
            <w:r>
              <w:rPr>
                <w:b/>
                <w:sz w:val="18"/>
              </w:rPr>
              <w:t>Predch. obdobie 2024</w:t>
            </w:r>
          </w:p>
        </w:tc>
      </w:tr>
      <w:tr>
        <w:tc>
          <w:tcPr>
            <w:tcW w:type="dxa" w:w="510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r/>
            <w:r>
              <w:rPr>
                <w:sz w:val="18"/>
              </w:rPr>
              <w:t>Priemerný prepočítaný počet zamestnancov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0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0</w:t>
            </w:r>
          </w:p>
        </w:tc>
      </w:tr>
      <w:tr>
        <w:tc>
          <w:tcPr>
            <w:tcW w:type="dxa" w:w="510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r/>
            <w:r>
              <w:rPr>
                <w:sz w:val="18"/>
              </w:rPr>
              <w:t>Stav zamestnancov ku dňu, ku ktorému sa zostavuje ÚZ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0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0</w:t>
            </w:r>
          </w:p>
        </w:tc>
      </w:tr>
      <w:tr>
        <w:tc>
          <w:tcPr>
            <w:tcW w:type="dxa" w:w="510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r/>
            <w:r>
              <w:rPr>
                <w:sz w:val="18"/>
              </w:rPr>
              <w:t>z toho počet vedúcich zamestnancov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0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0</w:t>
            </w:r>
          </w:p>
        </w:tc>
      </w:tr>
    </w:tbl>
    <w:p>
      <w:pPr>
        <w:spacing w:after="80"/>
        <w:jc w:val="both"/>
      </w:pPr>
      <w:r>
        <w:rPr>
          <w:b w:val="0"/>
          <w:i/>
          <w:sz w:val="18"/>
        </w:rPr>
        <w:t>Pozn.: Spoločnosť v účtovnom období nezamestnávala zamestnancov; činnosť vykonáva konateľ spoločnosti.</w:t>
      </w:r>
    </w:p>
    <w:p>
      <w:pPr>
        <w:spacing w:before="200" w:after="80"/>
      </w:pPr>
      <w:r>
        <w:rPr>
          <w:b/>
          <w:sz w:val="24"/>
        </w:rPr>
        <w:t>Čl. II – Informácie o účtovných zásadách a účtovných metódach</w:t>
      </w:r>
    </w:p>
    <w:p>
      <w:pPr>
        <w:spacing w:after="80"/>
        <w:jc w:val="both"/>
      </w:pPr>
      <w:r>
        <w:rPr>
          <w:b w:val="0"/>
          <w:i w:val="0"/>
          <w:sz w:val="20"/>
        </w:rPr>
        <w:t>Účtovná závierka bola zostavená v súlade so zákonom č. 431/2002 Z. z. o účtovníctve v znení neskorších predpisov a opatrením MF SR č. 23054/2002-92, ktorým sa ustanovujú podrobnosti o postupoch účtovania a rámcovej účtovej osnove pre podnikateľov účtujúcich v sústave podvojného účtovníctva.</w:t>
      </w:r>
    </w:p>
    <w:p>
      <w:pPr>
        <w:spacing w:after="80"/>
        <w:jc w:val="both"/>
      </w:pPr>
      <w:r>
        <w:rPr>
          <w:b w:val="0"/>
          <w:i w:val="0"/>
          <w:sz w:val="20"/>
        </w:rPr>
        <w:t>Dlhodobý hmotný majetok sa oceňuje obstarávacou cenou. Odpisuje sa rovnomerne počas predpokladanej doby používania; účtovné odpisy sú stanovené zhodne s daňovými odpismi podľa zákona o dani z príjmov.</w:t>
      </w:r>
    </w:p>
    <w:p>
      <w:pPr>
        <w:spacing w:after="80"/>
        <w:jc w:val="both"/>
      </w:pPr>
      <w:r>
        <w:rPr>
          <w:b w:val="0"/>
          <w:i w:val="0"/>
          <w:sz w:val="20"/>
        </w:rPr>
        <w:t>Pohľadávky sa pri vzniku oceňujú menovitou hodnotou. K pochybným a nevymožiteľným pohľadávkam sa tvoria opravné položky.</w:t>
      </w:r>
    </w:p>
    <w:p>
      <w:pPr>
        <w:spacing w:after="80"/>
        <w:jc w:val="both"/>
      </w:pPr>
      <w:r>
        <w:rPr>
          <w:b w:val="0"/>
          <w:i w:val="0"/>
          <w:sz w:val="20"/>
        </w:rPr>
        <w:t>Peňažné prostriedky a ceniny sa oceňujú menovitou hodnotou.</w:t>
      </w:r>
    </w:p>
    <w:p>
      <w:pPr>
        <w:spacing w:after="80"/>
        <w:jc w:val="both"/>
      </w:pPr>
      <w:r>
        <w:rPr>
          <w:b w:val="0"/>
          <w:i w:val="0"/>
          <w:sz w:val="20"/>
        </w:rPr>
        <w:t>Záväzky sa pri vzniku oceňujú menovitou hodnotou.</w:t>
      </w:r>
    </w:p>
    <w:p>
      <w:pPr>
        <w:spacing w:after="80"/>
        <w:jc w:val="both"/>
      </w:pPr>
      <w:r>
        <w:rPr>
          <w:b w:val="0"/>
          <w:i w:val="0"/>
          <w:sz w:val="20"/>
        </w:rPr>
        <w:t>Výnosy z prenájmu a služieb sa účtujú bez DPH (spoločnosť nie je platiteľom DPH) do obdobia, s ktorým časovo a vecne súvisia.</w:t>
      </w:r>
    </w:p>
    <w:p>
      <w:pPr>
        <w:spacing w:after="80"/>
        <w:jc w:val="both"/>
      </w:pPr>
      <w:r>
        <w:rPr>
          <w:b w:val="0"/>
          <w:i w:val="0"/>
          <w:sz w:val="20"/>
        </w:rPr>
        <w:t>Účtovná jednotka nemá majetok zaťažený záložným právom ani majetok s obmedzeným právom nakladania.</w:t>
      </w:r>
    </w:p>
    <w:p>
      <w:pPr>
        <w:spacing w:before="200" w:after="80"/>
      </w:pPr>
      <w:r>
        <w:rPr>
          <w:b/>
          <w:sz w:val="24"/>
        </w:rPr>
        <w:t>Čl. III – Informácie k položkám súvahy</w:t>
      </w:r>
    </w:p>
    <w:p>
      <w:pPr>
        <w:spacing w:before="200" w:after="80"/>
      </w:pPr>
      <w:r>
        <w:rPr>
          <w:b/>
          <w:sz w:val="22"/>
        </w:rPr>
        <w:t>a) Dlhodobý hmotný majetok (samostatné hnuteľné veci)</w:t>
      </w:r>
    </w:p>
    <w:tbl>
      <w:tblPr>
        <w:tblW w:type="auto" w:w="0"/>
        <w:jc w:val="center"/>
        <w:tblLayout w:type="autofit"/>
        <w:tblLook w:firstColumn="1" w:firstRow="1" w:lastColumn="0" w:lastRow="0" w:noHBand="0" w:noVBand="1" w:val="04A0"/>
      </w:tblPr>
      <w:tblGrid>
        <w:gridCol w:w="2880"/>
        <w:gridCol w:w="2880"/>
        <w:gridCol w:w="2880"/>
      </w:tblGrid>
      <w:tr>
        <w:tc>
          <w:tcPr>
            <w:tcW w:type="dxa" w:w="453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>
            <w:r/>
            <w:r>
              <w:rPr>
                <w:b/>
                <w:sz w:val="18"/>
              </w:rPr>
              <w:t>Položka (€)</w:t>
            </w:r>
          </w:p>
        </w:tc>
        <w:tc>
          <w:tcPr>
            <w:tcW w:type="dxa" w:w="255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>
            <w:pPr>
              <w:jc w:val="center"/>
            </w:pPr>
            <w:r/>
            <w:r>
              <w:rPr>
                <w:b/>
                <w:sz w:val="18"/>
              </w:rPr>
              <w:t>Samostatné hnuteľné veci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>
            <w:pPr>
              <w:jc w:val="center"/>
            </w:pPr>
            <w:r/>
            <w:r>
              <w:rPr>
                <w:b/>
                <w:sz w:val="18"/>
              </w:rPr>
              <w:t>Spolu</w:t>
            </w:r>
          </w:p>
        </w:tc>
      </w:tr>
      <w:tr>
        <w:tc>
          <w:tcPr>
            <w:tcW w:type="dxa" w:w="453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r/>
            <w:r>
              <w:rPr>
                <w:sz w:val="18"/>
              </w:rPr>
              <w:t>Obstarávacia cena – stav na začiatku obdobia</w:t>
            </w:r>
          </w:p>
        </w:tc>
        <w:tc>
          <w:tcPr>
            <w:tcW w:type="dxa" w:w="255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0,00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0,00</w:t>
            </w:r>
          </w:p>
        </w:tc>
      </w:tr>
      <w:tr>
        <w:tc>
          <w:tcPr>
            <w:tcW w:type="dxa" w:w="453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r/>
            <w:r>
              <w:rPr>
                <w:sz w:val="18"/>
              </w:rPr>
              <w:t>Prírastky</w:t>
            </w:r>
          </w:p>
        </w:tc>
        <w:tc>
          <w:tcPr>
            <w:tcW w:type="dxa" w:w="255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23 861,55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23 861,55</w:t>
            </w:r>
          </w:p>
        </w:tc>
      </w:tr>
      <w:tr>
        <w:tc>
          <w:tcPr>
            <w:tcW w:type="dxa" w:w="453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r/>
            <w:r>
              <w:rPr>
                <w:sz w:val="18"/>
              </w:rPr>
              <w:t>Úbytky</w:t>
            </w:r>
          </w:p>
        </w:tc>
        <w:tc>
          <w:tcPr>
            <w:tcW w:type="dxa" w:w="255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0,00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0,00</w:t>
            </w:r>
          </w:p>
        </w:tc>
      </w:tr>
      <w:tr>
        <w:tc>
          <w:tcPr>
            <w:tcW w:type="dxa" w:w="453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>
            <w:r/>
            <w:r>
              <w:rPr>
                <w:b/>
                <w:sz w:val="18"/>
              </w:rPr>
              <w:t>Obstarávacia cena – stav na konci obdobia</w:t>
            </w:r>
          </w:p>
        </w:tc>
        <w:tc>
          <w:tcPr>
            <w:tcW w:type="dxa" w:w="255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>
            <w:pPr>
              <w:jc w:val="right"/>
            </w:pPr>
            <w:r/>
            <w:r>
              <w:rPr>
                <w:b/>
                <w:sz w:val="18"/>
              </w:rPr>
              <w:t>23 861,55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>
            <w:pPr>
              <w:jc w:val="right"/>
            </w:pPr>
            <w:r/>
            <w:r>
              <w:rPr>
                <w:b/>
                <w:sz w:val="18"/>
              </w:rPr>
              <w:t>23 861,55</w:t>
            </w:r>
          </w:p>
        </w:tc>
      </w:tr>
      <w:tr>
        <w:tc>
          <w:tcPr>
            <w:tcW w:type="dxa" w:w="453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r/>
            <w:r>
              <w:rPr>
                <w:sz w:val="18"/>
              </w:rPr>
              <w:t>Oprávky – stav na konci obdobia</w:t>
            </w:r>
          </w:p>
        </w:tc>
        <w:tc>
          <w:tcPr>
            <w:tcW w:type="dxa" w:w="255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1 224,66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1 224,66</w:t>
            </w:r>
          </w:p>
        </w:tc>
      </w:tr>
      <w:tr>
        <w:tc>
          <w:tcPr>
            <w:tcW w:type="dxa" w:w="453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>
            <w:r/>
            <w:r>
              <w:rPr>
                <w:b/>
                <w:sz w:val="18"/>
              </w:rPr>
              <w:t>Zostatková hodnota k 31. 12. 2025</w:t>
            </w:r>
          </w:p>
        </w:tc>
        <w:tc>
          <w:tcPr>
            <w:tcW w:type="dxa" w:w="255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>
            <w:pPr>
              <w:jc w:val="right"/>
            </w:pPr>
            <w:r/>
            <w:r>
              <w:rPr>
                <w:b/>
                <w:sz w:val="18"/>
              </w:rPr>
              <w:t>22 636,89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>
            <w:pPr>
              <w:jc w:val="right"/>
            </w:pPr>
            <w:r/>
            <w:r>
              <w:rPr>
                <w:b/>
                <w:sz w:val="18"/>
              </w:rPr>
              <w:t>22 636,89</w:t>
            </w:r>
          </w:p>
        </w:tc>
      </w:tr>
    </w:tbl>
    <w:p>
      <w:pPr>
        <w:spacing w:after="80"/>
        <w:jc w:val="both"/>
      </w:pPr>
      <w:r>
        <w:rPr>
          <w:b w:val="0"/>
          <w:i/>
          <w:sz w:val="18"/>
        </w:rPr>
        <w:t>Na dlhodobý hmotný majetok nie je zriadené záložné právo a účtovná jednotka nemá obmedzené právo s ním nakladať.</w:t>
      </w:r>
    </w:p>
    <w:p>
      <w:pPr>
        <w:spacing w:before="200" w:after="80"/>
      </w:pPr>
      <w:r>
        <w:rPr>
          <w:b/>
          <w:sz w:val="22"/>
        </w:rPr>
        <w:t>b) Pohľadávky</w:t>
      </w:r>
    </w:p>
    <w:tbl>
      <w:tblPr>
        <w:tblW w:type="auto" w:w="0"/>
        <w:jc w:val="center"/>
        <w:tblLayout w:type="autofit"/>
        <w:tblLook w:firstColumn="1" w:firstRow="1" w:lastColumn="0" w:lastRow="0" w:noHBand="0" w:noVBand="1" w:val="04A0"/>
      </w:tblPr>
      <w:tblGrid>
        <w:gridCol w:w="2880"/>
        <w:gridCol w:w="2880"/>
        <w:gridCol w:w="2880"/>
      </w:tblGrid>
      <w:tr>
        <w:tc>
          <w:tcPr>
            <w:tcW w:type="dxa" w:w="510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>
            <w:r/>
            <w:r>
              <w:rPr>
                <w:b/>
                <w:sz w:val="18"/>
              </w:rPr>
              <w:t>Položka (€)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>
            <w:pPr>
              <w:jc w:val="center"/>
            </w:pPr>
            <w:r/>
            <w:r>
              <w:rPr>
                <w:b/>
                <w:sz w:val="18"/>
              </w:rPr>
              <w:t>Bežné obdobie 2025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>
            <w:pPr>
              <w:jc w:val="center"/>
            </w:pPr>
            <w:r/>
            <w:r>
              <w:rPr>
                <w:b/>
                <w:sz w:val="18"/>
              </w:rPr>
              <w:t>Predch. obdobie 2024</w:t>
            </w:r>
          </w:p>
        </w:tc>
      </w:tr>
      <w:tr>
        <w:tc>
          <w:tcPr>
            <w:tcW w:type="dxa" w:w="510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r/>
            <w:r>
              <w:rPr>
                <w:sz w:val="18"/>
              </w:rPr>
              <w:t>Pohľadávky z obchodného styku – v lehote splatnosti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4 760,00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0,00</w:t>
            </w:r>
          </w:p>
        </w:tc>
      </w:tr>
      <w:tr>
        <w:tc>
          <w:tcPr>
            <w:tcW w:type="dxa" w:w="510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r/>
            <w:r>
              <w:rPr>
                <w:sz w:val="18"/>
              </w:rPr>
              <w:t>Pohľadávky z obchodného styku – po lehote splatnosti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0,00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0,00</w:t>
            </w:r>
          </w:p>
        </w:tc>
      </w:tr>
      <w:tr>
        <w:tc>
          <w:tcPr>
            <w:tcW w:type="dxa" w:w="510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>
            <w:r/>
            <w:r>
              <w:rPr>
                <w:b/>
                <w:sz w:val="18"/>
              </w:rPr>
              <w:t>Pohľadávky spolu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>
            <w:pPr>
              <w:jc w:val="right"/>
            </w:pPr>
            <w:r/>
            <w:r>
              <w:rPr>
                <w:b/>
                <w:sz w:val="18"/>
              </w:rPr>
              <w:t>4 760,00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>
            <w:pPr>
              <w:jc w:val="right"/>
            </w:pPr>
            <w:r/>
            <w:r>
              <w:rPr>
                <w:b/>
                <w:sz w:val="18"/>
              </w:rPr>
              <w:t>0,00</w:t>
            </w:r>
          </w:p>
        </w:tc>
      </w:tr>
    </w:tbl>
    <w:p>
      <w:pPr>
        <w:spacing w:after="80"/>
        <w:jc w:val="both"/>
      </w:pPr>
      <w:r>
        <w:rPr>
          <w:b w:val="0"/>
          <w:i/>
          <w:sz w:val="18"/>
        </w:rPr>
        <w:t>K pohľadávkam neboli tvorené opravné položky.</w:t>
      </w:r>
    </w:p>
    <w:p>
      <w:pPr>
        <w:spacing w:before="200" w:after="80"/>
      </w:pPr>
      <w:r>
        <w:rPr>
          <w:b/>
          <w:sz w:val="22"/>
        </w:rPr>
        <w:t>c) Finančné účty</w:t>
      </w:r>
    </w:p>
    <w:tbl>
      <w:tblPr>
        <w:tblW w:type="auto" w:w="0"/>
        <w:jc w:val="center"/>
        <w:tblLayout w:type="autofit"/>
        <w:tblLook w:firstColumn="1" w:firstRow="1" w:lastColumn="0" w:lastRow="0" w:noHBand="0" w:noVBand="1" w:val="04A0"/>
      </w:tblPr>
      <w:tblGrid>
        <w:gridCol w:w="2880"/>
        <w:gridCol w:w="2880"/>
        <w:gridCol w:w="2880"/>
      </w:tblGrid>
      <w:tr>
        <w:tc>
          <w:tcPr>
            <w:tcW w:type="dxa" w:w="510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>
            <w:r/>
            <w:r>
              <w:rPr>
                <w:b/>
                <w:sz w:val="18"/>
              </w:rPr>
              <w:t>Položka (€)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>
            <w:pPr>
              <w:jc w:val="center"/>
            </w:pPr>
            <w:r/>
            <w:r>
              <w:rPr>
                <w:b/>
                <w:sz w:val="18"/>
              </w:rPr>
              <w:t>Bežné obdobie 2025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>
            <w:pPr>
              <w:jc w:val="center"/>
            </w:pPr>
            <w:r/>
            <w:r>
              <w:rPr>
                <w:b/>
                <w:sz w:val="18"/>
              </w:rPr>
              <w:t>Predch. obdobie 2024</w:t>
            </w:r>
          </w:p>
        </w:tc>
      </w:tr>
      <w:tr>
        <w:tc>
          <w:tcPr>
            <w:tcW w:type="dxa" w:w="510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r/>
            <w:r>
              <w:rPr>
                <w:sz w:val="18"/>
              </w:rPr>
              <w:t>Pokladnica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1 952,98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0,00</w:t>
            </w:r>
          </w:p>
        </w:tc>
      </w:tr>
      <w:tr>
        <w:tc>
          <w:tcPr>
            <w:tcW w:type="dxa" w:w="510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r/>
            <w:r>
              <w:rPr>
                <w:sz w:val="18"/>
              </w:rPr>
              <w:t>Bankové účty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1 632,83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0,00</w:t>
            </w:r>
          </w:p>
        </w:tc>
      </w:tr>
      <w:tr>
        <w:tc>
          <w:tcPr>
            <w:tcW w:type="dxa" w:w="510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>
            <w:r/>
            <w:r>
              <w:rPr>
                <w:b/>
                <w:sz w:val="18"/>
              </w:rPr>
              <w:t>Spolu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>
            <w:pPr>
              <w:jc w:val="right"/>
            </w:pPr>
            <w:r/>
            <w:r>
              <w:rPr>
                <w:b/>
                <w:sz w:val="18"/>
              </w:rPr>
              <w:t>3 585,81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>
            <w:pPr>
              <w:jc w:val="right"/>
            </w:pPr>
            <w:r/>
            <w:r>
              <w:rPr>
                <w:b/>
                <w:sz w:val="18"/>
              </w:rPr>
              <w:t>0,00</w:t>
            </w:r>
          </w:p>
        </w:tc>
      </w:tr>
    </w:tbl>
    <w:p>
      <w:pPr>
        <w:spacing w:before="200" w:after="80"/>
      </w:pPr>
      <w:r>
        <w:rPr>
          <w:b/>
          <w:sz w:val="22"/>
        </w:rPr>
        <w:t>d) Vlastné imanie</w:t>
      </w:r>
    </w:p>
    <w:tbl>
      <w:tblPr>
        <w:tblW w:type="auto" w:w="0"/>
        <w:jc w:val="center"/>
        <w:tblLayout w:type="autofit"/>
        <w:tblLook w:firstColumn="1" w:firstRow="1" w:lastColumn="0" w:lastRow="0" w:noHBand="0" w:noVBand="1" w:val="04A0"/>
      </w:tblPr>
      <w:tblGrid>
        <w:gridCol w:w="1728"/>
        <w:gridCol w:w="1728"/>
        <w:gridCol w:w="1728"/>
        <w:gridCol w:w="1728"/>
        <w:gridCol w:w="1728"/>
      </w:tblGrid>
      <w:tr>
        <w:tc>
          <w:tcPr>
            <w:tcW w:type="dxa" w:w="368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>
            <w:r/>
            <w:r>
              <w:rPr>
                <w:b/>
                <w:sz w:val="18"/>
              </w:rPr>
              <w:t>Položka (€)</w:t>
            </w:r>
          </w:p>
        </w:tc>
        <w:tc>
          <w:tcPr>
            <w:tcW w:type="dxa" w:w="147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>
            <w:pPr>
              <w:jc w:val="center"/>
            </w:pPr>
            <w:r/>
            <w:r>
              <w:rPr>
                <w:b/>
                <w:sz w:val="18"/>
              </w:rPr>
              <w:t>Stav 1.1.2025</w:t>
            </w:r>
          </w:p>
        </w:tc>
        <w:tc>
          <w:tcPr>
            <w:tcW w:type="dxa" w:w="136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>
            <w:pPr>
              <w:jc w:val="center"/>
            </w:pPr>
            <w:r/>
            <w:r>
              <w:rPr>
                <w:b/>
                <w:sz w:val="18"/>
              </w:rPr>
              <w:t>Prírastky</w:t>
            </w:r>
          </w:p>
        </w:tc>
        <w:tc>
          <w:tcPr>
            <w:tcW w:type="dxa" w:w="136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>
            <w:pPr>
              <w:jc w:val="center"/>
            </w:pPr>
            <w:r/>
            <w:r>
              <w:rPr>
                <w:b/>
                <w:sz w:val="18"/>
              </w:rPr>
              <w:t>Úbytky</w:t>
            </w:r>
          </w:p>
        </w:tc>
        <w:tc>
          <w:tcPr>
            <w:tcW w:type="dxa" w:w="147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>
            <w:pPr>
              <w:jc w:val="center"/>
            </w:pPr>
            <w:r/>
            <w:r>
              <w:rPr>
                <w:b/>
                <w:sz w:val="18"/>
              </w:rPr>
              <w:t>Stav 31.12.2025</w:t>
            </w:r>
          </w:p>
        </w:tc>
      </w:tr>
      <w:tr>
        <w:tc>
          <w:tcPr>
            <w:tcW w:type="dxa" w:w="368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r/>
            <w:r>
              <w:rPr>
                <w:sz w:val="18"/>
              </w:rPr>
              <w:t>Základné imanie</w:t>
            </w:r>
          </w:p>
        </w:tc>
        <w:tc>
          <w:tcPr>
            <w:tcW w:type="dxa" w:w="147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0,00</w:t>
            </w:r>
          </w:p>
        </w:tc>
        <w:tc>
          <w:tcPr>
            <w:tcW w:type="dxa" w:w="136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5 000,00</w:t>
            </w:r>
          </w:p>
        </w:tc>
        <w:tc>
          <w:tcPr>
            <w:tcW w:type="dxa" w:w="136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0,00</w:t>
            </w:r>
          </w:p>
        </w:tc>
        <w:tc>
          <w:tcPr>
            <w:tcW w:type="dxa" w:w="147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5 000,00</w:t>
            </w:r>
          </w:p>
        </w:tc>
      </w:tr>
      <w:tr>
        <w:tc>
          <w:tcPr>
            <w:tcW w:type="dxa" w:w="368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r/>
            <w:r>
              <w:rPr>
                <w:sz w:val="18"/>
              </w:rPr>
              <w:t>Neuhradená strata minulých rokov</w:t>
            </w:r>
          </w:p>
        </w:tc>
        <w:tc>
          <w:tcPr>
            <w:tcW w:type="dxa" w:w="147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-80,00</w:t>
            </w:r>
          </w:p>
        </w:tc>
        <w:tc>
          <w:tcPr>
            <w:tcW w:type="dxa" w:w="136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0,00</w:t>
            </w:r>
          </w:p>
        </w:tc>
        <w:tc>
          <w:tcPr>
            <w:tcW w:type="dxa" w:w="136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0,00</w:t>
            </w:r>
          </w:p>
        </w:tc>
        <w:tc>
          <w:tcPr>
            <w:tcW w:type="dxa" w:w="147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-80,00</w:t>
            </w:r>
          </w:p>
        </w:tc>
      </w:tr>
      <w:tr>
        <w:tc>
          <w:tcPr>
            <w:tcW w:type="dxa" w:w="368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r/>
            <w:r>
              <w:rPr>
                <w:sz w:val="18"/>
              </w:rPr>
              <w:t>Výsledok hospodárenia bežného obdobia</w:t>
            </w:r>
          </w:p>
        </w:tc>
        <w:tc>
          <w:tcPr>
            <w:tcW w:type="dxa" w:w="147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0,00</w:t>
            </w:r>
          </w:p>
        </w:tc>
        <w:tc>
          <w:tcPr>
            <w:tcW w:type="dxa" w:w="136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0,00</w:t>
            </w:r>
          </w:p>
        </w:tc>
        <w:tc>
          <w:tcPr>
            <w:tcW w:type="dxa" w:w="136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2 595,22</w:t>
            </w:r>
          </w:p>
        </w:tc>
        <w:tc>
          <w:tcPr>
            <w:tcW w:type="dxa" w:w="147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-2 595,22</w:t>
            </w:r>
          </w:p>
        </w:tc>
      </w:tr>
      <w:tr>
        <w:tc>
          <w:tcPr>
            <w:tcW w:type="dxa" w:w="368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>
            <w:r/>
            <w:r>
              <w:rPr>
                <w:b/>
                <w:sz w:val="18"/>
              </w:rPr>
              <w:t>Vlastné imanie spolu</w:t>
            </w:r>
          </w:p>
        </w:tc>
        <w:tc>
          <w:tcPr>
            <w:tcW w:type="dxa" w:w="147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>
            <w:pPr>
              <w:jc w:val="right"/>
            </w:pPr>
            <w:r/>
            <w:r>
              <w:rPr>
                <w:b/>
                <w:sz w:val="18"/>
              </w:rPr>
              <w:t>-80,00</w:t>
            </w:r>
          </w:p>
        </w:tc>
        <w:tc>
          <w:tcPr>
            <w:tcW w:type="dxa" w:w="136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>
            <w:pPr>
              <w:jc w:val="right"/>
            </w:pPr>
            <w:r/>
            <w:r>
              <w:rPr>
                <w:b/>
                <w:sz w:val="18"/>
              </w:rPr>
              <w:t>5 000,00</w:t>
            </w:r>
          </w:p>
        </w:tc>
        <w:tc>
          <w:tcPr>
            <w:tcW w:type="dxa" w:w="136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>
            <w:pPr>
              <w:jc w:val="right"/>
            </w:pPr>
            <w:r/>
            <w:r>
              <w:rPr>
                <w:b/>
                <w:sz w:val="18"/>
              </w:rPr>
              <w:t>2 595,22</w:t>
            </w:r>
          </w:p>
        </w:tc>
        <w:tc>
          <w:tcPr>
            <w:tcW w:type="dxa" w:w="147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>
            <w:pPr>
              <w:jc w:val="right"/>
            </w:pPr>
            <w:r/>
            <w:r>
              <w:rPr>
                <w:b/>
                <w:sz w:val="18"/>
              </w:rPr>
              <w:t>2 324,78</w:t>
            </w:r>
          </w:p>
        </w:tc>
      </w:tr>
    </w:tbl>
    <w:p>
      <w:pPr>
        <w:spacing w:after="80"/>
        <w:jc w:val="both"/>
      </w:pPr>
      <w:r>
        <w:rPr>
          <w:b w:val="0"/>
          <w:i/>
          <w:sz w:val="18"/>
        </w:rPr>
        <w:t>Pozn.: Základné imanie a prevádzkové financovanie spoločnosti boli v priebehu roka kryté vkladmi spoločníka (viď čl. V).</w:t>
      </w:r>
    </w:p>
    <w:p>
      <w:pPr>
        <w:spacing w:before="200" w:after="80"/>
      </w:pPr>
      <w:r>
        <w:rPr>
          <w:b/>
          <w:sz w:val="22"/>
        </w:rPr>
        <w:t>e) Záväzky</w:t>
      </w:r>
    </w:p>
    <w:tbl>
      <w:tblPr>
        <w:tblW w:type="auto" w:w="0"/>
        <w:jc w:val="center"/>
        <w:tblLayout w:type="autofit"/>
        <w:tblLook w:firstColumn="1" w:firstRow="1" w:lastColumn="0" w:lastRow="0" w:noHBand="0" w:noVBand="1" w:val="04A0"/>
      </w:tblPr>
      <w:tblGrid>
        <w:gridCol w:w="2880"/>
        <w:gridCol w:w="2880"/>
        <w:gridCol w:w="2880"/>
      </w:tblGrid>
      <w:tr>
        <w:tc>
          <w:tcPr>
            <w:tcW w:type="dxa" w:w="510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>
            <w:r/>
            <w:r>
              <w:rPr>
                <w:b/>
                <w:sz w:val="18"/>
              </w:rPr>
              <w:t>Položka (€)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>
            <w:pPr>
              <w:jc w:val="center"/>
            </w:pPr>
            <w:r/>
            <w:r>
              <w:rPr>
                <w:b/>
                <w:sz w:val="18"/>
              </w:rPr>
              <w:t>Bežné obdobie 2025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>
            <w:pPr>
              <w:jc w:val="center"/>
            </w:pPr>
            <w:r/>
            <w:r>
              <w:rPr>
                <w:b/>
                <w:sz w:val="18"/>
              </w:rPr>
              <w:t>Predch. obdobie 2024</w:t>
            </w:r>
          </w:p>
        </w:tc>
      </w:tr>
      <w:tr>
        <w:tc>
          <w:tcPr>
            <w:tcW w:type="dxa" w:w="510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r/>
            <w:r>
              <w:rPr>
                <w:sz w:val="18"/>
              </w:rPr>
              <w:t>Dlhodobé záväzky spolu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0,00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0,00</w:t>
            </w:r>
          </w:p>
        </w:tc>
      </w:tr>
      <w:tr>
        <w:tc>
          <w:tcPr>
            <w:tcW w:type="dxa" w:w="510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r/>
            <w:r>
              <w:rPr>
                <w:sz w:val="18"/>
              </w:rPr>
              <w:t>Krátkodobé záväzky z obchodného styku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7 102,92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80,00</w:t>
            </w:r>
          </w:p>
        </w:tc>
      </w:tr>
      <w:tr>
        <w:tc>
          <w:tcPr>
            <w:tcW w:type="dxa" w:w="510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r/>
            <w:r>
              <w:rPr>
                <w:sz w:val="18"/>
              </w:rPr>
              <w:t>Záväzky voči spoločníkom (vklady/pôžička spoločníka)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21 215,00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0,00</w:t>
            </w:r>
          </w:p>
        </w:tc>
      </w:tr>
      <w:tr>
        <w:tc>
          <w:tcPr>
            <w:tcW w:type="dxa" w:w="510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r/>
            <w:r>
              <w:rPr>
                <w:sz w:val="18"/>
              </w:rPr>
              <w:t>Daňové záväzky (daň z príjmov)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340,00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0,00</w:t>
            </w:r>
          </w:p>
        </w:tc>
      </w:tr>
      <w:tr>
        <w:tc>
          <w:tcPr>
            <w:tcW w:type="dxa" w:w="510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>
            <w:r/>
            <w:r>
              <w:rPr>
                <w:b/>
                <w:sz w:val="18"/>
              </w:rPr>
              <w:t>Záväzky spolu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>
            <w:pPr>
              <w:jc w:val="right"/>
            </w:pPr>
            <w:r/>
            <w:r>
              <w:rPr>
                <w:b/>
                <w:sz w:val="18"/>
              </w:rPr>
              <w:t>28 657,92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>
            <w:pPr>
              <w:jc w:val="right"/>
            </w:pPr>
            <w:r/>
            <w:r>
              <w:rPr>
                <w:b/>
                <w:sz w:val="18"/>
              </w:rPr>
              <w:t>80,00</w:t>
            </w:r>
          </w:p>
        </w:tc>
      </w:tr>
    </w:tbl>
    <w:p>
      <w:pPr>
        <w:spacing w:before="200" w:after="80"/>
      </w:pPr>
      <w:r>
        <w:rPr>
          <w:b/>
          <w:sz w:val="24"/>
        </w:rPr>
        <w:t>Čl. IV – Informácie k položkám výkazu ziskov a strát</w:t>
      </w:r>
    </w:p>
    <w:p>
      <w:pPr>
        <w:spacing w:before="200" w:after="80"/>
      </w:pPr>
      <w:r>
        <w:rPr>
          <w:b/>
          <w:sz w:val="22"/>
        </w:rPr>
        <w:t>a) Výnosy</w:t>
      </w:r>
    </w:p>
    <w:tbl>
      <w:tblPr>
        <w:tblW w:type="auto" w:w="0"/>
        <w:jc w:val="center"/>
        <w:tblLayout w:type="autofit"/>
        <w:tblLook w:firstColumn="1" w:firstRow="1" w:lastColumn="0" w:lastRow="0" w:noHBand="0" w:noVBand="1" w:val="04A0"/>
      </w:tblPr>
      <w:tblGrid>
        <w:gridCol w:w="2880"/>
        <w:gridCol w:w="2880"/>
        <w:gridCol w:w="2880"/>
      </w:tblGrid>
      <w:tr>
        <w:tc>
          <w:tcPr>
            <w:tcW w:type="dxa" w:w="510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>
            <w:r/>
            <w:r>
              <w:rPr>
                <w:b/>
                <w:sz w:val="18"/>
              </w:rPr>
              <w:t>Položka (€)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>
            <w:pPr>
              <w:jc w:val="center"/>
            </w:pPr>
            <w:r/>
            <w:r>
              <w:rPr>
                <w:b/>
                <w:sz w:val="18"/>
              </w:rPr>
              <w:t>Bežné obdobie 2025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>
            <w:pPr>
              <w:jc w:val="center"/>
            </w:pPr>
            <w:r/>
            <w:r>
              <w:rPr>
                <w:b/>
                <w:sz w:val="18"/>
              </w:rPr>
              <w:t>Predch. obdobie 2024</w:t>
            </w:r>
          </w:p>
        </w:tc>
      </w:tr>
      <w:tr>
        <w:tc>
          <w:tcPr>
            <w:tcW w:type="dxa" w:w="510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r/>
            <w:r>
              <w:rPr>
                <w:sz w:val="18"/>
              </w:rPr>
              <w:t>Tržby z predaja služieb (prenájom)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6 915,00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0,00</w:t>
            </w:r>
          </w:p>
        </w:tc>
      </w:tr>
      <w:tr>
        <w:tc>
          <w:tcPr>
            <w:tcW w:type="dxa" w:w="510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>
            <w:r/>
            <w:r>
              <w:rPr>
                <w:b/>
                <w:sz w:val="18"/>
              </w:rPr>
              <w:t>Výnosy spolu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>
            <w:pPr>
              <w:jc w:val="right"/>
            </w:pPr>
            <w:r/>
            <w:r>
              <w:rPr>
                <w:b/>
                <w:sz w:val="18"/>
              </w:rPr>
              <w:t>6 915,00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>
            <w:pPr>
              <w:jc w:val="right"/>
            </w:pPr>
            <w:r/>
            <w:r>
              <w:rPr>
                <w:b/>
                <w:sz w:val="18"/>
              </w:rPr>
              <w:t>0,00</w:t>
            </w:r>
          </w:p>
        </w:tc>
      </w:tr>
    </w:tbl>
    <w:p>
      <w:pPr>
        <w:spacing w:before="200" w:after="80"/>
      </w:pPr>
      <w:r>
        <w:rPr>
          <w:b/>
          <w:sz w:val="22"/>
        </w:rPr>
        <w:t>b) Náklady</w:t>
      </w:r>
    </w:p>
    <w:tbl>
      <w:tblPr>
        <w:tblW w:type="auto" w:w="0"/>
        <w:jc w:val="center"/>
        <w:tblLayout w:type="autofit"/>
        <w:tblLook w:firstColumn="1" w:firstRow="1" w:lastColumn="0" w:lastRow="0" w:noHBand="0" w:noVBand="1" w:val="04A0"/>
      </w:tblPr>
      <w:tblGrid>
        <w:gridCol w:w="2880"/>
        <w:gridCol w:w="2880"/>
        <w:gridCol w:w="2880"/>
      </w:tblGrid>
      <w:tr>
        <w:tc>
          <w:tcPr>
            <w:tcW w:type="dxa" w:w="510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>
            <w:r/>
            <w:r>
              <w:rPr>
                <w:b/>
                <w:sz w:val="18"/>
              </w:rPr>
              <w:t>Položka (€)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>
            <w:pPr>
              <w:jc w:val="center"/>
            </w:pPr>
            <w:r/>
            <w:r>
              <w:rPr>
                <w:b/>
                <w:sz w:val="18"/>
              </w:rPr>
              <w:t>Bežné obdobie 2025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>
            <w:pPr>
              <w:jc w:val="center"/>
            </w:pPr>
            <w:r/>
            <w:r>
              <w:rPr>
                <w:b/>
                <w:sz w:val="18"/>
              </w:rPr>
              <w:t>Predch. obdobie 2024</w:t>
            </w:r>
          </w:p>
        </w:tc>
      </w:tr>
      <w:tr>
        <w:tc>
          <w:tcPr>
            <w:tcW w:type="dxa" w:w="510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r/>
            <w:r>
              <w:rPr>
                <w:sz w:val="18"/>
              </w:rPr>
              <w:t>Spotreba materiálu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1 687,67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0,00</w:t>
            </w:r>
          </w:p>
        </w:tc>
      </w:tr>
      <w:tr>
        <w:tc>
          <w:tcPr>
            <w:tcW w:type="dxa" w:w="510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r/>
            <w:r>
              <w:rPr>
                <w:sz w:val="18"/>
              </w:rPr>
              <w:t>Služby (vrátane telefónu)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6 086,05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0,00</w:t>
            </w:r>
          </w:p>
        </w:tc>
      </w:tr>
      <w:tr>
        <w:tc>
          <w:tcPr>
            <w:tcW w:type="dxa" w:w="510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r/>
            <w:r>
              <w:rPr>
                <w:sz w:val="18"/>
              </w:rPr>
              <w:t>Dane a poplatky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63,39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0,00</w:t>
            </w:r>
          </w:p>
        </w:tc>
      </w:tr>
      <w:tr>
        <w:tc>
          <w:tcPr>
            <w:tcW w:type="dxa" w:w="510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r/>
            <w:r>
              <w:rPr>
                <w:sz w:val="18"/>
              </w:rPr>
              <w:t>Odpisy dlhodobého hmotného majetku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1 224,66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0,00</w:t>
            </w:r>
          </w:p>
        </w:tc>
      </w:tr>
      <w:tr>
        <w:tc>
          <w:tcPr>
            <w:tcW w:type="dxa" w:w="510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r/>
            <w:r>
              <w:rPr>
                <w:sz w:val="18"/>
              </w:rPr>
              <w:t>Ostatné finančné náklady (bankové poplatky)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108,45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0,00</w:t>
            </w:r>
          </w:p>
        </w:tc>
      </w:tr>
      <w:tr>
        <w:tc>
          <w:tcPr>
            <w:tcW w:type="dxa" w:w="510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>
            <w:r/>
            <w:r>
              <w:rPr>
                <w:b/>
                <w:sz w:val="18"/>
              </w:rPr>
              <w:t>Náklady spolu (bez dane z príjmov)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>
            <w:pPr>
              <w:jc w:val="right"/>
            </w:pPr>
            <w:r/>
            <w:r>
              <w:rPr>
                <w:b/>
                <w:sz w:val="18"/>
              </w:rPr>
              <w:t>9 170,22</w:t>
            </w:r>
          </w:p>
        </w:tc>
        <w:tc>
          <w:tcPr>
            <w:tcW w:type="dxa" w:w="198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>
            <w:pPr>
              <w:jc w:val="right"/>
            </w:pPr>
            <w:r/>
            <w:r>
              <w:rPr>
                <w:b/>
                <w:sz w:val="18"/>
              </w:rPr>
              <w:t>0,00</w:t>
            </w:r>
          </w:p>
        </w:tc>
      </w:tr>
    </w:tbl>
    <w:p>
      <w:pPr>
        <w:spacing w:before="200" w:after="80"/>
      </w:pPr>
      <w:r>
        <w:rPr>
          <w:b/>
          <w:sz w:val="22"/>
        </w:rPr>
        <w:t>c) Daň z príjmov</w:t>
      </w:r>
    </w:p>
    <w:tbl>
      <w:tblPr>
        <w:tblW w:type="auto" w:w="0"/>
        <w:jc w:val="center"/>
        <w:tblLayout w:type="autofit"/>
        <w:tblLook w:firstColumn="1" w:firstRow="1" w:lastColumn="0" w:lastRow="0" w:noHBand="0" w:noVBand="1" w:val="04A0"/>
      </w:tblPr>
      <w:tblGrid>
        <w:gridCol w:w="4320"/>
        <w:gridCol w:w="4320"/>
      </w:tblGrid>
      <w:tr>
        <w:tc>
          <w:tcPr>
            <w:tcW w:type="dxa" w:w="623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>
            <w:r/>
            <w:r>
              <w:rPr>
                <w:b/>
                <w:sz w:val="18"/>
              </w:rPr>
              <w:t>Položka (€)</w:t>
            </w:r>
          </w:p>
        </w:tc>
        <w:tc>
          <w:tcPr>
            <w:tcW w:type="dxa" w:w="226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>
            <w:pPr>
              <w:jc w:val="center"/>
            </w:pPr>
            <w:r/>
            <w:r>
              <w:rPr>
                <w:b/>
                <w:sz w:val="18"/>
              </w:rPr>
              <w:t>Bežné obdobie 2025</w:t>
            </w:r>
          </w:p>
        </w:tc>
      </w:tr>
      <w:tr>
        <w:tc>
          <w:tcPr>
            <w:tcW w:type="dxa" w:w="623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r/>
            <w:r>
              <w:rPr>
                <w:sz w:val="18"/>
              </w:rPr>
              <w:t>Výsledok hospodárenia pred zdanením</w:t>
            </w:r>
          </w:p>
        </w:tc>
        <w:tc>
          <w:tcPr>
            <w:tcW w:type="dxa" w:w="226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-2 255,22</w:t>
            </w:r>
          </w:p>
        </w:tc>
      </w:tr>
      <w:tr>
        <w:tc>
          <w:tcPr>
            <w:tcW w:type="dxa" w:w="623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r/>
            <w:r>
              <w:rPr>
                <w:sz w:val="18"/>
              </w:rPr>
              <w:t>Daň z príjmov (minimálna daň)</w:t>
            </w:r>
          </w:p>
        </w:tc>
        <w:tc>
          <w:tcPr>
            <w:tcW w:type="dxa" w:w="226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jc w:val="right"/>
            </w:pPr>
            <w:r/>
            <w:r>
              <w:rPr>
                <w:sz w:val="18"/>
              </w:rPr>
              <w:t>340,00</w:t>
            </w:r>
          </w:p>
        </w:tc>
      </w:tr>
      <w:tr>
        <w:tc>
          <w:tcPr>
            <w:tcW w:type="dxa" w:w="623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>
            <w:r/>
            <w:r>
              <w:rPr>
                <w:b/>
                <w:sz w:val="18"/>
              </w:rPr>
              <w:t>Výsledok hospodárenia po zdanení</w:t>
            </w:r>
          </w:p>
        </w:tc>
        <w:tc>
          <w:tcPr>
            <w:tcW w:type="dxa" w:w="226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>
            <w:pPr>
              <w:jc w:val="right"/>
            </w:pPr>
            <w:r/>
            <w:r>
              <w:rPr>
                <w:b/>
                <w:sz w:val="18"/>
              </w:rPr>
              <w:t>-2 595,22</w:t>
            </w:r>
          </w:p>
        </w:tc>
      </w:tr>
    </w:tbl>
    <w:p>
      <w:pPr>
        <w:spacing w:after="80"/>
        <w:jc w:val="both"/>
      </w:pPr>
      <w:r>
        <w:rPr>
          <w:b w:val="0"/>
          <w:i/>
          <w:sz w:val="18"/>
        </w:rPr>
        <w:t>Spoločnosť za rok 2025 dosiahla stratu; vykázaná daň z príjmov predstavuje minimálnu daň právnickej osoby.</w:t>
      </w:r>
    </w:p>
    <w:p>
      <w:pPr>
        <w:spacing w:before="200" w:after="80"/>
      </w:pPr>
      <w:r>
        <w:rPr>
          <w:b/>
          <w:sz w:val="24"/>
        </w:rPr>
        <w:t>Čl. V – Informácie o iných skutočnostiach</w:t>
      </w:r>
    </w:p>
    <w:p>
      <w:pPr>
        <w:spacing w:after="80"/>
        <w:jc w:val="both"/>
      </w:pPr>
      <w:r>
        <w:rPr>
          <w:b w:val="0"/>
          <w:i w:val="0"/>
          <w:sz w:val="20"/>
        </w:rPr>
        <w:t>Ekonomické vzťahy so spriaznenými osobami: Spoločník (konateľ) v priebehu účtovného obdobia vložil/poskytol spoločnosti peňažné prostriedky na financovanie jej činnosti. K 31. 12. 2025 sú tieto prostriedky vykázané ako záväzok voči spoločníkovi vo výške 21 215,00 €.</w:t>
      </w:r>
    </w:p>
    <w:p>
      <w:pPr>
        <w:spacing w:after="80"/>
        <w:jc w:val="both"/>
      </w:pPr>
      <w:r>
        <w:rPr>
          <w:b w:val="0"/>
          <w:i w:val="0"/>
          <w:sz w:val="20"/>
        </w:rPr>
        <w:t>Po dni, ku ktorému sa zostavuje účtovná závierka, nenastali udalosti osobitného významu, ktoré by si vyžadovali úpravu alebo doplnenie údajov v účtovnej závierke.</w:t>
      </w:r>
    </w:p>
    <w:p>
      <w:pPr>
        <w:spacing w:after="80"/>
        <w:jc w:val="both"/>
      </w:pPr>
      <w:r>
        <w:rPr>
          <w:b w:val="0"/>
          <w:i w:val="0"/>
          <w:sz w:val="20"/>
        </w:rPr>
        <w:t>Účtovná jednotka nemá podmienené záväzky ani iné finančné povinnosti nezaúčtované v súvahe nad rámec bežnej činnosti.</w:t>
      </w:r>
    </w:p>
    <w:p>
      <w:pPr>
        <w:spacing w:after="80"/>
        <w:jc w:val="both"/>
      </w:pPr>
      <w:r>
        <w:rPr>
          <w:b w:val="0"/>
          <w:i w:val="0"/>
          <w:sz w:val="20"/>
        </w:rPr>
      </w:r>
    </w:p>
    <w:p>
      <w:r>
        <w:rPr>
          <w:sz w:val="18"/>
        </w:rPr>
        <w:t>Zostavené dňa: ......................                Zostavil/a: ......................                Štatutárny orgán: ......................</w:t>
      </w:r>
    </w:p>
    <w:sectPr w:rsidR="00FC693F" w:rsidRPr="0006063C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  <w:rPr>
      <w:rFonts w:ascii="Times New Roman" w:hAnsi="Times New Roman"/>
      <w:sz w:val="20"/>
    </w:rPr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