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33532C">
      <w:pPr>
        <w:pStyle w:val="13"/>
      </w:pPr>
    </w:p>
    <w:p w14:paraId="470A8A4A">
      <w:pPr>
        <w:pStyle w:val="13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Úč MÚJ 3 - 01                      IČO: 46337466                          DIČ:2023335039 </w:t>
      </w:r>
    </w:p>
    <w:p w14:paraId="030B12C2">
      <w:pPr>
        <w:pStyle w:val="13"/>
        <w:rPr>
          <w:color w:val="auto"/>
        </w:rPr>
      </w:pPr>
      <w:r>
        <w:rPr>
          <w:color w:val="auto"/>
        </w:rPr>
        <w:t xml:space="preserve"> </w:t>
      </w:r>
    </w:p>
    <w:p w14:paraId="6A362D4A">
      <w:pPr>
        <w:pStyle w:val="13"/>
        <w:rPr>
          <w:color w:val="auto"/>
        </w:rPr>
      </w:pPr>
    </w:p>
    <w:p w14:paraId="783164E2">
      <w:pPr>
        <w:pStyle w:val="13"/>
        <w:rPr>
          <w:color w:val="auto"/>
        </w:rPr>
      </w:pPr>
    </w:p>
    <w:p w14:paraId="5ADB4875">
      <w:pPr>
        <w:pStyle w:val="13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977A240">
      <w:pPr>
        <w:pStyle w:val="13"/>
        <w:rPr>
          <w:color w:val="auto"/>
          <w:sz w:val="23"/>
          <w:szCs w:val="23"/>
        </w:rPr>
      </w:pPr>
    </w:p>
    <w:p w14:paraId="770A583B">
      <w:pPr>
        <w:pStyle w:val="13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účtovnej jednotky: </w:t>
      </w:r>
      <w:r>
        <w:rPr>
          <w:b/>
          <w:color w:val="auto"/>
          <w:sz w:val="28"/>
          <w:szCs w:val="28"/>
        </w:rPr>
        <w:t>efair4you, s.r.o.</w:t>
      </w:r>
    </w:p>
    <w:p w14:paraId="6D983163">
      <w:pPr>
        <w:pStyle w:val="13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02AB8F64">
      <w:pPr>
        <w:pStyle w:val="13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Zapísaná do Obchodného registra  Okresného súdu Bratislava I, oddiel s.r.o., vložka číslo 75668/B,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     dňa 10.09.2011</w:t>
      </w:r>
    </w:p>
    <w:p w14:paraId="01891561">
      <w:pPr>
        <w:pStyle w:val="13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Štatutárny orgán: Katarína Tallová, vznik funkcie od 10.09.2011</w:t>
      </w:r>
    </w:p>
    <w:p w14:paraId="13ADF8D9">
      <w:pPr>
        <w:pStyle w:val="13"/>
        <w:rPr>
          <w:color w:val="auto"/>
          <w:sz w:val="23"/>
          <w:szCs w:val="23"/>
        </w:rPr>
      </w:pPr>
    </w:p>
    <w:p w14:paraId="0305CECC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nemá zamestnancov. </w:t>
      </w:r>
    </w:p>
    <w:p w14:paraId="10DB24E9">
      <w:pPr>
        <w:pStyle w:val="13"/>
        <w:rPr>
          <w:color w:val="auto"/>
          <w:sz w:val="23"/>
          <w:szCs w:val="23"/>
        </w:rPr>
      </w:pPr>
    </w:p>
    <w:p w14:paraId="12FB2FD8">
      <w:pPr>
        <w:pStyle w:val="13"/>
        <w:rPr>
          <w:color w:val="auto"/>
          <w:sz w:val="23"/>
          <w:szCs w:val="23"/>
        </w:rPr>
      </w:pPr>
    </w:p>
    <w:p w14:paraId="4223AA94">
      <w:pPr>
        <w:pStyle w:val="13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D53CAF3">
      <w:pPr>
        <w:pStyle w:val="13"/>
        <w:rPr>
          <w:color w:val="auto"/>
          <w:sz w:val="23"/>
          <w:szCs w:val="23"/>
        </w:rPr>
      </w:pPr>
    </w:p>
    <w:p w14:paraId="317717FE">
      <w:pPr>
        <w:pStyle w:val="13"/>
        <w:rPr>
          <w:color w:val="auto"/>
          <w:sz w:val="23"/>
          <w:szCs w:val="23"/>
        </w:rPr>
      </w:pPr>
      <w:r>
        <w:rPr>
          <w:rFonts w:hint="default"/>
          <w:color w:val="auto"/>
          <w:sz w:val="23"/>
          <w:szCs w:val="23"/>
          <w:lang w:val="sk-SK"/>
        </w:rPr>
        <w:t>Ú</w:t>
      </w:r>
      <w:r>
        <w:rPr>
          <w:color w:val="auto"/>
          <w:sz w:val="23"/>
          <w:szCs w:val="23"/>
          <w:lang w:val="sk-SK"/>
        </w:rPr>
        <w:t>čtovná</w:t>
      </w:r>
      <w:r>
        <w:rPr>
          <w:color w:val="auto"/>
          <w:sz w:val="23"/>
          <w:szCs w:val="23"/>
        </w:rPr>
        <w:t xml:space="preserve"> závierka je zostavená  k 31.12.202</w:t>
      </w:r>
      <w:r>
        <w:rPr>
          <w:rFonts w:hint="default"/>
          <w:color w:val="auto"/>
          <w:sz w:val="23"/>
          <w:szCs w:val="23"/>
          <w:lang w:val="sk-SK"/>
        </w:rPr>
        <w:t>5</w:t>
      </w:r>
      <w:r>
        <w:rPr>
          <w:color w:val="auto"/>
          <w:sz w:val="23"/>
          <w:szCs w:val="23"/>
        </w:rPr>
        <w:t xml:space="preserve"> za účtovné obdobie rok 202</w:t>
      </w:r>
      <w:r>
        <w:rPr>
          <w:rFonts w:hint="default"/>
          <w:color w:val="auto"/>
          <w:sz w:val="23"/>
          <w:szCs w:val="23"/>
          <w:lang w:val="sk-SK"/>
        </w:rPr>
        <w:t>5</w:t>
      </w:r>
      <w:r>
        <w:rPr>
          <w:color w:val="auto"/>
          <w:sz w:val="23"/>
          <w:szCs w:val="23"/>
        </w:rPr>
        <w:t xml:space="preserve"> a ÚJ bude nepretržite pokračovať vo svojej činnosti. </w:t>
      </w:r>
    </w:p>
    <w:p w14:paraId="3B0DB89B">
      <w:pPr>
        <w:pStyle w:val="13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neúčtuje o nehmotnom ani dlhodobom hmotnom majetku a ani o dlhodobom finančnom majetku</w:t>
      </w:r>
    </w:p>
    <w:p w14:paraId="186FE748">
      <w:pPr>
        <w:pStyle w:val="13"/>
        <w:rPr>
          <w:color w:val="auto"/>
          <w:sz w:val="23"/>
          <w:szCs w:val="23"/>
        </w:rPr>
      </w:pPr>
    </w:p>
    <w:p w14:paraId="180867E3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pohľadávok a záväzkov, a to </w:t>
      </w:r>
    </w:p>
    <w:p w14:paraId="158621D2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pohľadávok -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pohľadávky oceňujú menovitou hodnotou</w:t>
      </w:r>
    </w:p>
    <w:p w14:paraId="55CC2B29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záväzkov vrátane rezerv -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záväzky oceňujú menovitou     hodnotou</w:t>
      </w:r>
    </w:p>
    <w:p w14:paraId="14A0B4BD">
      <w:pPr>
        <w:pStyle w:val="13"/>
        <w:spacing w:after="27"/>
        <w:rPr>
          <w:color w:val="auto"/>
          <w:sz w:val="23"/>
          <w:szCs w:val="23"/>
        </w:rPr>
      </w:pPr>
    </w:p>
    <w:p w14:paraId="74427F43">
      <w:pPr>
        <w:pStyle w:val="13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neúčtovala o významných opravách chýb minulých účtovných období v bežnom účtovnom období, nakoľko nenastala dôvodná skutočnosť pre ich účtovanie.</w:t>
      </w:r>
    </w:p>
    <w:p w14:paraId="36192DEB">
      <w:pPr>
        <w:pStyle w:val="13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Hospodársky výsledok za rok 202</w:t>
      </w:r>
      <w:r>
        <w:rPr>
          <w:rFonts w:hint="default"/>
          <w:color w:val="auto"/>
          <w:sz w:val="23"/>
          <w:szCs w:val="23"/>
          <w:lang w:val="sk-SK"/>
        </w:rPr>
        <w:t>4</w:t>
      </w:r>
      <w:r>
        <w:rPr>
          <w:color w:val="auto"/>
          <w:sz w:val="23"/>
          <w:szCs w:val="23"/>
        </w:rPr>
        <w:t xml:space="preserve"> bol zaúčtovaný v prospech účtu </w:t>
      </w:r>
      <w:r>
        <w:rPr>
          <w:rFonts w:hint="default"/>
          <w:color w:val="auto"/>
          <w:sz w:val="23"/>
          <w:szCs w:val="23"/>
          <w:lang w:val="sk-SK"/>
        </w:rPr>
        <w:t>strata</w:t>
      </w:r>
      <w:r>
        <w:rPr>
          <w:color w:val="auto"/>
          <w:sz w:val="23"/>
          <w:szCs w:val="23"/>
        </w:rPr>
        <w:t xml:space="preserve"> minulých rokov. </w:t>
      </w:r>
    </w:p>
    <w:p w14:paraId="7F035E85">
      <w:pPr>
        <w:pStyle w:val="13"/>
        <w:rPr>
          <w:color w:val="auto"/>
          <w:sz w:val="23"/>
          <w:szCs w:val="23"/>
        </w:rPr>
      </w:pPr>
    </w:p>
    <w:p w14:paraId="3F4DFF77">
      <w:pPr>
        <w:pStyle w:val="13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2E4E487B">
      <w:pPr>
        <w:pStyle w:val="13"/>
        <w:rPr>
          <w:color w:val="auto"/>
          <w:sz w:val="23"/>
          <w:szCs w:val="23"/>
        </w:rPr>
      </w:pPr>
    </w:p>
    <w:p w14:paraId="0C3F5EC5">
      <w:pPr>
        <w:pStyle w:val="13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peňažných prostriedkoch:</w:t>
      </w:r>
    </w:p>
    <w:p w14:paraId="76235500">
      <w:pPr>
        <w:pStyle w:val="13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pokladňa EUR –</w:t>
      </w:r>
      <w:r>
        <w:rPr>
          <w:rFonts w:hint="default"/>
          <w:color w:val="auto"/>
          <w:sz w:val="23"/>
          <w:szCs w:val="23"/>
          <w:lang w:val="sk-SK"/>
        </w:rPr>
        <w:t xml:space="preserve">12187,15 </w:t>
      </w:r>
      <w:r>
        <w:rPr>
          <w:color w:val="auto"/>
          <w:sz w:val="23"/>
          <w:szCs w:val="23"/>
        </w:rPr>
        <w:t>eur</w:t>
      </w:r>
    </w:p>
    <w:p w14:paraId="4480CBFF">
      <w:pPr>
        <w:pStyle w:val="13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bankový účet Tatra banka –</w:t>
      </w:r>
      <w:r>
        <w:rPr>
          <w:rFonts w:hint="default"/>
          <w:color w:val="auto"/>
          <w:sz w:val="23"/>
          <w:szCs w:val="23"/>
          <w:lang w:val="sk-SK"/>
        </w:rPr>
        <w:t xml:space="preserve">20,04 </w:t>
      </w:r>
      <w:r>
        <w:rPr>
          <w:color w:val="auto"/>
          <w:sz w:val="23"/>
          <w:szCs w:val="23"/>
        </w:rPr>
        <w:t>eur</w:t>
      </w:r>
    </w:p>
    <w:p w14:paraId="1C1EDE2A">
      <w:pPr>
        <w:pStyle w:val="13"/>
        <w:rPr>
          <w:color w:val="auto"/>
          <w:sz w:val="23"/>
          <w:szCs w:val="23"/>
        </w:rPr>
      </w:pPr>
    </w:p>
    <w:p w14:paraId="673DB3A4">
      <w:pPr>
        <w:pStyle w:val="13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 xml:space="preserve">Informácie o záväzkoch, a to </w:t>
      </w:r>
    </w:p>
    <w:p w14:paraId="2A5AABA0">
      <w:pPr>
        <w:pStyle w:val="13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záväzkov z obchodného styku so zostatkovou dobou splatnosti kratšou </w:t>
      </w:r>
      <w:r>
        <w:rPr>
          <w:rFonts w:hint="default"/>
          <w:color w:val="auto"/>
          <w:sz w:val="23"/>
          <w:szCs w:val="23"/>
          <w:lang w:val="sk-SK"/>
        </w:rPr>
        <w:t xml:space="preserve">                         </w:t>
      </w:r>
      <w:r>
        <w:rPr>
          <w:color w:val="auto"/>
          <w:sz w:val="23"/>
          <w:szCs w:val="23"/>
        </w:rPr>
        <w:t>ako 1 rok –</w:t>
      </w:r>
      <w:r>
        <w:rPr>
          <w:rFonts w:hint="default"/>
          <w:color w:val="auto"/>
          <w:sz w:val="23"/>
          <w:szCs w:val="23"/>
          <w:lang w:val="sk-SK"/>
        </w:rPr>
        <w:t xml:space="preserve"> 0,00</w:t>
      </w:r>
      <w:r>
        <w:rPr>
          <w:color w:val="auto"/>
          <w:sz w:val="23"/>
          <w:szCs w:val="23"/>
        </w:rPr>
        <w:t xml:space="preserve"> eur</w:t>
      </w:r>
    </w:p>
    <w:p w14:paraId="3E142346">
      <w:pPr>
        <w:pStyle w:val="13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</w:p>
    <w:p w14:paraId="0DAEDC89">
      <w:pPr>
        <w:pStyle w:val="13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</w:t>
      </w:r>
      <w:r>
        <w:rPr>
          <w:rFonts w:hint="default"/>
          <w:color w:val="auto"/>
          <w:sz w:val="23"/>
          <w:szCs w:val="23"/>
          <w:u w:val="single"/>
          <w:lang w:val="sk-SK"/>
        </w:rPr>
        <w:t>nákladoch budúcich období</w:t>
      </w:r>
      <w:r>
        <w:rPr>
          <w:color w:val="auto"/>
          <w:sz w:val="23"/>
          <w:szCs w:val="23"/>
          <w:u w:val="single"/>
        </w:rPr>
        <w:t xml:space="preserve">, a to </w:t>
      </w:r>
    </w:p>
    <w:p w14:paraId="5F7B2395">
      <w:pPr>
        <w:pStyle w:val="13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</w:t>
      </w:r>
      <w:r>
        <w:rPr>
          <w:rFonts w:hint="default"/>
          <w:color w:val="auto"/>
          <w:sz w:val="23"/>
          <w:szCs w:val="23"/>
          <w:lang w:val="sk-SK"/>
        </w:rPr>
        <w:t>nákladov budúcich období 0,00</w:t>
      </w:r>
      <w:r>
        <w:rPr>
          <w:color w:val="auto"/>
          <w:sz w:val="23"/>
          <w:szCs w:val="23"/>
        </w:rPr>
        <w:t xml:space="preserve"> eur</w:t>
      </w:r>
    </w:p>
    <w:p w14:paraId="428AC36E">
      <w:pPr>
        <w:pStyle w:val="13"/>
        <w:spacing w:after="27"/>
        <w:rPr>
          <w:color w:val="auto"/>
          <w:sz w:val="23"/>
          <w:szCs w:val="23"/>
        </w:rPr>
      </w:pPr>
    </w:p>
    <w:p w14:paraId="2DD6778F">
      <w:pPr>
        <w:pStyle w:val="13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</w:t>
      </w:r>
      <w:r>
        <w:rPr>
          <w:rFonts w:hint="default"/>
          <w:color w:val="auto"/>
          <w:sz w:val="23"/>
          <w:szCs w:val="23"/>
          <w:u w:val="single"/>
          <w:lang w:val="sk-SK"/>
        </w:rPr>
        <w:t>záväzkoch</w:t>
      </w:r>
      <w:r>
        <w:rPr>
          <w:color w:val="auto"/>
          <w:sz w:val="23"/>
          <w:szCs w:val="23"/>
          <w:u w:val="single"/>
        </w:rPr>
        <w:t xml:space="preserve">, a to </w:t>
      </w:r>
    </w:p>
    <w:p w14:paraId="564B3432">
      <w:pPr>
        <w:pStyle w:val="13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daňových </w:t>
      </w:r>
      <w:r>
        <w:rPr>
          <w:rFonts w:hint="default"/>
          <w:color w:val="auto"/>
          <w:sz w:val="23"/>
          <w:szCs w:val="23"/>
          <w:lang w:val="sk-SK"/>
        </w:rPr>
        <w:t xml:space="preserve">záväzkov </w:t>
      </w:r>
      <w:r>
        <w:rPr>
          <w:color w:val="auto"/>
          <w:sz w:val="23"/>
          <w:szCs w:val="23"/>
        </w:rPr>
        <w:t>–</w:t>
      </w:r>
      <w:r>
        <w:rPr>
          <w:rFonts w:hint="default"/>
          <w:color w:val="auto"/>
          <w:sz w:val="23"/>
          <w:szCs w:val="23"/>
          <w:lang w:val="sk-SK"/>
        </w:rPr>
        <w:t>340</w:t>
      </w:r>
      <w:r>
        <w:rPr>
          <w:color w:val="auto"/>
          <w:sz w:val="23"/>
          <w:szCs w:val="23"/>
        </w:rPr>
        <w:t>,</w:t>
      </w:r>
      <w:r>
        <w:rPr>
          <w:rFonts w:hint="default"/>
          <w:color w:val="auto"/>
          <w:sz w:val="23"/>
          <w:szCs w:val="23"/>
          <w:lang w:val="sk-SK"/>
        </w:rPr>
        <w:t>00</w:t>
      </w:r>
      <w:r>
        <w:rPr>
          <w:color w:val="auto"/>
          <w:sz w:val="23"/>
          <w:szCs w:val="23"/>
        </w:rPr>
        <w:t xml:space="preserve"> eur</w:t>
      </w:r>
    </w:p>
    <w:p w14:paraId="4D902489">
      <w:pPr>
        <w:pStyle w:val="13"/>
        <w:spacing w:after="27"/>
        <w:rPr>
          <w:color w:val="auto"/>
          <w:sz w:val="23"/>
          <w:szCs w:val="23"/>
        </w:rPr>
      </w:pPr>
    </w:p>
    <w:p w14:paraId="7376DA9C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  <w:u w:val="single"/>
        </w:rPr>
        <w:t>Informácie o základnom ímaní</w:t>
      </w:r>
      <w:r>
        <w:rPr>
          <w:color w:val="auto"/>
          <w:sz w:val="23"/>
          <w:szCs w:val="23"/>
        </w:rPr>
        <w:t>: Vklad: 5000 eur</w:t>
      </w:r>
    </w:p>
    <w:p w14:paraId="31AD896F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   Splatené: 5000 eur </w:t>
      </w:r>
    </w:p>
    <w:p w14:paraId="697E3D6A">
      <w:pPr>
        <w:pStyle w:val="13"/>
        <w:spacing w:after="27"/>
        <w:rPr>
          <w:color w:val="auto"/>
          <w:sz w:val="23"/>
          <w:szCs w:val="23"/>
        </w:rPr>
      </w:pPr>
    </w:p>
    <w:p w14:paraId="2B070066">
      <w:pPr>
        <w:pStyle w:val="13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nerozdelenom zisku a strate minulých rokov:</w:t>
      </w:r>
    </w:p>
    <w:p w14:paraId="46A70A51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Neuhradená strata minulých rokov 2013 – 74,67 eur</w:t>
      </w:r>
    </w:p>
    <w:p w14:paraId="1143A749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Neuhradená strata minulých rokov 2014 – 105,88 eur</w:t>
      </w:r>
    </w:p>
    <w:p w14:paraId="6B755789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Nerozdelený zisk minulých rokov 2015 – 4096,28 eur</w:t>
      </w:r>
    </w:p>
    <w:p w14:paraId="0FAC0F92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Nerozdelený zisk minulých rokov 2016 – 3222,90 eur</w:t>
      </w:r>
    </w:p>
    <w:p w14:paraId="56DDFDA0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Neuhradená strata minulých rokov 2017 – 1496,74 eur</w:t>
      </w:r>
    </w:p>
    <w:p w14:paraId="03CFD19F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Nerozdelený zisk minulých rokov 2018 – 1848,68 eur</w:t>
      </w:r>
    </w:p>
    <w:p w14:paraId="170450EC">
      <w:pPr>
        <w:pStyle w:val="13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Neuhradená strata minulých rokov 2019 – 818,91 eur</w:t>
      </w:r>
    </w:p>
    <w:p w14:paraId="29E36021">
      <w:pPr>
        <w:pStyle w:val="13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Nerozdelený zisk minulých rokov 2020 – 3283,64 eur</w:t>
      </w:r>
    </w:p>
    <w:p w14:paraId="2F26597C">
      <w:pPr>
        <w:pStyle w:val="13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Nerozdelený zisk minulých rokov 2021 – 1663,51eur</w:t>
      </w:r>
    </w:p>
    <w:p w14:paraId="189186D4">
      <w:pPr>
        <w:pStyle w:val="13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Neuhradená strata minulých rokov 20</w:t>
      </w:r>
      <w:r>
        <w:rPr>
          <w:rFonts w:hint="default"/>
          <w:color w:val="auto"/>
          <w:sz w:val="23"/>
          <w:szCs w:val="23"/>
          <w:lang w:val="sk-SK"/>
        </w:rPr>
        <w:t>22</w:t>
      </w:r>
      <w:r>
        <w:rPr>
          <w:color w:val="auto"/>
          <w:sz w:val="23"/>
          <w:szCs w:val="23"/>
        </w:rPr>
        <w:t xml:space="preserve"> – </w:t>
      </w:r>
      <w:r>
        <w:rPr>
          <w:rFonts w:hint="default"/>
          <w:color w:val="auto"/>
          <w:sz w:val="23"/>
          <w:szCs w:val="23"/>
          <w:lang w:val="sk-SK"/>
        </w:rPr>
        <w:t>665,79</w:t>
      </w:r>
      <w:r>
        <w:rPr>
          <w:color w:val="auto"/>
          <w:sz w:val="23"/>
          <w:szCs w:val="23"/>
        </w:rPr>
        <w:t xml:space="preserve"> eur</w:t>
      </w:r>
    </w:p>
    <w:p w14:paraId="0D2B42EE">
      <w:pPr>
        <w:pStyle w:val="13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Neuhradená strata minulých rokov 20</w:t>
      </w:r>
      <w:r>
        <w:rPr>
          <w:rFonts w:hint="default"/>
          <w:color w:val="auto"/>
          <w:sz w:val="23"/>
          <w:szCs w:val="23"/>
          <w:lang w:val="sk-SK"/>
        </w:rPr>
        <w:t>23</w:t>
      </w:r>
      <w:r>
        <w:rPr>
          <w:color w:val="auto"/>
          <w:sz w:val="23"/>
          <w:szCs w:val="23"/>
        </w:rPr>
        <w:t xml:space="preserve"> – </w:t>
      </w:r>
      <w:r>
        <w:rPr>
          <w:rFonts w:hint="default"/>
          <w:color w:val="auto"/>
          <w:sz w:val="23"/>
          <w:szCs w:val="23"/>
          <w:lang w:val="sk-SK"/>
        </w:rPr>
        <w:t>2402,58</w:t>
      </w:r>
      <w:r>
        <w:rPr>
          <w:color w:val="auto"/>
          <w:sz w:val="23"/>
          <w:szCs w:val="23"/>
        </w:rPr>
        <w:t xml:space="preserve"> eur</w:t>
      </w:r>
    </w:p>
    <w:p w14:paraId="318EB597">
      <w:pPr>
        <w:pStyle w:val="13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Neuhradená strata minulých rokov 20</w:t>
      </w:r>
      <w:r>
        <w:rPr>
          <w:rFonts w:hint="default"/>
          <w:color w:val="auto"/>
          <w:sz w:val="23"/>
          <w:szCs w:val="23"/>
          <w:lang w:val="sk-SK"/>
        </w:rPr>
        <w:t>24</w:t>
      </w:r>
      <w:r>
        <w:rPr>
          <w:color w:val="auto"/>
          <w:sz w:val="23"/>
          <w:szCs w:val="23"/>
        </w:rPr>
        <w:t xml:space="preserve"> – </w:t>
      </w:r>
      <w:r>
        <w:rPr>
          <w:rFonts w:hint="default"/>
          <w:color w:val="auto"/>
          <w:sz w:val="23"/>
          <w:szCs w:val="23"/>
          <w:lang w:val="sk-SK"/>
        </w:rPr>
        <w:t>782,98</w:t>
      </w:r>
      <w:r>
        <w:rPr>
          <w:color w:val="auto"/>
          <w:sz w:val="23"/>
          <w:szCs w:val="23"/>
        </w:rPr>
        <w:t xml:space="preserve"> eur</w:t>
      </w:r>
    </w:p>
    <w:p w14:paraId="2FE7D24E">
      <w:pPr>
        <w:pStyle w:val="13"/>
        <w:spacing w:after="27"/>
        <w:ind w:firstLine="708"/>
        <w:rPr>
          <w:color w:val="auto"/>
          <w:sz w:val="23"/>
          <w:szCs w:val="23"/>
        </w:rPr>
      </w:pPr>
    </w:p>
    <w:p w14:paraId="5F7E8735">
      <w:pPr>
        <w:pStyle w:val="13"/>
        <w:spacing w:after="27"/>
        <w:ind w:firstLine="708"/>
        <w:rPr>
          <w:color w:val="auto"/>
          <w:sz w:val="23"/>
          <w:szCs w:val="23"/>
        </w:rPr>
      </w:pPr>
    </w:p>
    <w:p w14:paraId="4C6ADE96">
      <w:pPr>
        <w:pStyle w:val="13"/>
        <w:spacing w:after="27"/>
        <w:ind w:firstLine="708"/>
        <w:rPr>
          <w:color w:val="auto"/>
          <w:sz w:val="23"/>
          <w:szCs w:val="23"/>
        </w:rPr>
      </w:pPr>
    </w:p>
    <w:p w14:paraId="1D57B5B3">
      <w:pPr>
        <w:pStyle w:val="13"/>
        <w:spacing w:after="27"/>
        <w:rPr>
          <w:color w:val="auto"/>
          <w:sz w:val="23"/>
          <w:szCs w:val="23"/>
        </w:rPr>
      </w:pPr>
    </w:p>
    <w:p w14:paraId="48E24DF2">
      <w:pPr>
        <w:pStyle w:val="13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 o nákladoch:</w:t>
      </w:r>
    </w:p>
    <w:p w14:paraId="082F80C2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Najvýznamnejšie položky: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Náklady na telefón a internet -</w:t>
      </w:r>
      <w:r>
        <w:rPr>
          <w:rFonts w:hint="default"/>
          <w:color w:val="auto"/>
          <w:sz w:val="23"/>
          <w:szCs w:val="23"/>
          <w:lang w:val="sk-SK"/>
        </w:rPr>
        <w:t>1833,36</w:t>
      </w:r>
      <w:r>
        <w:rPr>
          <w:color w:val="auto"/>
          <w:sz w:val="23"/>
          <w:szCs w:val="23"/>
        </w:rPr>
        <w:t xml:space="preserve"> eur</w:t>
      </w:r>
    </w:p>
    <w:p w14:paraId="07633129">
      <w:pPr>
        <w:pStyle w:val="13"/>
        <w:spacing w:after="27"/>
        <w:ind w:left="2832" w:firstLine="708"/>
        <w:rPr>
          <w:rFonts w:hint="default"/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</w:rPr>
        <w:t xml:space="preserve">Bankové poplatky – </w:t>
      </w:r>
      <w:r>
        <w:rPr>
          <w:rFonts w:hint="default"/>
          <w:color w:val="auto"/>
          <w:sz w:val="23"/>
          <w:szCs w:val="23"/>
          <w:lang w:val="sk-SK"/>
        </w:rPr>
        <w:t>84,00 eu</w:t>
      </w:r>
      <w:r>
        <w:rPr>
          <w:color w:val="auto"/>
          <w:sz w:val="23"/>
          <w:szCs w:val="23"/>
        </w:rPr>
        <w:t>r</w:t>
      </w:r>
    </w:p>
    <w:p w14:paraId="09BB1C2E">
      <w:pPr>
        <w:pStyle w:val="13"/>
        <w:spacing w:after="27"/>
        <w:ind w:left="2832" w:firstLine="708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Cestovné - 771,73 eur</w:t>
      </w:r>
    </w:p>
    <w:p w14:paraId="30635D63">
      <w:pPr>
        <w:pStyle w:val="13"/>
        <w:spacing w:after="27"/>
        <w:ind w:left="2832" w:firstLine="708"/>
        <w:rPr>
          <w:color w:val="auto"/>
          <w:sz w:val="23"/>
          <w:szCs w:val="23"/>
        </w:rPr>
      </w:pPr>
    </w:p>
    <w:p w14:paraId="6F026120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  <w:u w:val="single"/>
        </w:rPr>
        <w:t xml:space="preserve">Informácie o výnosoch:  </w:t>
      </w:r>
      <w:r>
        <w:rPr>
          <w:color w:val="auto"/>
          <w:sz w:val="23"/>
          <w:szCs w:val="23"/>
        </w:rPr>
        <w:t xml:space="preserve">Tržby za </w:t>
      </w:r>
      <w:r>
        <w:rPr>
          <w:rFonts w:hint="default"/>
          <w:color w:val="auto"/>
          <w:sz w:val="23"/>
          <w:szCs w:val="23"/>
          <w:lang w:val="sk-SK"/>
        </w:rPr>
        <w:t>sprostredkovanie predaja - 5147,40</w:t>
      </w:r>
      <w:bookmarkStart w:id="0" w:name="_GoBack"/>
      <w:bookmarkEnd w:id="0"/>
      <w:r>
        <w:rPr>
          <w:color w:val="auto"/>
          <w:sz w:val="23"/>
          <w:szCs w:val="23"/>
        </w:rPr>
        <w:t xml:space="preserve"> eur</w:t>
      </w:r>
    </w:p>
    <w:p w14:paraId="769AF291">
      <w:pPr>
        <w:pStyle w:val="13"/>
        <w:spacing w:after="27"/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    </w:t>
      </w:r>
    </w:p>
    <w:sectPr>
      <w:pgSz w:w="11906" w:h="17340"/>
      <w:pgMar w:top="426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onsolas">
    <w:panose1 w:val="020B0609020204030204"/>
    <w:charset w:val="EE"/>
    <w:family w:val="modern"/>
    <w:pitch w:val="default"/>
    <w:sig w:usb0="E00006FF" w:usb1="0000FCFF" w:usb2="00000001" w:usb3="00000000" w:csb0="6000019F" w:csb1="DFD7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475B7C"/>
    <w:multiLevelType w:val="multilevel"/>
    <w:tmpl w:val="07475B7C"/>
    <w:lvl w:ilvl="0" w:tentative="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298" w:hanging="360"/>
      </w:pPr>
    </w:lvl>
    <w:lvl w:ilvl="2" w:tentative="0">
      <w:start w:val="1"/>
      <w:numFmt w:val="lowerRoman"/>
      <w:lvlText w:val="%3."/>
      <w:lvlJc w:val="right"/>
      <w:pPr>
        <w:ind w:left="2018" w:hanging="180"/>
      </w:pPr>
    </w:lvl>
    <w:lvl w:ilvl="3" w:tentative="0">
      <w:start w:val="1"/>
      <w:numFmt w:val="decimal"/>
      <w:lvlText w:val="%4."/>
      <w:lvlJc w:val="left"/>
      <w:pPr>
        <w:ind w:left="2738" w:hanging="360"/>
      </w:pPr>
    </w:lvl>
    <w:lvl w:ilvl="4" w:tentative="0">
      <w:start w:val="1"/>
      <w:numFmt w:val="lowerLetter"/>
      <w:lvlText w:val="%5."/>
      <w:lvlJc w:val="left"/>
      <w:pPr>
        <w:ind w:left="3458" w:hanging="360"/>
      </w:pPr>
    </w:lvl>
    <w:lvl w:ilvl="5" w:tentative="0">
      <w:start w:val="1"/>
      <w:numFmt w:val="lowerRoman"/>
      <w:lvlText w:val="%6."/>
      <w:lvlJc w:val="right"/>
      <w:pPr>
        <w:ind w:left="4178" w:hanging="180"/>
      </w:pPr>
    </w:lvl>
    <w:lvl w:ilvl="6" w:tentative="0">
      <w:start w:val="1"/>
      <w:numFmt w:val="decimal"/>
      <w:lvlText w:val="%7."/>
      <w:lvlJc w:val="left"/>
      <w:pPr>
        <w:ind w:left="4898" w:hanging="360"/>
      </w:pPr>
    </w:lvl>
    <w:lvl w:ilvl="7" w:tentative="0">
      <w:start w:val="1"/>
      <w:numFmt w:val="lowerLetter"/>
      <w:lvlText w:val="%8."/>
      <w:lvlJc w:val="left"/>
      <w:pPr>
        <w:ind w:left="5618" w:hanging="360"/>
      </w:pPr>
    </w:lvl>
    <w:lvl w:ilvl="8" w:tentative="0">
      <w:start w:val="1"/>
      <w:numFmt w:val="lowerRoman"/>
      <w:lvlText w:val="%9."/>
      <w:lvlJc w:val="right"/>
      <w:pPr>
        <w:ind w:left="6338" w:hanging="180"/>
      </w:pPr>
    </w:lvl>
  </w:abstractNum>
  <w:abstractNum w:abstractNumId="1">
    <w:nsid w:val="202032B0"/>
    <w:multiLevelType w:val="multilevel"/>
    <w:tmpl w:val="202032B0"/>
    <w:lvl w:ilvl="0" w:tentative="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298" w:hanging="360"/>
      </w:pPr>
    </w:lvl>
    <w:lvl w:ilvl="2" w:tentative="0">
      <w:start w:val="1"/>
      <w:numFmt w:val="lowerRoman"/>
      <w:lvlText w:val="%3."/>
      <w:lvlJc w:val="right"/>
      <w:pPr>
        <w:ind w:left="2018" w:hanging="180"/>
      </w:pPr>
    </w:lvl>
    <w:lvl w:ilvl="3" w:tentative="0">
      <w:start w:val="1"/>
      <w:numFmt w:val="decimal"/>
      <w:lvlText w:val="%4."/>
      <w:lvlJc w:val="left"/>
      <w:pPr>
        <w:ind w:left="2738" w:hanging="360"/>
      </w:pPr>
    </w:lvl>
    <w:lvl w:ilvl="4" w:tentative="0">
      <w:start w:val="1"/>
      <w:numFmt w:val="lowerLetter"/>
      <w:lvlText w:val="%5."/>
      <w:lvlJc w:val="left"/>
      <w:pPr>
        <w:ind w:left="3458" w:hanging="360"/>
      </w:pPr>
    </w:lvl>
    <w:lvl w:ilvl="5" w:tentative="0">
      <w:start w:val="1"/>
      <w:numFmt w:val="lowerRoman"/>
      <w:lvlText w:val="%6."/>
      <w:lvlJc w:val="right"/>
      <w:pPr>
        <w:ind w:left="4178" w:hanging="180"/>
      </w:pPr>
    </w:lvl>
    <w:lvl w:ilvl="6" w:tentative="0">
      <w:start w:val="1"/>
      <w:numFmt w:val="decimal"/>
      <w:lvlText w:val="%7."/>
      <w:lvlJc w:val="left"/>
      <w:pPr>
        <w:ind w:left="4898" w:hanging="360"/>
      </w:pPr>
    </w:lvl>
    <w:lvl w:ilvl="7" w:tentative="0">
      <w:start w:val="1"/>
      <w:numFmt w:val="lowerLetter"/>
      <w:lvlText w:val="%8."/>
      <w:lvlJc w:val="left"/>
      <w:pPr>
        <w:ind w:left="5618" w:hanging="360"/>
      </w:pPr>
    </w:lvl>
    <w:lvl w:ilvl="8" w:tentative="0">
      <w:start w:val="1"/>
      <w:numFmt w:val="lowerRoman"/>
      <w:lvlText w:val="%9."/>
      <w:lvlJc w:val="right"/>
      <w:pPr>
        <w:ind w:left="6338" w:hanging="180"/>
      </w:pPr>
    </w:lvl>
  </w:abstractNum>
  <w:abstractNum w:abstractNumId="2">
    <w:nsid w:val="25AE3870"/>
    <w:multiLevelType w:val="multilevel"/>
    <w:tmpl w:val="25AE3870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214E"/>
    <w:rsid w:val="0006487D"/>
    <w:rsid w:val="000E1735"/>
    <w:rsid w:val="00192E71"/>
    <w:rsid w:val="001A51E6"/>
    <w:rsid w:val="001F09A5"/>
    <w:rsid w:val="004109C8"/>
    <w:rsid w:val="004A214E"/>
    <w:rsid w:val="004A277A"/>
    <w:rsid w:val="004F6018"/>
    <w:rsid w:val="00565B1F"/>
    <w:rsid w:val="00595149"/>
    <w:rsid w:val="005A7E07"/>
    <w:rsid w:val="005B4028"/>
    <w:rsid w:val="0070475C"/>
    <w:rsid w:val="008001E0"/>
    <w:rsid w:val="00851CCE"/>
    <w:rsid w:val="008846E2"/>
    <w:rsid w:val="00900034"/>
    <w:rsid w:val="00930047"/>
    <w:rsid w:val="009D0A1D"/>
    <w:rsid w:val="00A25A77"/>
    <w:rsid w:val="00A25DD3"/>
    <w:rsid w:val="00A35832"/>
    <w:rsid w:val="00AD5CE4"/>
    <w:rsid w:val="00BB3D6F"/>
    <w:rsid w:val="00CB74B5"/>
    <w:rsid w:val="00CD017C"/>
    <w:rsid w:val="00D01967"/>
    <w:rsid w:val="00D44F70"/>
    <w:rsid w:val="00DC6D6B"/>
    <w:rsid w:val="00FA5C45"/>
    <w:rsid w:val="00FD015C"/>
    <w:rsid w:val="00FE1324"/>
    <w:rsid w:val="239073B3"/>
    <w:rsid w:val="3D1C0DB3"/>
    <w:rsid w:val="60D84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sk-SK" w:eastAsia="sk-SK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2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5">
    <w:name w:val="annotation reference"/>
    <w:basedOn w:val="2"/>
    <w:semiHidden/>
    <w:unhideWhenUsed/>
    <w:qFormat/>
    <w:uiPriority w:val="99"/>
    <w:rPr>
      <w:sz w:val="16"/>
      <w:szCs w:val="16"/>
    </w:rPr>
  </w:style>
  <w:style w:type="paragraph" w:styleId="6">
    <w:name w:val="annotation text"/>
    <w:basedOn w:val="1"/>
    <w:link w:val="10"/>
    <w:semiHidden/>
    <w:unhideWhenUsed/>
    <w:qFormat/>
    <w:uiPriority w:val="99"/>
    <w:pPr>
      <w:spacing w:line="240" w:lineRule="auto"/>
    </w:pPr>
    <w:rPr>
      <w:sz w:val="20"/>
      <w:szCs w:val="20"/>
    </w:rPr>
  </w:style>
  <w:style w:type="paragraph" w:styleId="7">
    <w:name w:val="annotation subject"/>
    <w:basedOn w:val="6"/>
    <w:next w:val="6"/>
    <w:link w:val="11"/>
    <w:semiHidden/>
    <w:unhideWhenUsed/>
    <w:qFormat/>
    <w:uiPriority w:val="99"/>
    <w:rPr>
      <w:b/>
      <w:bCs/>
    </w:rPr>
  </w:style>
  <w:style w:type="paragraph" w:styleId="8">
    <w:name w:val="Plain Text"/>
    <w:basedOn w:val="1"/>
    <w:link w:val="9"/>
    <w:semiHidden/>
    <w:unhideWhenUsed/>
    <w:qFormat/>
    <w:uiPriority w:val="99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9">
    <w:name w:val="Obyčajný text Char"/>
    <w:basedOn w:val="2"/>
    <w:link w:val="8"/>
    <w:semiHidden/>
    <w:qFormat/>
    <w:uiPriority w:val="99"/>
    <w:rPr>
      <w:rFonts w:ascii="Consolas" w:hAnsi="Consolas"/>
      <w:sz w:val="21"/>
      <w:szCs w:val="21"/>
    </w:rPr>
  </w:style>
  <w:style w:type="character" w:customStyle="1" w:styleId="10">
    <w:name w:val="Text komentára Char"/>
    <w:basedOn w:val="2"/>
    <w:link w:val="6"/>
    <w:semiHidden/>
    <w:qFormat/>
    <w:uiPriority w:val="99"/>
    <w:rPr>
      <w:sz w:val="20"/>
      <w:szCs w:val="20"/>
    </w:rPr>
  </w:style>
  <w:style w:type="character" w:customStyle="1" w:styleId="11">
    <w:name w:val="Predmet komentára Char"/>
    <w:basedOn w:val="10"/>
    <w:link w:val="7"/>
    <w:semiHidden/>
    <w:qFormat/>
    <w:uiPriority w:val="99"/>
    <w:rPr>
      <w:b/>
      <w:bCs/>
      <w:sz w:val="20"/>
      <w:szCs w:val="20"/>
    </w:rPr>
  </w:style>
  <w:style w:type="character" w:customStyle="1" w:styleId="12">
    <w:name w:val="Text bubliny Char"/>
    <w:basedOn w:val="2"/>
    <w:link w:val="4"/>
    <w:semiHidden/>
    <w:qFormat/>
    <w:uiPriority w:val="99"/>
    <w:rPr>
      <w:rFonts w:ascii="Tahoma" w:hAnsi="Tahoma" w:cs="Tahoma"/>
      <w:sz w:val="16"/>
      <w:szCs w:val="16"/>
    </w:rPr>
  </w:style>
  <w:style w:type="paragraph" w:customStyle="1" w:styleId="13">
    <w:name w:val="Default"/>
    <w:qFormat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 w:eastAsiaTheme="minorEastAsia"/>
      <w:color w:val="000000"/>
      <w:sz w:val="24"/>
      <w:szCs w:val="24"/>
      <w:lang w:val="sk-SK" w:eastAsia="sk-SK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2</Pages>
  <Words>362</Words>
  <Characters>2067</Characters>
  <Lines>17</Lines>
  <Paragraphs>4</Paragraphs>
  <TotalTime>5</TotalTime>
  <ScaleCrop>false</ScaleCrop>
  <LinksUpToDate>false</LinksUpToDate>
  <CharactersWithSpaces>2425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2023-06-26T19:56:00Z</dcterms:created>
  <dc:creator>cechova</dc:creator>
  <cp:lastModifiedBy>mfols</cp:lastModifiedBy>
  <cp:lastPrinted>2018-06-27T14:12:00Z</cp:lastPrinted>
  <dcterms:modified xsi:type="dcterms:W3CDTF">2026-06-28T19:36:37Z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FCA4195E9AEF442E929E60D655FF91B8_12</vt:lpwstr>
  </property>
</Properties>
</file>