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5.xml" ContentType="application/vnd.openxmlformats-officedocument.wordprocessingml.footer+xml"/>
  <Override PartName="/word/header3.xml" ContentType="application/vnd.openxmlformats-officedocument.wordprocessingml.header+xml"/>
  <Override PartName="/word/footer6.xml" ContentType="application/vnd.openxmlformats-officedocument.wordprocessingml.footer+xml"/>
  <Override PartName="/word/header4.xml" ContentType="application/vnd.openxmlformats-officedocument.wordprocessingml.header+xml"/>
  <Override PartName="/word/footer7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pPr w:bottomFromText="0" w:horzAnchor="margin" w:leftFromText="141" w:rightFromText="141" w:tblpX="0" w:tblpY="-1915" w:topFromText="0" w:vertAnchor="text"/>
        <w:tblW w:w="5000" w:type="pct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82"/>
        <w:gridCol w:w="269"/>
        <w:gridCol w:w="319"/>
        <w:gridCol w:w="220"/>
        <w:gridCol w:w="259"/>
        <w:gridCol w:w="226"/>
        <w:gridCol w:w="237"/>
        <w:gridCol w:w="231"/>
        <w:gridCol w:w="238"/>
        <w:gridCol w:w="1"/>
        <w:gridCol w:w="264"/>
        <w:gridCol w:w="265"/>
        <w:gridCol w:w="235"/>
        <w:gridCol w:w="231"/>
        <w:gridCol w:w="255"/>
        <w:gridCol w:w="220"/>
        <w:gridCol w:w="278"/>
        <w:gridCol w:w="222"/>
        <w:gridCol w:w="196"/>
        <w:gridCol w:w="25"/>
        <w:gridCol w:w="225"/>
        <w:gridCol w:w="331"/>
        <w:gridCol w:w="202"/>
        <w:gridCol w:w="235"/>
        <w:gridCol w:w="27"/>
        <w:gridCol w:w="270"/>
        <w:gridCol w:w="1"/>
        <w:gridCol w:w="210"/>
        <w:gridCol w:w="102"/>
        <w:gridCol w:w="98"/>
        <w:gridCol w:w="1"/>
        <w:gridCol w:w="162"/>
        <w:gridCol w:w="1"/>
        <w:gridCol w:w="59"/>
        <w:gridCol w:w="1"/>
        <w:gridCol w:w="196"/>
        <w:gridCol w:w="48"/>
        <w:gridCol w:w="1"/>
        <w:gridCol w:w="7"/>
        <w:gridCol w:w="1"/>
        <w:gridCol w:w="181"/>
        <w:gridCol w:w="72"/>
        <w:gridCol w:w="1"/>
        <w:gridCol w:w="1"/>
        <w:gridCol w:w="182"/>
        <w:gridCol w:w="84"/>
        <w:gridCol w:w="0"/>
        <w:gridCol w:w="1"/>
        <w:gridCol w:w="180"/>
        <w:gridCol w:w="66"/>
        <w:gridCol w:w="1"/>
        <w:gridCol w:w="66"/>
        <w:gridCol w:w="122"/>
        <w:gridCol w:w="52"/>
        <w:gridCol w:w="1"/>
        <w:gridCol w:w="72"/>
        <w:gridCol w:w="1"/>
        <w:gridCol w:w="111"/>
        <w:gridCol w:w="54"/>
        <w:gridCol w:w="1"/>
        <w:gridCol w:w="72"/>
        <w:gridCol w:w="1"/>
        <w:gridCol w:w="111"/>
        <w:gridCol w:w="60"/>
        <w:gridCol w:w="1"/>
        <w:gridCol w:w="67"/>
        <w:gridCol w:w="115"/>
        <w:gridCol w:w="42"/>
        <w:gridCol w:w="1"/>
        <w:gridCol w:w="91"/>
        <w:gridCol w:w="8"/>
        <w:gridCol w:w="84"/>
        <w:gridCol w:w="61"/>
        <w:gridCol w:w="1"/>
        <w:gridCol w:w="91"/>
        <w:gridCol w:w="7"/>
        <w:gridCol w:w="155"/>
        <w:gridCol w:w="1"/>
        <w:gridCol w:w="72"/>
        <w:gridCol w:w="0"/>
        <w:gridCol w:w="11"/>
        <w:gridCol w:w="1"/>
        <w:gridCol w:w="7"/>
        <w:gridCol w:w="0"/>
        <w:gridCol w:w="42"/>
        <w:gridCol w:w="1"/>
        <w:gridCol w:w="1"/>
        <w:gridCol w:w="19"/>
      </w:tblGrid>
      <w:tr>
        <w:trPr>
          <w:trHeight w:val="284" w:hRule="exact"/>
        </w:trPr>
        <w:tc>
          <w:tcPr>
            <w:tcW w:w="5231" w:type="dxa"/>
            <w:gridSpan w:val="2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1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3" w:type="dxa"/>
            <w:gridSpan w:val="4"/>
            <w:tcBorders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7" w:type="dxa"/>
            <w:gridSpan w:val="3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57" w:hRule="atLeas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9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9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9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4600" w:type="dxa"/>
            <w:gridSpan w:val="30"/>
            <w:tcBorders/>
            <w:shd w:fill="auto" w:val="clear"/>
          </w:tcPr>
          <w:p>
            <w:pPr>
              <w:pStyle w:val="Normal"/>
              <w:jc w:val="center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</w:r>
          </w:p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262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1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57" w:hRule="atLeas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9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9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6571" w:type="dxa"/>
            <w:gridSpan w:val="51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57" w:hRule="atLeas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9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9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9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7" w:type="dxa"/>
            <w:gridSpan w:val="13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/>
            </w:pPr>
            <w:r>
              <w:rPr>
                <w:rFonts w:cs="Arial" w:ascii="Arial" w:hAnsi="Arial"/>
                <w:szCs w:val="22"/>
                <w:lang w:val="sk-SK" w:eastAsia="sk-SK"/>
              </w:rPr>
              <w:t>zostavenej k31.12.202</w:t>
            </w:r>
            <w:r>
              <w:rPr>
                <w:rFonts w:cs="Arial" w:ascii="Arial" w:hAnsi="Arial"/>
                <w:szCs w:val="22"/>
                <w:lang w:val="sk-SK" w:eastAsia="sk-SK"/>
              </w:rPr>
              <w:t>5</w:t>
            </w:r>
          </w:p>
        </w:tc>
        <w:tc>
          <w:tcPr>
            <w:tcW w:w="210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3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58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57" w:hRule="atLeas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9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9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9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7" w:type="dxa"/>
            <w:gridSpan w:val="13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10" w:type="dxa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3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58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v</w:t>
            </w:r>
          </w:p>
        </w:tc>
        <w:tc>
          <w:tcPr>
            <w:tcW w:w="222" w:type="dxa"/>
            <w:tcBorders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>
              <w:lef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-</w:t>
            </w:r>
          </w:p>
        </w:tc>
        <w:tc>
          <w:tcPr>
            <w:tcW w:w="1699" w:type="dxa"/>
            <w:gridSpan w:val="13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 xml:space="preserve"> </w:t>
            </w:r>
            <w:r>
              <w:rPr>
                <w:rFonts w:cs="Arial" w:ascii="Arial" w:hAnsi="Arial"/>
                <w:szCs w:val="22"/>
                <w:lang w:val="sk-SK" w:eastAsia="sk-SK"/>
              </w:rPr>
              <w:t>eurocentoch</w:t>
            </w:r>
          </w:p>
        </w:tc>
        <w:tc>
          <w:tcPr>
            <w:tcW w:w="253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x</w:t>
            </w:r>
          </w:p>
        </w:tc>
        <w:tc>
          <w:tcPr>
            <w:tcW w:w="1696" w:type="dxa"/>
            <w:gridSpan w:val="30"/>
            <w:tcBorders>
              <w:lef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- celých eurách *)</w:t>
            </w:r>
          </w:p>
        </w:tc>
        <w:tc>
          <w:tcPr>
            <w:tcW w:w="7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1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8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1" w:type="dxa"/>
            <w:gridSpan w:val="3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0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77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943" w:type="dxa"/>
            <w:gridSpan w:val="7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31" w:type="dxa"/>
            <w:gridSpan w:val="1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828" w:type="dxa"/>
            <w:gridSpan w:val="1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897" w:type="dxa"/>
            <w:gridSpan w:val="17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57" w:hRule="atLeas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0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77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mesiac</w:t>
            </w:r>
          </w:p>
        </w:tc>
        <w:tc>
          <w:tcPr>
            <w:tcW w:w="20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943" w:type="dxa"/>
            <w:gridSpan w:val="7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rok</w:t>
            </w:r>
          </w:p>
        </w:tc>
        <w:tc>
          <w:tcPr>
            <w:tcW w:w="731" w:type="dxa"/>
            <w:gridSpan w:val="1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828" w:type="dxa"/>
            <w:gridSpan w:val="13"/>
            <w:tcBorders/>
            <w:shd w:fill="auto" w:val="clear"/>
          </w:tcPr>
          <w:p>
            <w:pPr>
              <w:pStyle w:val="Normal"/>
              <w:spacing w:before="0" w:after="240"/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mesiac</w:t>
            </w:r>
          </w:p>
        </w:tc>
        <w:tc>
          <w:tcPr>
            <w:tcW w:w="1135" w:type="dxa"/>
            <w:gridSpan w:val="21"/>
            <w:tcBorders/>
            <w:shd w:fill="auto" w:val="clear"/>
          </w:tcPr>
          <w:p>
            <w:pPr>
              <w:pStyle w:val="Normal"/>
              <w:spacing w:before="0" w:after="240"/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rok</w:t>
            </w:r>
          </w:p>
        </w:tc>
        <w:tc>
          <w:tcPr>
            <w:tcW w:w="7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1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8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1" w:type="dxa"/>
            <w:gridSpan w:val="3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1812" w:type="dxa"/>
            <w:gridSpan w:val="7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1 </w:t>
            </w:r>
          </w:p>
        </w:tc>
        <w:tc>
          <w:tcPr>
            <w:tcW w:w="331" w:type="dxa"/>
            <w:tcBorders>
              <w:lef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02" w:type="dxa"/>
            <w:tcBorders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31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6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>
                <w:rFonts w:cs="Arial" w:ascii="Arial" w:hAnsi="Arial"/>
                <w:szCs w:val="22"/>
                <w:lang w:val="sk-SK" w:eastAsia="sk-SK"/>
              </w:rPr>
              <w:t>7</w:t>
            </w:r>
          </w:p>
        </w:tc>
        <w:tc>
          <w:tcPr>
            <w:tcW w:w="567" w:type="dxa"/>
            <w:gridSpan w:val="10"/>
            <w:tcBorders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  <w:r>
              <w:rPr>
                <w:rFonts w:cs="Arial" w:ascii="Arial" w:hAnsi="Arial"/>
                <w:szCs w:val="22"/>
                <w:lang w:val="sk-SK" w:eastAsia="sk-SK"/>
              </w:rPr>
              <w:t>do</w:t>
            </w:r>
          </w:p>
        </w:tc>
        <w:tc>
          <w:tcPr>
            <w:tcW w:w="2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1 1</w:t>
            </w:r>
          </w:p>
        </w:tc>
        <w:tc>
          <w:tcPr>
            <w:tcW w:w="24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41" w:type="dxa"/>
            <w:gridSpan w:val="4"/>
            <w:tcBorders>
              <w:lef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39" w:type="dxa"/>
            <w:gridSpan w:val="5"/>
            <w:tcBorders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327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47</w:t>
            </w:r>
          </w:p>
        </w:tc>
        <w:tc>
          <w:tcPr>
            <w:tcW w:w="11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8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1" w:type="dxa"/>
            <w:gridSpan w:val="3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3532" w:type="dxa"/>
            <w:gridSpan w:val="1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97" w:type="dxa"/>
            <w:gridSpan w:val="2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3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1" w:type="dxa"/>
            <w:gridSpan w:val="3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0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8" w:type="dxa"/>
            <w:gridSpan w:val="4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7" w:type="dxa"/>
            <w:gridSpan w:val="4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1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gridSpan w:val="4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>
              <w:bottom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1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8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1" w:type="dxa"/>
            <w:gridSpan w:val="3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3532" w:type="dxa"/>
            <w:gridSpan w:val="15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</w:r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1</w:t>
            </w:r>
          </w:p>
        </w:tc>
        <w:tc>
          <w:tcPr>
            <w:tcW w:w="331" w:type="dxa"/>
            <w:tcBorders>
              <w:lef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0 1</w:t>
            </w:r>
          </w:p>
        </w:tc>
        <w:tc>
          <w:tcPr>
            <w:tcW w:w="31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21 </w:t>
            </w:r>
          </w:p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3 </w:t>
            </w:r>
          </w:p>
        </w:tc>
        <w:tc>
          <w:tcPr>
            <w:tcW w:w="567" w:type="dxa"/>
            <w:gridSpan w:val="10"/>
            <w:tcBorders>
              <w:left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 xml:space="preserve"> </w:t>
            </w:r>
            <w:r>
              <w:rPr>
                <w:rFonts w:cs="Arial" w:ascii="Arial" w:hAnsi="Arial"/>
                <w:szCs w:val="22"/>
                <w:lang w:val="sk-SK" w:eastAsia="sk-SK"/>
              </w:rPr>
              <w:t>do</w:t>
            </w:r>
          </w:p>
        </w:tc>
        <w:tc>
          <w:tcPr>
            <w:tcW w:w="26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1</w:t>
            </w:r>
          </w:p>
        </w:tc>
        <w:tc>
          <w:tcPr>
            <w:tcW w:w="24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2 </w:t>
            </w:r>
          </w:p>
        </w:tc>
        <w:tc>
          <w:tcPr>
            <w:tcW w:w="241" w:type="dxa"/>
            <w:gridSpan w:val="4"/>
            <w:tcBorders>
              <w:lef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39" w:type="dxa"/>
            <w:gridSpan w:val="5"/>
            <w:tcBorders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2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5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3</w:t>
            </w:r>
          </w:p>
        </w:tc>
        <w:tc>
          <w:tcPr>
            <w:tcW w:w="7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1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8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1" w:type="dxa"/>
            <w:gridSpan w:val="3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1349" w:type="dxa"/>
            <w:gridSpan w:val="5"/>
            <w:tcBorders/>
            <w:shd w:fill="auto" w:val="clear"/>
          </w:tcPr>
          <w:p>
            <w:pPr>
              <w:pStyle w:val="Normal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>
              <w:top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>
              <w:top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1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3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>
              <w:top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>
              <w:top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58" w:type="dxa"/>
            <w:gridSpan w:val="3"/>
            <w:tcBorders>
              <w:top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>
              <w:top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>
              <w:top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3532" w:type="dxa"/>
            <w:gridSpan w:val="15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945" w:type="dxa"/>
            <w:gridSpan w:val="17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726" w:type="dxa"/>
            <w:gridSpan w:val="30"/>
            <w:tcBorders/>
            <w:shd w:fill="auto" w:val="clear"/>
          </w:tcPr>
          <w:p>
            <w:pPr>
              <w:pStyle w:val="Normal"/>
              <w:spacing w:before="0" w:after="240"/>
              <w:ind w:right="-446" w:hanging="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ind w:right="-446" w:hanging="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)</w:t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1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8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1" w:type="dxa"/>
            <w:gridSpan w:val="3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</w:r>
          </w:p>
        </w:tc>
        <w:tc>
          <w:tcPr>
            <w:tcW w:w="26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</w:r>
          </w:p>
        </w:tc>
        <w:tc>
          <w:tcPr>
            <w:tcW w:w="31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640" w:type="dxa"/>
            <w:gridSpan w:val="1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0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529" w:type="dxa"/>
            <w:gridSpan w:val="9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1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>3</w:t>
            </w:r>
          </w:p>
        </w:tc>
        <w:tc>
          <w:tcPr>
            <w:tcW w:w="2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>031</w:t>
            </w:r>
          </w:p>
        </w:tc>
        <w:tc>
          <w:tcPr>
            <w:tcW w:w="31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01062 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62 </w:t>
            </w:r>
          </w:p>
        </w:tc>
        <w:tc>
          <w:tcPr>
            <w:tcW w:w="226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1 2</w:t>
            </w:r>
          </w:p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90 </w:t>
            </w:r>
          </w:p>
        </w:tc>
        <w:tc>
          <w:tcPr>
            <w:tcW w:w="23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91</w:t>
            </w:r>
          </w:p>
        </w:tc>
        <w:tc>
          <w:tcPr>
            <w:tcW w:w="2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7</w:t>
            </w:r>
          </w:p>
        </w:tc>
        <w:tc>
          <w:tcPr>
            <w:tcW w:w="265" w:type="dxa"/>
            <w:tcBorders>
              <w:lef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x</w:t>
            </w:r>
          </w:p>
        </w:tc>
        <w:tc>
          <w:tcPr>
            <w:tcW w:w="1309" w:type="dxa"/>
            <w:gridSpan w:val="11"/>
            <w:tcBorders>
              <w:lef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> </w:t>
            </w: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>-  riadna</w:t>
            </w:r>
          </w:p>
        </w:tc>
        <w:tc>
          <w:tcPr>
            <w:tcW w:w="30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x</w:t>
            </w:r>
          </w:p>
        </w:tc>
        <w:tc>
          <w:tcPr>
            <w:tcW w:w="1239" w:type="dxa"/>
            <w:gridSpan w:val="21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 xml:space="preserve"> – </w:t>
            </w: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>zostavená</w:t>
            </w:r>
          </w:p>
        </w:tc>
        <w:tc>
          <w:tcPr>
            <w:tcW w:w="22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1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8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1" w:type="dxa"/>
            <w:gridSpan w:val="3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</w:r>
          </w:p>
        </w:tc>
        <w:tc>
          <w:tcPr>
            <w:tcW w:w="3748" w:type="dxa"/>
            <w:gridSpan w:val="16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309" w:type="dxa"/>
            <w:gridSpan w:val="11"/>
            <w:tcBorders>
              <w:lef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> </w:t>
            </w: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>-  mimoriadna</w:t>
            </w:r>
          </w:p>
        </w:tc>
        <w:tc>
          <w:tcPr>
            <w:tcW w:w="30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x </w:t>
            </w:r>
          </w:p>
        </w:tc>
        <w:tc>
          <w:tcPr>
            <w:tcW w:w="1239" w:type="dxa"/>
            <w:gridSpan w:val="21"/>
            <w:tcBorders>
              <w:lef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 xml:space="preserve"> – </w:t>
            </w: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>schválená</w:t>
            </w:r>
          </w:p>
        </w:tc>
        <w:tc>
          <w:tcPr>
            <w:tcW w:w="22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1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8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1" w:type="dxa"/>
            <w:gridSpan w:val="3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</w:r>
          </w:p>
        </w:tc>
        <w:tc>
          <w:tcPr>
            <w:tcW w:w="3748" w:type="dxa"/>
            <w:gridSpan w:val="16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309" w:type="dxa"/>
            <w:gridSpan w:val="11"/>
            <w:tcBorders>
              <w:lef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cs="Arial" w:ascii="Arial" w:hAnsi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30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239" w:type="dxa"/>
            <w:gridSpan w:val="21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1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8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1" w:type="dxa"/>
            <w:gridSpan w:val="3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</w:r>
          </w:p>
        </w:tc>
        <w:tc>
          <w:tcPr>
            <w:tcW w:w="3748" w:type="dxa"/>
            <w:gridSpan w:val="16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309" w:type="dxa"/>
            <w:gridSpan w:val="11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0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239" w:type="dxa"/>
            <w:gridSpan w:val="21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1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8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1" w:type="dxa"/>
            <w:gridSpan w:val="3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551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31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529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601" w:type="dxa"/>
            <w:gridSpan w:val="18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256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6" w:type="dxa"/>
            <w:gridSpan w:val="6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54" w:type="dxa"/>
            <w:gridSpan w:val="10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</w:tr>
      <w:tr>
        <w:trPr>
          <w:trHeight w:val="284" w:hRule="exact"/>
        </w:trPr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32</w:t>
            </w:r>
          </w:p>
        </w:tc>
        <w:tc>
          <w:tcPr>
            <w:tcW w:w="2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6</w:t>
            </w:r>
          </w:p>
        </w:tc>
        <w:tc>
          <w:tcPr>
            <w:tcW w:w="3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7</w:t>
            </w:r>
          </w:p>
        </w:tc>
        <w:tc>
          <w:tcPr>
            <w:tcW w:w="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1</w:t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5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6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7</w:t>
            </w:r>
          </w:p>
        </w:tc>
        <w:tc>
          <w:tcPr>
            <w:tcW w:w="2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2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1</w:t>
            </w:r>
          </w:p>
        </w:tc>
        <w:tc>
          <w:tcPr>
            <w:tcW w:w="2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6</w:t>
            </w:r>
          </w:p>
        </w:tc>
        <w:tc>
          <w:tcPr>
            <w:tcW w:w="3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146</w:t>
            </w:r>
          </w:p>
        </w:tc>
        <w:tc>
          <w:tcPr>
            <w:tcW w:w="2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67</w:t>
            </w:r>
          </w:p>
        </w:tc>
        <w:tc>
          <w:tcPr>
            <w:tcW w:w="21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1</w:t>
            </w:r>
          </w:p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19</w:t>
            </w:r>
          </w:p>
        </w:tc>
        <w:tc>
          <w:tcPr>
            <w:tcW w:w="223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09</w:t>
            </w:r>
          </w:p>
        </w:tc>
        <w:tc>
          <w:tcPr>
            <w:tcW w:w="253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67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58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5029" w:type="dxa"/>
            <w:gridSpan w:val="22"/>
            <w:tcBorders/>
            <w:shd w:fill="auto" w:val="clear"/>
            <w:vAlign w:val="bottom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20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1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3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58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D</w:t>
            </w:r>
          </w:p>
        </w:tc>
        <w:tc>
          <w:tcPr>
            <w:tcW w:w="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R</w:t>
            </w:r>
          </w:p>
        </w:tc>
        <w:tc>
          <w:tcPr>
            <w:tcW w:w="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ER</w:t>
            </w:r>
          </w:p>
        </w:tc>
        <w:tc>
          <w:tcPr>
            <w:tcW w:w="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V</w:t>
            </w:r>
          </w:p>
        </w:tc>
        <w:tc>
          <w:tcPr>
            <w:tcW w:w="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O</w:t>
            </w:r>
          </w:p>
        </w:tc>
        <w:tc>
          <w:tcPr>
            <w:tcW w:w="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S</w:t>
            </w:r>
          </w:p>
        </w:tc>
        <w:tc>
          <w:tcPr>
            <w:tcW w:w="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S</w:t>
            </w:r>
          </w:p>
        </w:tc>
        <w:tc>
          <w:tcPr>
            <w:tcW w:w="2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L</w:t>
            </w:r>
          </w:p>
        </w:tc>
        <w:tc>
          <w:tcPr>
            <w:tcW w:w="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O</w:t>
            </w:r>
          </w:p>
        </w:tc>
        <w:tc>
          <w:tcPr>
            <w:tcW w:w="2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V</w:t>
            </w:r>
          </w:p>
        </w:tc>
        <w:tc>
          <w:tcPr>
            <w:tcW w:w="2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A</w:t>
            </w:r>
          </w:p>
        </w:tc>
        <w:tc>
          <w:tcPr>
            <w:tcW w:w="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K</w:t>
            </w:r>
          </w:p>
        </w:tc>
        <w:tc>
          <w:tcPr>
            <w:tcW w:w="2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I</w:t>
            </w:r>
          </w:p>
        </w:tc>
        <w:tc>
          <w:tcPr>
            <w:tcW w:w="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 xml:space="preserve">A  </w:t>
            </w:r>
          </w:p>
        </w:tc>
        <w:tc>
          <w:tcPr>
            <w:tcW w:w="27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S.</w:t>
            </w:r>
          </w:p>
        </w:tc>
        <w:tc>
          <w:tcPr>
            <w:tcW w:w="22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P.O</w:t>
            </w:r>
          </w:p>
        </w:tc>
        <w:tc>
          <w:tcPr>
            <w:tcW w:w="2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OR</w:t>
            </w:r>
          </w:p>
        </w:tc>
        <w:tc>
          <w:tcPr>
            <w:tcW w:w="3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L</w:t>
            </w:r>
          </w:p>
        </w:tc>
        <w:tc>
          <w:tcPr>
            <w:tcW w:w="2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.</w:t>
            </w:r>
          </w:p>
        </w:tc>
        <w:tc>
          <w:tcPr>
            <w:tcW w:w="26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S</w:t>
            </w:r>
          </w:p>
        </w:tc>
        <w:tc>
          <w:tcPr>
            <w:tcW w:w="2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.</w:t>
            </w:r>
          </w:p>
        </w:tc>
        <w:tc>
          <w:tcPr>
            <w:tcW w:w="2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R</w:t>
            </w:r>
          </w:p>
        </w:tc>
        <w:tc>
          <w:tcPr>
            <w:tcW w:w="20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.</w:t>
            </w:r>
          </w:p>
        </w:tc>
        <w:tc>
          <w:tcPr>
            <w:tcW w:w="223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O</w:t>
            </w:r>
          </w:p>
        </w:tc>
        <w:tc>
          <w:tcPr>
            <w:tcW w:w="253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.</w:t>
            </w:r>
          </w:p>
        </w:tc>
        <w:tc>
          <w:tcPr>
            <w:tcW w:w="255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7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4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7" w:type="dxa"/>
            <w:gridSpan w:val="8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1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1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3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3" w:type="dxa"/>
            <w:gridSpan w:val="5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7" w:type="dxa"/>
            <w:gridSpan w:val="5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4" w:type="dxa"/>
            <w:gridSpan w:val="5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7" w:type="dxa"/>
            <w:gridSpan w:val="8"/>
            <w:tcBorders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567" w:hRule="exact"/>
        </w:trPr>
        <w:tc>
          <w:tcPr>
            <w:tcW w:w="8869" w:type="dxa"/>
            <w:gridSpan w:val="78"/>
            <w:tcBorders/>
            <w:shd w:fill="auto" w:val="clear"/>
            <w:vAlign w:val="bottom"/>
          </w:tcPr>
          <w:p>
            <w:pPr>
              <w:pStyle w:val="Normal"/>
              <w:rPr>
                <w:rFonts w:ascii="Arial" w:hAnsi="Arial" w:cs="Arial"/>
                <w:b/>
                <w:b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>S</w:t>
            </w: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 xml:space="preserve">ídlo </w:t>
            </w:r>
            <w:r>
              <w:rPr>
                <w:rFonts w:cs="Arial" w:ascii="Arial" w:hAnsi="Arial"/>
                <w:b/>
                <w:szCs w:val="22"/>
                <w:lang w:val="sk-SK" w:eastAsia="sk-SK"/>
              </w:rPr>
              <w:t>účtovnej jednotky</w:t>
            </w:r>
            <w:r>
              <mc:AlternateContent>
                <mc:Choice Requires="wps">
                  <w:drawing>
                    <wp:anchor behindDoc="0" distT="0" distB="0" distL="114300" distR="114300" simplePos="0" locked="0" layoutInCell="1" allowOverlap="1" relativeHeight="2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0" r="0" b="0"/>
                      <wp:wrapNone/>
                      <wp:docPr id="1" name="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63245" cy="150495"/>
                              </a:xfrm>
                              <a:prstGeom prst="rect"/>
                              <a:solidFill>
                                <a:srgbClr val="FFFFFF"/>
                              </a:solidFill>
                            </wps:spPr>
                            <wps:txbx>
                              <w:txbxContent>
                                <w:p>
                                  <w:pPr>
                                    <w:pStyle w:val="Obsahrmca"/>
                                    <w:spacing w:before="0" w:after="240"/>
                                    <w:rPr/>
                                  </w:pPr>
                                  <w:r>
                                    <w:rPr>
                                      <w:rFonts w:cs="Arial" w:ascii="Arial" w:hAnsi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anchor="t"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fillcolor="#FFFFFF" stroked="f" strokeweight="0pt" style="position:absolute;rotation:0;width:44.35pt;height:11.85pt;mso-wrap-distance-left:9pt;mso-wrap-distance-right:9pt;mso-wrap-distance-top:0pt;mso-wrap-distance-bottom:0pt;margin-top:15.05pt;mso-position-vertical-relative:text;margin-left:0.65pt;mso-position-horizontal-relative:text">
                      <v:textbox inset="0in,0in,0in,0in">
                        <w:txbxContent>
                          <w:p>
                            <w:pPr>
                              <w:pStyle w:val="Obsahrmca"/>
                              <w:spacing w:before="0" w:after="240"/>
                              <w:rPr/>
                            </w:pPr>
                            <w:r>
                              <w:rPr>
                                <w:rFonts w:cs="Arial" w:ascii="Arial" w:hAnsi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mc:AlternateContent>
                <mc:Choice Requires="wps">
                  <w:drawing>
                    <wp:anchor behindDoc="0" distT="0" distB="0" distL="114300" distR="114300" simplePos="0" locked="0" layoutInCell="1" allowOverlap="1" relativeHeight="3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0" r="0" b="0"/>
                      <wp:wrapNone/>
                      <wp:docPr id="2" name=""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63245" cy="150495"/>
                              </a:xfrm>
                              <a:prstGeom prst="rect"/>
                              <a:solidFill>
                                <a:srgbClr val="FFFFFF"/>
                              </a:solidFill>
                            </wps:spPr>
                            <wps:txbx>
                              <w:txbxContent>
                                <w:p>
                                  <w:pPr>
                                    <w:pStyle w:val="Obsahrmca"/>
                                    <w:spacing w:before="0" w:after="240"/>
                                    <w:rPr/>
                                  </w:pPr>
                                  <w:r>
                                    <w:rPr>
                                      <w:rFonts w:cs="Arial" w:ascii="Arial" w:hAnsi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anchor="t" lIns="0" tIns="0" rIns="0" bIns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fillcolor="#FFFFFF" stroked="f" strokeweight="0pt" style="position:absolute;rotation:0;width:44.35pt;height:11.85pt;mso-wrap-distance-left:9pt;mso-wrap-distance-right:9pt;mso-wrap-distance-top:0pt;mso-wrap-distance-bottom:0pt;margin-top:15.05pt;mso-position-vertical-relative:text;margin-left:356.9pt;mso-position-horizontal-relative:text">
                      <v:textbox inset="0in,0in,0in,0in">
                        <w:txbxContent>
                          <w:p>
                            <w:pPr>
                              <w:pStyle w:val="Obsahrmca"/>
                              <w:spacing w:before="0" w:after="240"/>
                              <w:rPr/>
                            </w:pPr>
                            <w:r>
                              <w:rPr>
                                <w:rFonts w:cs="Arial" w:ascii="Arial" w:hAnsi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>
            <w:pPr>
              <w:pStyle w:val="Normal"/>
              <w:rPr>
                <w:rFonts w:ascii="Arial" w:hAnsi="Arial" w:cs="Arial"/>
                <w:b/>
                <w:b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szCs w:val="22"/>
                <w:lang w:val="sk-SK" w:eastAsia="sk-SK"/>
              </w:rPr>
            </w:r>
          </w:p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b/>
                <w:b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Z</w:t>
            </w:r>
          </w:p>
        </w:tc>
        <w:tc>
          <w:tcPr>
            <w:tcW w:w="2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V</w:t>
            </w:r>
          </w:p>
        </w:tc>
        <w:tc>
          <w:tcPr>
            <w:tcW w:w="3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O</w:t>
            </w:r>
          </w:p>
        </w:tc>
        <w:tc>
          <w:tcPr>
            <w:tcW w:w="2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L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E</w:t>
            </w:r>
          </w:p>
        </w:tc>
        <w:tc>
          <w:tcPr>
            <w:tcW w:w="2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N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S</w:t>
            </w:r>
          </w:p>
        </w:tc>
        <w:tc>
          <w:tcPr>
            <w:tcW w:w="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K</w:t>
            </w:r>
          </w:p>
        </w:tc>
        <w:tc>
          <w:tcPr>
            <w:tcW w:w="23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Á</w:t>
            </w:r>
          </w:p>
        </w:tc>
        <w:tc>
          <w:tcPr>
            <w:tcW w:w="2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C</w:t>
            </w:r>
          </w:p>
        </w:tc>
        <w:tc>
          <w:tcPr>
            <w:tcW w:w="25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E</w:t>
            </w:r>
          </w:p>
        </w:tc>
        <w:tc>
          <w:tcPr>
            <w:tcW w:w="2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S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T</w:t>
            </w:r>
          </w:p>
        </w:tc>
        <w:tc>
          <w:tcPr>
            <w:tcW w:w="2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A</w:t>
            </w:r>
          </w:p>
        </w:tc>
        <w:tc>
          <w:tcPr>
            <w:tcW w:w="22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3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3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>
              <w:left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512</w:t>
            </w:r>
          </w:p>
        </w:tc>
        <w:tc>
          <w:tcPr>
            <w:tcW w:w="313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</w:t>
            </w:r>
          </w:p>
        </w:tc>
        <w:tc>
          <w:tcPr>
            <w:tcW w:w="248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7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4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7" w:type="dxa"/>
            <w:gridSpan w:val="8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4252" w:type="dxa"/>
            <w:gridSpan w:val="18"/>
            <w:tcBorders/>
            <w:shd w:fill="auto" w:val="clear"/>
            <w:vAlign w:val="bottom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221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1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10" w:type="dxa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3" w:type="dxa"/>
            <w:gridSpan w:val="4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3" w:type="dxa"/>
            <w:gridSpan w:val="5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4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58" w:type="dxa"/>
            <w:gridSpan w:val="3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  <w:vAlign w:val="bottom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9</w:t>
            </w:r>
          </w:p>
        </w:tc>
        <w:tc>
          <w:tcPr>
            <w:tcW w:w="2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6</w:t>
            </w:r>
          </w:p>
        </w:tc>
        <w:tc>
          <w:tcPr>
            <w:tcW w:w="3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23</w:t>
            </w:r>
          </w:p>
        </w:tc>
        <w:tc>
          <w:tcPr>
            <w:tcW w:w="2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60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31</w:t>
            </w:r>
          </w:p>
        </w:tc>
        <w:tc>
          <w:tcPr>
            <w:tcW w:w="226" w:type="dxa"/>
            <w:tcBorders>
              <w:lef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P</w:t>
            </w:r>
          </w:p>
        </w:tc>
        <w:tc>
          <w:tcPr>
            <w:tcW w:w="23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L</w:t>
            </w:r>
          </w:p>
        </w:tc>
        <w:tc>
          <w:tcPr>
            <w:tcW w:w="2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I</w:t>
            </w:r>
          </w:p>
        </w:tc>
        <w:tc>
          <w:tcPr>
            <w:tcW w:w="2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E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S</w:t>
            </w:r>
          </w:p>
        </w:tc>
        <w:tc>
          <w:tcPr>
            <w:tcW w:w="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O</w:t>
            </w:r>
          </w:p>
        </w:tc>
        <w:tc>
          <w:tcPr>
            <w:tcW w:w="25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V</w:t>
            </w:r>
          </w:p>
        </w:tc>
        <w:tc>
          <w:tcPr>
            <w:tcW w:w="2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C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E</w:t>
            </w:r>
          </w:p>
        </w:tc>
        <w:tc>
          <w:tcPr>
            <w:tcW w:w="2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3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3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9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7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8869" w:type="dxa"/>
            <w:gridSpan w:val="78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8869" w:type="dxa"/>
            <w:gridSpan w:val="78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Číslo telefónu                     Číslo faxu</w:t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9" w:type="dxa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/</w:t>
            </w:r>
          </w:p>
        </w:tc>
        <w:tc>
          <w:tcPr>
            <w:tcW w:w="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0</w:t>
            </w:r>
          </w:p>
        </w:tc>
        <w:tc>
          <w:tcPr>
            <w:tcW w:w="2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2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331" w:type="dxa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/</w:t>
            </w:r>
          </w:p>
        </w:tc>
        <w:tc>
          <w:tcPr>
            <w:tcW w:w="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6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0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23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53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55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67" w:type="dxa"/>
            <w:gridSpan w:val="4"/>
            <w:tcBorders>
              <w:lef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31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58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1812" w:type="dxa"/>
            <w:gridSpan w:val="7"/>
            <w:tcBorders/>
            <w:shd w:fill="auto" w:val="clea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</w:r>
          </w:p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b/>
                <w:b/>
                <w:bCs/>
                <w:szCs w:val="22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1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3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58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4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7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12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3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3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3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5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7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2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3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62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01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23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53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55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67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313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48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39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39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49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45" w:type="dxa"/>
            <w:gridSpan w:val="5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247" w:type="dxa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 </w:t>
            </w:r>
          </w:p>
        </w:tc>
        <w:tc>
          <w:tcPr>
            <w:tcW w:w="7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43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284" w:hRule="exact"/>
        </w:trPr>
        <w:tc>
          <w:tcPr>
            <w:tcW w:w="28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9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6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7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4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8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5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31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2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71" w:type="dxa"/>
            <w:gridSpan w:val="2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10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1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2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3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55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67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13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8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39" w:type="dxa"/>
            <w:gridSpan w:val="4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58" w:type="dxa"/>
            <w:gridSpan w:val="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5" w:type="dxa"/>
            <w:gridSpan w:val="5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389" w:type="dxa"/>
            <w:gridSpan w:val="13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19" w:type="dxa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850" w:hRule="atLeast"/>
        </w:trPr>
        <w:tc>
          <w:tcPr>
            <w:tcW w:w="228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 xml:space="preserve"> </w:t>
            </w:r>
            <w:r>
              <w:rPr>
                <w:rFonts w:cs="Arial" w:ascii="Arial" w:hAnsi="Arial"/>
                <w:szCs w:val="22"/>
                <w:lang w:val="sk-SK" w:eastAsia="sk-SK"/>
              </w:rPr>
              <w:t>Zostavené dňa:</w:t>
            </w:r>
          </w:p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24.02.2025</w:t>
            </w:r>
          </w:p>
        </w:tc>
        <w:tc>
          <w:tcPr>
            <w:tcW w:w="2167" w:type="dxa"/>
            <w:gridSpan w:val="10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2146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2409" w:type="dxa"/>
            <w:gridSpan w:val="50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  <w:tr>
        <w:trPr>
          <w:trHeight w:val="1175" w:hRule="atLeast"/>
        </w:trPr>
        <w:tc>
          <w:tcPr>
            <w:tcW w:w="228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 xml:space="preserve"> </w:t>
            </w:r>
            <w:r>
              <w:rPr>
                <w:rFonts w:cs="Arial" w:ascii="Arial" w:hAnsi="Arial"/>
                <w:szCs w:val="22"/>
                <w:lang w:val="sk-SK" w:eastAsia="sk-SK"/>
              </w:rPr>
              <w:t>Schválené dňa:</w:t>
            </w:r>
          </w:p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  <w:t>24.02.2025</w:t>
            </w:r>
          </w:p>
        </w:tc>
        <w:tc>
          <w:tcPr>
            <w:tcW w:w="2167" w:type="dxa"/>
            <w:gridSpan w:val="10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146" w:type="dxa"/>
            <w:gridSpan w:val="17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409" w:type="dxa"/>
            <w:gridSpan w:val="50"/>
            <w:vMerge w:val="continue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  <w:tc>
          <w:tcPr>
            <w:tcW w:w="20" w:type="dxa"/>
            <w:gridSpan w:val="2"/>
            <w:tcBorders/>
            <w:shd w:fill="auto" w:val="clear"/>
          </w:tcPr>
          <w:p>
            <w:pPr>
              <w:pStyle w:val="Normal"/>
              <w:keepNext w:val="true"/>
              <w:widowControl/>
              <w:bidi w:val="0"/>
              <w:spacing w:before="0" w:after="240"/>
              <w:jc w:val="both"/>
              <w:rPr/>
            </w:pPr>
            <w:r>
              <w:rPr/>
            </w:r>
          </w:p>
        </w:tc>
      </w:tr>
    </w:tbl>
    <w:p>
      <w:pPr>
        <w:pStyle w:val="Nzov"/>
        <w:spacing w:beforeAutospacing="0" w:before="240" w:after="0"/>
        <w:jc w:val="left"/>
        <w:rPr/>
      </w:pPr>
      <w:r>
        <w:rPr>
          <w:b w:val="false"/>
        </w:rPr>
        <w:t>*)  Vyznačuje sa krížikom  X</w:t>
      </w:r>
    </w:p>
    <w:tbl>
      <w:tblPr>
        <w:tblpPr w:bottomFromText="0" w:horzAnchor="margin" w:leftFromText="141" w:rightFromText="141" w:tblpX="0" w:tblpY="-1915" w:topFromText="0" w:vertAnchor="text"/>
        <w:tblW w:w="500" w:type="pct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902"/>
      </w:tblGrid>
      <w:tr>
        <w:trPr>
          <w:trHeight w:val="284" w:hRule="exact"/>
        </w:trPr>
        <w:tc>
          <w:tcPr>
            <w:tcW w:w="90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tbl>
      <w:tblPr>
        <w:tblpPr w:bottomFromText="0" w:horzAnchor="margin" w:leftFromText="141" w:rightFromText="141" w:tblpX="0" w:tblpY="-1915" w:topFromText="0" w:vertAnchor="text"/>
        <w:tblW w:w="500" w:type="pct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902"/>
      </w:tblGrid>
      <w:tr>
        <w:trPr>
          <w:trHeight w:val="284" w:hRule="exact"/>
        </w:trPr>
        <w:tc>
          <w:tcPr>
            <w:tcW w:w="902" w:type="dxa"/>
            <w:tcBorders/>
            <w:shd w:fill="auto" w:val="clear"/>
          </w:tcPr>
          <w:p>
            <w:pPr>
              <w:pStyle w:val="Normal"/>
              <w:spacing w:before="0" w:after="240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cs="Arial" w:ascii="Arial" w:hAnsi="Arial"/>
                <w:szCs w:val="22"/>
                <w:lang w:val="sk-SK" w:eastAsia="sk-SK"/>
              </w:rPr>
            </w:r>
          </w:p>
        </w:tc>
      </w:tr>
    </w:tbl>
    <w:p>
      <w:pPr>
        <w:pStyle w:val="Nzov"/>
        <w:spacing w:beforeAutospacing="0" w:before="0" w:after="240"/>
        <w:jc w:val="both"/>
        <w:rPr>
          <w:b w:val="false"/>
          <w:b w:val="false"/>
        </w:rPr>
      </w:pPr>
      <w:r>
        <w:rPr>
          <w:b w:val="false"/>
        </w:rPr>
      </w:r>
    </w:p>
    <w:p>
      <w:pPr>
        <w:sectPr>
          <w:headerReference w:type="default" r:id="rId2"/>
          <w:headerReference w:type="first" r:id="rId3"/>
          <w:footerReference w:type="default" r:id="rId4"/>
          <w:footerReference w:type="first" r:id="rId5"/>
          <w:type w:val="nextPage"/>
          <w:pgSz w:w="11906" w:h="16838"/>
          <w:pgMar w:left="1440" w:right="1440" w:header="482" w:top="2665" w:footer="567" w:bottom="1588" w:gutter="0"/>
          <w:pgNumType w:start="1" w:fmt="decimal"/>
          <w:formProt w:val="false"/>
          <w:titlePg/>
          <w:textDirection w:val="lrTb"/>
          <w:docGrid w:type="default" w:linePitch="100" w:charSpace="8192"/>
        </w:sectPr>
        <w:pStyle w:val="Nadpis6"/>
        <w:keepNext w:val="false"/>
        <w:jc w:val="left"/>
        <w:rPr>
          <w:rFonts w:ascii="Arial" w:hAnsi="Arial" w:cs="Arial"/>
          <w:sz w:val="20"/>
          <w:lang w:val="sk-SK"/>
        </w:rPr>
      </w:pPr>
      <w:r>
        <w:rPr>
          <w:rFonts w:cs="Arial" w:ascii="Arial" w:hAnsi="Arial"/>
          <w:sz w:val="20"/>
          <w:lang w:val="sk-SK"/>
        </w:rPr>
      </w:r>
    </w:p>
    <w:p>
      <w:pPr>
        <w:pStyle w:val="Nadpis1"/>
        <w:keepNext w:val="false"/>
        <w:numPr>
          <w:ilvl w:val="0"/>
          <w:numId w:val="2"/>
        </w:numPr>
        <w:shd w:fill="FFFFFF" w:val="clear"/>
        <w:spacing w:before="120" w:after="240"/>
        <w:rPr>
          <w:rFonts w:ascii="Arial" w:hAnsi="Arial" w:cs="Arial"/>
          <w:lang w:val="sk-SK"/>
        </w:rPr>
      </w:pPr>
      <w:bookmarkStart w:id="0" w:name="_Toc474124301"/>
      <w:bookmarkStart w:id="1" w:name="_Toc474124189"/>
      <w:r>
        <w:rPr>
          <w:rFonts w:cs="Arial" w:ascii="Arial" w:hAnsi="Arial"/>
          <w:lang w:val="sk-SK"/>
        </w:rPr>
        <w:t>Popis spoločnosti</w:t>
      </w:r>
      <w:bookmarkEnd w:id="0"/>
      <w:bookmarkEnd w:id="1"/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b/>
          <w:i/>
          <w:lang w:val="sk-SK"/>
        </w:rPr>
        <w:t xml:space="preserve">DREVOS Slovakia, spol.s.r.o., Zvolenská cesta 52, Pliešovce  </w:t>
      </w:r>
      <w:r>
        <w:rPr>
          <w:rFonts w:cs="Arial" w:ascii="Arial" w:hAnsi="Arial"/>
          <w:lang w:val="sk-SK"/>
        </w:rPr>
        <w:t>(ďalej len „spoločnosť”) je spoločnosť</w:t>
      </w:r>
      <w:r>
        <w:rPr>
          <w:rFonts w:cs="Arial" w:ascii="Arial" w:hAnsi="Arial"/>
          <w:i/>
          <w:lang w:val="sk-SK"/>
        </w:rPr>
        <w:t xml:space="preserve"> s ručením obmedzeným</w:t>
      </w:r>
      <w:r>
        <w:rPr>
          <w:rFonts w:cs="Arial" w:ascii="Arial" w:hAnsi="Arial"/>
          <w:lang w:val="sk-SK"/>
        </w:rPr>
        <w:t xml:space="preserve"> ktorá bola dňa 30.6.1997</w:t>
      </w:r>
      <w:r>
        <w:rPr>
          <w:rFonts w:cs="Arial" w:ascii="Arial" w:hAnsi="Arial"/>
          <w:i/>
          <w:lang w:val="sk-SK"/>
        </w:rPr>
        <w:t xml:space="preserve"> </w:t>
      </w:r>
      <w:r>
        <w:rPr>
          <w:rFonts w:cs="Arial" w:ascii="Arial" w:hAnsi="Arial"/>
          <w:lang w:val="sk-SK"/>
        </w:rPr>
        <w:t xml:space="preserve">zapísaná do Obchodného registra vedenom na Okresnom súde Banská Bystrica, oddiel Sro vložka 4617/S. Spoločnosť má sidlo  na Zvolenskej  ceste č.52, Pliešovce </w:t>
      </w:r>
      <w:r>
        <w:rPr>
          <w:rFonts w:cs="Arial" w:ascii="Arial" w:hAnsi="Arial"/>
          <w:i/>
          <w:lang w:val="sk-SK"/>
        </w:rPr>
        <w:t>,</w:t>
      </w:r>
      <w:r>
        <w:rPr>
          <w:rFonts w:cs="Arial" w:ascii="Arial" w:hAnsi="Arial"/>
          <w:lang w:val="sk-SK"/>
        </w:rPr>
        <w:t xml:space="preserve">Slovenská republika, identifikačné číslo </w:t>
      </w:r>
      <w:r>
        <w:rPr>
          <w:rFonts w:cs="Arial" w:ascii="Arial" w:hAnsi="Arial"/>
          <w:i/>
          <w:lang w:val="sk-SK"/>
        </w:rPr>
        <w:t>IČO</w:t>
      </w:r>
      <w:r>
        <w:rPr>
          <w:rFonts w:cs="Arial" w:ascii="Arial" w:hAnsi="Arial"/>
          <w:lang w:val="sk-SK"/>
        </w:rPr>
        <w:t xml:space="preserve"> 36022071.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 xml:space="preserve">V roku 2024 </w:t>
      </w:r>
      <w:r>
        <w:rPr>
          <w:rFonts w:cs="Arial" w:ascii="Arial" w:hAnsi="Arial"/>
          <w:i/>
          <w:lang w:val="sk-SK"/>
        </w:rPr>
        <w:t>ne</w:t>
      </w:r>
      <w:r>
        <w:rPr>
          <w:rFonts w:cs="Arial" w:ascii="Arial" w:hAnsi="Arial"/>
          <w:lang w:val="sk-SK"/>
        </w:rPr>
        <w:t xml:space="preserve">boli uskutočnené </w:t>
      </w:r>
      <w:r>
        <w:rPr>
          <w:rFonts w:cs="Arial" w:ascii="Arial" w:hAnsi="Arial"/>
          <w:i/>
          <w:lang w:val="sk-SK"/>
        </w:rPr>
        <w:t>žiadne</w:t>
      </w:r>
      <w:r>
        <w:rPr>
          <w:rFonts w:cs="Arial" w:ascii="Arial" w:hAnsi="Arial"/>
          <w:lang w:val="sk-SK"/>
        </w:rPr>
        <w:t xml:space="preserve"> významné zmeny v zápise do Obchodného registra. Hlavným predmetom činnosti je: Kúpa tovaru na účely jeho predaja konečnému spotrebiteľovi – maloobchod, veľkoobchod, výroba piliarská, výroba stavebno-stolárska, výroba nábytku, sprostredkovanie obchodu a služieb</w:t>
      </w:r>
    </w:p>
    <w:p>
      <w:pPr>
        <w:pStyle w:val="Normal"/>
        <w:keepNext w:val="false"/>
        <w:rPr>
          <w:rFonts w:ascii="Arial" w:hAnsi="Arial" w:cs="Arial"/>
          <w:i/>
          <w:i/>
          <w:lang w:val="sk-SK"/>
        </w:rPr>
      </w:pPr>
      <w:r>
        <w:rPr>
          <w:rFonts w:cs="Arial" w:ascii="Arial" w:hAnsi="Arial"/>
          <w:i/>
          <w:lang w:val="sk-SK"/>
        </w:rPr>
        <w:t>.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počte zamestnancov</w:t>
      </w:r>
    </w:p>
    <w:p>
      <w:pPr>
        <w:pStyle w:val="Normal"/>
        <w:keepNext w:val="false"/>
        <w:spacing w:before="0" w:after="120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</w:r>
    </w:p>
    <w:p>
      <w:pPr>
        <w:pStyle w:val="Normal"/>
        <w:keepNext w:val="false"/>
        <w:spacing w:before="0" w:after="120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Spoločnosť v roku 2024 mala vlastných zamestnancov v priemere 2.</w:t>
      </w:r>
    </w:p>
    <w:p>
      <w:pPr>
        <w:pStyle w:val="Normal"/>
        <w:keepNext w:val="false"/>
        <w:spacing w:before="0" w:after="120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120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059"/>
        <w:gridCol w:w="1620"/>
        <w:gridCol w:w="1620"/>
        <w:gridCol w:w="1360"/>
        <w:gridCol w:w="1361"/>
      </w:tblGrid>
      <w:tr>
        <w:trPr>
          <w:trHeight w:val="870" w:hRule="atLeast"/>
        </w:trPr>
        <w:tc>
          <w:tcPr>
            <w:tcW w:w="305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>
        <w:trPr>
          <w:trHeight w:val="300" w:hRule="atLeast"/>
        </w:trPr>
        <w:tc>
          <w:tcPr>
            <w:tcW w:w="3059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62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361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330" w:hRule="atLeast"/>
        </w:trPr>
        <w:tc>
          <w:tcPr>
            <w:tcW w:w="30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Ján Sýkora</w:t>
            </w:r>
          </w:p>
        </w:tc>
        <w:tc>
          <w:tcPr>
            <w:tcW w:w="16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100 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100 </w:t>
            </w:r>
          </w:p>
        </w:tc>
        <w:tc>
          <w:tcPr>
            <w:tcW w:w="136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100 </w:t>
            </w:r>
          </w:p>
        </w:tc>
      </w:tr>
      <w:tr>
        <w:trPr>
          <w:trHeight w:val="315" w:hRule="atLeast"/>
        </w:trPr>
        <w:tc>
          <w:tcPr>
            <w:tcW w:w="30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30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30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30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15" w:hRule="atLeast"/>
        </w:trPr>
        <w:tc>
          <w:tcPr>
            <w:tcW w:w="30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100%</w:t>
            </w:r>
          </w:p>
        </w:tc>
        <w:tc>
          <w:tcPr>
            <w:tcW w:w="136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1000%</w:t>
            </w:r>
          </w:p>
        </w:tc>
        <w:tc>
          <w:tcPr>
            <w:tcW w:w="1361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100%</w:t>
            </w:r>
          </w:p>
        </w:tc>
      </w:tr>
    </w:tbl>
    <w:p>
      <w:pPr>
        <w:pStyle w:val="Normal"/>
        <w:keepNext w:val="false"/>
        <w:spacing w:before="0" w:after="0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Členovia štatutárnych orgánov k 31. decembru 2024:</w:t>
      </w:r>
    </w:p>
    <w:tbl>
      <w:tblPr>
        <w:tblW w:w="4784" w:type="dxa"/>
        <w:jc w:val="left"/>
        <w:tblInd w:w="108" w:type="dxa"/>
        <w:tblCellMar>
          <w:top w:w="0" w:type="dxa"/>
          <w:left w:w="72" w:type="dxa"/>
          <w:bottom w:w="0" w:type="dxa"/>
          <w:right w:w="72" w:type="dxa"/>
        </w:tblCellMar>
        <w:tblLook w:val="00a0"/>
      </w:tblPr>
      <w:tblGrid>
        <w:gridCol w:w="4784"/>
      </w:tblGrid>
      <w:tr>
        <w:trPr>
          <w:trHeight w:val="177" w:hRule="atLeast"/>
        </w:trPr>
        <w:tc>
          <w:tcPr>
            <w:tcW w:w="4784" w:type="dxa"/>
            <w:tcBorders>
              <w:bottom w:val="single" w:sz="8" w:space="0" w:color="808080"/>
            </w:tcBorders>
            <w:shd w:fill="auto" w:val="clear"/>
            <w:vAlign w:val="center"/>
          </w:tcPr>
          <w:p>
            <w:pPr>
              <w:pStyle w:val="TableHeader"/>
              <w:keepNext w:val="false"/>
              <w:spacing w:before="60" w:after="60"/>
              <w:rPr>
                <w:rFonts w:ascii="Arial" w:hAnsi="Arial" w:cs="Arial"/>
                <w:b/>
                <w:b/>
                <w:sz w:val="20"/>
                <w:lang w:val="sk-SK"/>
              </w:rPr>
            </w:pPr>
            <w:r>
              <w:rPr>
                <w:rFonts w:cs="Arial" w:ascii="Arial" w:hAnsi="Arial"/>
                <w:b/>
                <w:i/>
                <w:sz w:val="20"/>
                <w:lang w:val="sk-SK"/>
              </w:rPr>
              <w:t>Konateľ:</w:t>
            </w:r>
            <w:r>
              <w:rPr>
                <w:rFonts w:cs="Arial" w:ascii="Arial" w:hAnsi="Arial"/>
                <w:sz w:val="20"/>
                <w:lang w:val="sk-SK"/>
              </w:rPr>
              <w:t xml:space="preserve">   Ján Sýkora</w:t>
            </w:r>
          </w:p>
        </w:tc>
      </w:tr>
    </w:tbl>
    <w:p>
      <w:pPr>
        <w:pStyle w:val="Normal"/>
        <w:keepNext w:val="false"/>
        <w:spacing w:before="0" w:after="0"/>
        <w:jc w:val="left"/>
        <w:rPr>
          <w:rFonts w:ascii="Arial" w:hAnsi="Arial" w:cs="Arial"/>
          <w:i/>
          <w:i/>
          <w:highlight w:val="yellow"/>
          <w:lang w:val="sk-SK"/>
        </w:rPr>
      </w:pPr>
      <w:r>
        <w:rPr>
          <w:rFonts w:cs="Arial" w:ascii="Arial" w:hAnsi="Arial"/>
          <w:i/>
          <w:highlight w:val="yellow"/>
          <w:lang w:val="sk-SK"/>
        </w:rPr>
      </w:r>
      <w:r>
        <w:br w:type="page"/>
      </w:r>
    </w:p>
    <w:p>
      <w:pPr>
        <w:pStyle w:val="Nadpis1"/>
        <w:keepNext w:val="false"/>
        <w:numPr>
          <w:ilvl w:val="0"/>
          <w:numId w:val="2"/>
        </w:numPr>
        <w:shd w:fill="FFFFFF" w:val="clear"/>
        <w:rPr>
          <w:rFonts w:ascii="Arial" w:hAnsi="Arial" w:cs="Arial"/>
          <w:lang w:val="sk-SK"/>
        </w:rPr>
      </w:pPr>
      <w:bookmarkStart w:id="2" w:name="_Toc474124302"/>
      <w:bookmarkStart w:id="3" w:name="_Toc474124190"/>
      <w:r>
        <w:rPr>
          <w:rFonts w:cs="Arial" w:ascii="Arial" w:hAnsi="Arial"/>
          <w:lang w:val="sk-SK"/>
        </w:rPr>
        <w:t>ZákladnÉ východiskÁ prE ZostavenIE účTOVNEJ závIErky</w:t>
      </w:r>
      <w:bookmarkEnd w:id="2"/>
      <w:bookmarkEnd w:id="3"/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>
        <w:rPr>
          <w:rFonts w:cs="Arial" w:ascii="Arial" w:hAnsi="Arial"/>
          <w:i/>
          <w:lang w:val="sk-SK"/>
        </w:rPr>
        <w:t>riadna</w:t>
      </w:r>
      <w:r>
        <w:rPr>
          <w:rFonts w:cs="Arial" w:ascii="Arial" w:hAnsi="Arial"/>
          <w:lang w:val="sk-SK"/>
        </w:rPr>
        <w:t xml:space="preserve"> účtovná závierka. 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Účtovná závierka spoločnosti za predchádzajúce účtovné obdobie k 31. Decembru 2023 bola schválená valným zhromaždením spoločnosti dňa 01</w:t>
      </w:r>
      <w:r>
        <w:rPr>
          <w:rFonts w:cs="Arial" w:ascii="Arial" w:hAnsi="Arial"/>
          <w:i/>
          <w:lang w:val="sk-SK"/>
        </w:rPr>
        <w:t>.03.2024</w:t>
      </w:r>
      <w:r>
        <w:rPr>
          <w:rFonts w:cs="Arial" w:ascii="Arial" w:hAnsi="Arial"/>
          <w:lang w:val="sk-SK"/>
        </w:rPr>
        <w:t>.</w:t>
      </w:r>
    </w:p>
    <w:p>
      <w:pPr>
        <w:pStyle w:val="Nadpis1"/>
        <w:keepNext w:val="false"/>
        <w:numPr>
          <w:ilvl w:val="0"/>
          <w:numId w:val="2"/>
        </w:numPr>
        <w:shd w:fill="FFFFFF" w:val="clear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VŠEOBECNÉ účTOVNÉ zásady A METÓDY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Účtovné zásady a metódy, ktoré spoločnosť používala pri zostavení účtovnej závierky za rok 2024 sú nasledovné</w:t>
      </w:r>
      <w:bookmarkStart w:id="4" w:name="_Toc474124304"/>
      <w:bookmarkStart w:id="5" w:name="_Toc474124192"/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Dlhodobý nehmotný majetok</w:t>
      </w:r>
      <w:bookmarkEnd w:id="4"/>
      <w:bookmarkEnd w:id="5"/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Nakupovaný dlhodobý nehmotný majetok sa oceňuje v obstarávacích cenách, ktoré obsahujú cenu obstarania a náklady súvisiace s jeho obstaraním.</w:t>
      </w:r>
    </w:p>
    <w:p>
      <w:pPr>
        <w:pStyle w:val="Normal"/>
        <w:keepNext w:val="false"/>
        <w:rPr>
          <w:rFonts w:ascii="Arial" w:hAnsi="Arial" w:cs="Arial"/>
          <w:i/>
          <w:i/>
          <w:lang w:val="sk-SK"/>
        </w:rPr>
      </w:pPr>
      <w:r>
        <w:rPr>
          <w:rFonts w:cs="Arial" w:ascii="Arial" w:hAnsi="Arial"/>
          <w:lang w:val="sk-SK"/>
        </w:rPr>
        <w:t xml:space="preserve">Dlhodobý nehmotný majetok obstaraný </w:t>
      </w:r>
      <w:r>
        <w:rPr>
          <w:rFonts w:cs="Arial" w:ascii="Arial" w:hAnsi="Arial"/>
          <w:i/>
          <w:lang w:val="sk-SK"/>
        </w:rPr>
        <w:t xml:space="preserve">kúpou </w:t>
      </w:r>
      <w:r>
        <w:rPr>
          <w:rFonts w:cs="Arial" w:ascii="Arial" w:hAnsi="Arial"/>
          <w:lang w:val="sk-SK"/>
        </w:rPr>
        <w:t xml:space="preserve">sa oceňuje </w:t>
      </w:r>
      <w:r>
        <w:rPr>
          <w:rFonts w:cs="Arial" w:ascii="Arial" w:hAnsi="Arial"/>
          <w:i/>
          <w:lang w:val="sk-SK"/>
        </w:rPr>
        <w:t>v obstarávacích cenách.</w:t>
      </w:r>
    </w:p>
    <w:p>
      <w:pPr>
        <w:pStyle w:val="Normal"/>
        <w:keepNext w:val="false"/>
        <w:rPr>
          <w:rFonts w:ascii="Arial" w:hAnsi="Arial" w:cs="Arial"/>
          <w:b/>
          <w:b/>
          <w:i/>
          <w:i/>
          <w:lang w:val="sk-SK"/>
        </w:rPr>
      </w:pPr>
      <w:r>
        <w:rPr>
          <w:rFonts w:cs="Arial" w:ascii="Arial" w:hAnsi="Arial"/>
          <w:b/>
          <w:i/>
          <w:lang w:val="sk-SK"/>
        </w:rPr>
        <w:t>Odpisovanie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Dlhodobý nehmotný majetok sa odpisuje do nákladov podľa zákona o Dani z príjmov v znení neskorších predpisov.</w:t>
      </w:r>
    </w:p>
    <w:p>
      <w:pPr>
        <w:pStyle w:val="Nadpis2"/>
        <w:keepNext w:val="false"/>
        <w:numPr>
          <w:ilvl w:val="0"/>
          <w:numId w:val="3"/>
        </w:numPr>
        <w:spacing w:before="120" w:after="240"/>
        <w:rPr>
          <w:rFonts w:ascii="Arial" w:hAnsi="Arial" w:cs="Arial"/>
          <w:lang w:val="sk-SK"/>
        </w:rPr>
      </w:pPr>
      <w:bookmarkStart w:id="6" w:name="_Toc474124305"/>
      <w:bookmarkStart w:id="7" w:name="_Toc474124193"/>
      <w:r>
        <w:rPr>
          <w:rFonts w:cs="Arial" w:ascii="Arial" w:hAnsi="Arial"/>
          <w:lang w:val="sk-SK"/>
        </w:rPr>
        <w:t>Dlhodobý hmotný majetok</w:t>
      </w:r>
      <w:bookmarkEnd w:id="6"/>
      <w:bookmarkEnd w:id="7"/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Náklady na technické zhodnotenie dlhodobého hmotného majetku zvyšujú jeho obstarávaciu cenu. Opravy a údržba sa účtujú do nákladov.</w:t>
      </w:r>
    </w:p>
    <w:p>
      <w:pPr>
        <w:pStyle w:val="Normal"/>
        <w:keepNext w:val="false"/>
        <w:rPr>
          <w:rFonts w:ascii="Arial" w:hAnsi="Arial" w:cs="Arial"/>
          <w:b/>
          <w:b/>
          <w:i/>
          <w:i/>
          <w:lang w:val="sk-SK"/>
        </w:rPr>
      </w:pPr>
      <w:r>
        <w:rPr>
          <w:rFonts w:cs="Arial" w:ascii="Arial" w:hAnsi="Arial"/>
          <w:b/>
          <w:i/>
          <w:lang w:val="sk-SK"/>
        </w:rPr>
        <w:t>Odpisovanie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Dlhodobý hmotný majetok sa odpisuje do nákladov podľa zákona o Dani z príjmov v znení neskorších predpisov. V roku 2024 spoločnosť neuplatnila do nákladov odpisy majetku. Drobný hmotný majetok do 1700 Eur sa odpisuje priamo do nákladov spoločnosti evidovaný na účte 501 600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V Finančný majetok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Krátkodobý finančný majetok tvoria ceniny, peniaze v hotovosti a na bankových účtoch. K 1.12.2024 spoločnosť zmenila banku a z Poštovej banky prešla k Prima banke č. účtu SK5656000000001627571004.  Zostatok účtu z Poštovej banky bol prevedený na Prima banku dňa 4.1.2024.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Spoločnosť je zaradená do učtovnej jednotky – mikro.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StyleodstavecbezcislaItalicRed"/>
        <w:ind w:left="0" w:hanging="0"/>
        <w:jc w:val="left"/>
        <w:rPr>
          <w:rFonts w:ascii="Arial" w:hAnsi="Arial" w:cs="Arial"/>
          <w:b/>
          <w:b/>
          <w:color w:val="auto"/>
          <w:u w:val="single"/>
        </w:rPr>
      </w:pPr>
      <w:r>
        <w:rPr>
          <w:rFonts w:cs="Arial" w:ascii="Arial" w:hAnsi="Arial"/>
          <w:b/>
          <w:color w:val="auto"/>
          <w:u w:val="single"/>
        </w:rPr>
      </w:r>
      <w:r>
        <w:br w:type="page"/>
      </w:r>
    </w:p>
    <w:p>
      <w:pPr>
        <w:pStyle w:val="Nadpis2"/>
        <w:keepNext w:val="false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8" w:name="_Toc474124308"/>
      <w:bookmarkStart w:id="9" w:name="_Toc474124196"/>
      <w:r>
        <w:rPr>
          <w:rFonts w:cs="Arial" w:ascii="Arial" w:hAnsi="Arial"/>
          <w:lang w:val="sk-SK"/>
        </w:rPr>
        <w:t>Pohľadávky</w:t>
      </w:r>
      <w:bookmarkEnd w:id="8"/>
      <w:bookmarkEnd w:id="9"/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 xml:space="preserve">Pohľadávky sa oceňujú menovitou hodnotou. 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Náklady budúcich období a príjmy budúcich období v roku 2024 spoločnosť neúčtovala.</w:t>
      </w:r>
    </w:p>
    <w:p>
      <w:pPr>
        <w:pStyle w:val="Telotextu"/>
        <w:keepNext w:val="false"/>
        <w:jc w:val="both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 xml:space="preserve">O Nákladoch a príjmoch budúcich období v roku 2024 spoločnosť neúčtovala. </w:t>
      </w:r>
    </w:p>
    <w:p>
      <w:pPr>
        <w:pStyle w:val="Telotextu"/>
        <w:keepNext w:val="false"/>
        <w:jc w:val="both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 xml:space="preserve">Rezervy 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Rezervy sú záväzky s neurčitým časovým vymedzením alebo výškou, spoločnosť netvorila.</w:t>
      </w:r>
    </w:p>
    <w:p>
      <w:pPr>
        <w:pStyle w:val="Nadpis2"/>
        <w:keepNext w:val="false"/>
        <w:numPr>
          <w:ilvl w:val="0"/>
          <w:numId w:val="3"/>
        </w:numPr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Vlastné imanie</w:t>
      </w:r>
    </w:p>
    <w:p>
      <w:pPr>
        <w:pStyle w:val="Normal"/>
        <w:keepNext w:val="false"/>
        <w:rPr>
          <w:rFonts w:ascii="Arial" w:hAnsi="Arial" w:cs="Arial"/>
          <w:i/>
          <w:i/>
          <w:lang w:val="sk-SK"/>
        </w:rPr>
      </w:pPr>
      <w:r>
        <w:rPr>
          <w:rFonts w:cs="Arial" w:ascii="Arial" w:hAnsi="Arial"/>
          <w:lang w:val="sk-SK"/>
        </w:rPr>
        <w:t>Vlastné imanie sa skladá zo základného imania</w:t>
      </w:r>
      <w:r>
        <w:rPr>
          <w:rFonts w:cs="Arial" w:ascii="Arial" w:hAnsi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 xml:space="preserve">Základné imanie spoločnosti sa vykazuje vo výške zapísanej v obchodnom registri </w:t>
      </w:r>
      <w:r>
        <w:rPr>
          <w:rFonts w:cs="Arial" w:ascii="Arial" w:hAnsi="Arial"/>
          <w:i/>
          <w:iCs/>
          <w:lang w:val="sk-SK"/>
        </w:rPr>
        <w:t>okresného</w:t>
      </w:r>
      <w:r>
        <w:rPr>
          <w:rFonts w:cs="Arial" w:ascii="Arial" w:hAnsi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>
        <w:rPr>
          <w:rFonts w:cs="Arial" w:ascii="Arial" w:hAnsi="Arial"/>
          <w:i/>
          <w:lang w:val="sk-SK"/>
        </w:rPr>
        <w:t xml:space="preserve">Ostatné kapitálové fondy sú </w:t>
      </w:r>
      <w:r>
        <w:rPr>
          <w:rFonts w:cs="Arial" w:ascii="Arial" w:hAnsi="Arial"/>
          <w:i/>
          <w:color w:val="000000"/>
          <w:lang w:val="sk-SK"/>
        </w:rPr>
        <w:t>tvorené</w:t>
      </w:r>
      <w:r>
        <w:rPr>
          <w:rFonts w:cs="Arial" w:ascii="Arial" w:hAnsi="Arial"/>
          <w:i/>
          <w:iCs/>
          <w:color w:val="000000"/>
          <w:lang w:val="sk-SK"/>
        </w:rPr>
        <w:t xml:space="preserve"> peňažnými či nepeňažnými vkladmi nad hodnotu základného imania, </w:t>
      </w:r>
      <w:r>
        <w:rPr>
          <w:rFonts w:cs="Arial" w:ascii="Arial" w:hAnsi="Arial"/>
          <w:i/>
          <w:iCs/>
          <w:lang w:val="sk-SK"/>
        </w:rPr>
        <w:t>darmi, a pod.</w:t>
      </w:r>
    </w:p>
    <w:p>
      <w:pPr>
        <w:pStyle w:val="Normal"/>
        <w:keepNext w:val="false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Spoločnosť má vytvorený zákonný rezervný fond podľa Zápisnice uzatvorenej pri vzniku spoločnosti.</w:t>
      </w:r>
    </w:p>
    <w:p>
      <w:pPr>
        <w:pStyle w:val="Normal"/>
        <w:keepNext w:val="false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Výnosy</w:t>
      </w:r>
    </w:p>
    <w:p>
      <w:pPr>
        <w:pStyle w:val="Telotextu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>
      <w:pPr>
        <w:pStyle w:val="Nadpis2"/>
        <w:keepNext w:val="false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10" w:name="_Toc474124311"/>
      <w:bookmarkStart w:id="11" w:name="_Toc474124199"/>
      <w:r>
        <w:rPr>
          <w:rFonts w:cs="Arial" w:ascii="Arial" w:hAnsi="Arial"/>
          <w:lang w:val="sk-SK"/>
        </w:rPr>
        <w:t xml:space="preserve">Finančný </w:t>
      </w:r>
      <w:bookmarkEnd w:id="10"/>
      <w:bookmarkEnd w:id="11"/>
      <w:r>
        <w:rPr>
          <w:rFonts w:cs="Arial" w:ascii="Arial" w:hAnsi="Arial"/>
          <w:lang w:val="sk-SK"/>
        </w:rPr>
        <w:t>lízing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Spoločnosť v roku 2024 nemala finančný lízing .</w:t>
      </w:r>
    </w:p>
    <w:p>
      <w:pPr>
        <w:pStyle w:val="Nadpis2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12" w:name="_Toc474124314"/>
      <w:bookmarkStart w:id="13" w:name="_Toc474124202"/>
      <w:r>
        <w:rPr>
          <w:lang w:val="sk-SK"/>
        </w:rPr>
        <w:t xml:space="preserve"> </w:t>
      </w:r>
      <w:r>
        <w:rPr>
          <w:rFonts w:cs="Arial" w:ascii="Arial" w:hAnsi="Arial"/>
          <w:lang w:val="sk-SK"/>
        </w:rPr>
        <w:t>Daň z príjm</w:t>
      </w:r>
      <w:bookmarkEnd w:id="12"/>
      <w:bookmarkEnd w:id="13"/>
      <w:r>
        <w:rPr>
          <w:rFonts w:cs="Arial" w:ascii="Arial" w:hAnsi="Arial"/>
          <w:lang w:val="sk-SK"/>
        </w:rPr>
        <w:t>u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Náklad na daň z príjmov sa počíta pomocou platnej daňovej sadzby z účtovného zisku upraveného o trvalé alebo dočasne daňovo neuznateľné náklady a nezdaňované výnosy. Spoločnosť v roku 2024 účtovala  o dani z príjmov na základe zmeny o dani z príjmov a v roku 2024 účtovala o daňovej licencii.</w:t>
      </w:r>
    </w:p>
    <w:p>
      <w:pPr>
        <w:pStyle w:val="Nadpis1"/>
        <w:numPr>
          <w:ilvl w:val="0"/>
          <w:numId w:val="2"/>
        </w:numPr>
        <w:shd w:fill="FFFFFF" w:val="clear"/>
        <w:rPr>
          <w:rFonts w:ascii="Arial" w:hAnsi="Arial" w:cs="Arial"/>
        </w:rPr>
      </w:pPr>
      <w:r>
        <w:rPr>
          <w:rFonts w:cs="Arial" w:ascii="Arial" w:hAnsi="Arial"/>
        </w:rPr>
        <w:t>Dlhodobý majetok</w:t>
      </w:r>
    </w:p>
    <w:p>
      <w:pPr>
        <w:pStyle w:val="Nadpis2"/>
        <w:numPr>
          <w:ilvl w:val="0"/>
          <w:numId w:val="0"/>
        </w:numPr>
        <w:rPr>
          <w:b w:val="false"/>
          <w:b w:val="false"/>
        </w:rPr>
      </w:pPr>
      <w:r>
        <w:rPr>
          <w:b w:val="false"/>
          <w:lang w:val="sk-SK"/>
        </w:rPr>
        <w:t>Dlhodobý nehmotný majetok</w:t>
      </w:r>
      <w:r>
        <w:rPr>
          <w:b w:val="false"/>
        </w:rPr>
        <w:t xml:space="preserve"> -Spoločnosť ku zostaveniu účtovnej závierky za rok 2024 nemá v evidencii DNM</w:t>
      </w:r>
    </w:p>
    <w:p>
      <w:pPr>
        <w:pStyle w:val="Normal"/>
        <w:rPr/>
      </w:pPr>
      <w:r>
        <w:rPr/>
      </w:r>
    </w:p>
    <w:tbl>
      <w:tblPr>
        <w:tblW w:w="908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40"/>
        <w:gridCol w:w="4539"/>
      </w:tblGrid>
      <w:tr>
        <w:trPr>
          <w:trHeight w:val="420" w:hRule="atLeast"/>
        </w:trPr>
        <w:tc>
          <w:tcPr>
            <w:tcW w:w="45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39" w:type="dxa"/>
            <w:tcBorders>
              <w:top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>
        <w:trPr>
          <w:trHeight w:val="420" w:hRule="atLeast"/>
        </w:trPr>
        <w:tc>
          <w:tcPr>
            <w:tcW w:w="45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39" w:type="dxa"/>
            <w:tcBorders>
              <w:top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>
        <w:trPr>
          <w:trHeight w:val="420" w:hRule="atLeast"/>
        </w:trPr>
        <w:tc>
          <w:tcPr>
            <w:tcW w:w="45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39" w:type="dxa"/>
            <w:tcBorders>
              <w:top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>
        <w:trPr>
          <w:trHeight w:val="465" w:hRule="atLeast"/>
        </w:trPr>
        <w:tc>
          <w:tcPr>
            <w:tcW w:w="45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3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</w:tbl>
    <w:p>
      <w:pPr>
        <w:sectPr>
          <w:headerReference w:type="default" r:id="rId6"/>
          <w:footerReference w:type="default" r:id="rId7"/>
          <w:type w:val="nextPage"/>
          <w:pgSz w:w="11906" w:h="16838"/>
          <w:pgMar w:left="1701" w:right="1134" w:header="1134" w:top="2127" w:footer="454" w:bottom="1134" w:gutter="0"/>
          <w:pgNumType w:start="1" w:fmt="decimal"/>
          <w:formProt w:val="false"/>
          <w:textDirection w:val="lrTb"/>
          <w:docGrid w:type="default" w:linePitch="100" w:charSpace="8192"/>
        </w:sectPr>
      </w:pPr>
    </w:p>
    <w:p>
      <w:pPr>
        <w:pStyle w:val="Normal"/>
        <w:keepNext w:val="false"/>
        <w:tabs>
          <w:tab w:val="clear" w:pos="709"/>
          <w:tab w:val="left" w:pos="426" w:leader="none"/>
        </w:tabs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</w:r>
    </w:p>
    <w:p>
      <w:pPr>
        <w:sectPr>
          <w:headerReference w:type="default" r:id="rId8"/>
          <w:footerReference w:type="default" r:id="rId9"/>
          <w:type w:val="nextPage"/>
          <w:pgSz w:w="11906" w:h="16838"/>
          <w:pgMar w:left="1701" w:right="1134" w:header="1134" w:top="2127" w:footer="454" w:bottom="1134" w:gutter="0"/>
          <w:pgNumType w:fmt="decimal"/>
          <w:formProt w:val="false"/>
          <w:textDirection w:val="lrTb"/>
          <w:docGrid w:type="default" w:linePitch="272" w:charSpace="8192"/>
        </w:sect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rPr>
          <w:rFonts w:ascii="Arial" w:hAnsi="Arial" w:cs="Arial"/>
          <w:b/>
          <w:b/>
          <w:lang w:val="sk-SK"/>
        </w:rPr>
      </w:pPr>
      <w:bookmarkStart w:id="14" w:name="_Toc474124317"/>
      <w:bookmarkStart w:id="15" w:name="_Toc474124205"/>
      <w:r>
        <w:rPr>
          <w:rFonts w:cs="Arial" w:ascii="Arial" w:hAnsi="Arial"/>
          <w:b/>
          <w:lang w:val="sk-SK"/>
        </w:rPr>
        <w:t>b) Dlhodobý hmotný majetok</w:t>
      </w:r>
    </w:p>
    <w:p>
      <w:pPr>
        <w:pStyle w:val="Normal"/>
        <w:rPr>
          <w:rFonts w:ascii="Arial" w:hAnsi="Arial" w:cs="Arial"/>
          <w:lang w:val="sk-SK"/>
        </w:rPr>
      </w:pPr>
      <w:bookmarkStart w:id="16" w:name="_Toc474124317"/>
      <w:bookmarkStart w:id="17" w:name="_Toc474124205"/>
      <w:r>
        <w:rPr>
          <w:rFonts w:cs="Arial" w:ascii="Arial" w:hAnsi="Arial"/>
          <w:lang w:val="sk-SK"/>
        </w:rPr>
        <w:t>Informácie o dlhodobom hmotnom majetku</w:t>
      </w:r>
      <w:bookmarkEnd w:id="16"/>
      <w:bookmarkEnd w:id="17"/>
    </w:p>
    <w:tbl>
      <w:tblPr>
        <w:tblW w:w="1370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018"/>
        <w:gridCol w:w="17"/>
        <w:gridCol w:w="1158"/>
        <w:gridCol w:w="22"/>
        <w:gridCol w:w="1154"/>
        <w:gridCol w:w="26"/>
        <w:gridCol w:w="1153"/>
        <w:gridCol w:w="26"/>
        <w:gridCol w:w="1225"/>
        <w:gridCol w:w="19"/>
        <w:gridCol w:w="1160"/>
        <w:gridCol w:w="17"/>
        <w:gridCol w:w="1163"/>
        <w:gridCol w:w="12"/>
        <w:gridCol w:w="1168"/>
        <w:gridCol w:w="12"/>
        <w:gridCol w:w="1167"/>
        <w:gridCol w:w="11"/>
        <w:gridCol w:w="1170"/>
      </w:tblGrid>
      <w:tr>
        <w:trPr>
          <w:trHeight w:val="330" w:hRule="atLeast"/>
        </w:trPr>
        <w:tc>
          <w:tcPr>
            <w:tcW w:w="301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0" w:type="dxa"/>
            <w:gridSpan w:val="18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>
        <w:trPr>
          <w:trHeight w:val="945" w:hRule="atLeast"/>
        </w:trPr>
        <w:tc>
          <w:tcPr>
            <w:tcW w:w="301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175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6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  <w:br/>
              <w:t>trvalých porastov</w:t>
            </w:r>
          </w:p>
        </w:tc>
        <w:tc>
          <w:tcPr>
            <w:tcW w:w="1177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0" w:type="dxa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5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7949 </w:t>
            </w:r>
          </w:p>
        </w:tc>
        <w:tc>
          <w:tcPr>
            <w:tcW w:w="1176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24178 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62262 </w:t>
            </w:r>
          </w:p>
        </w:tc>
        <w:tc>
          <w:tcPr>
            <w:tcW w:w="1270" w:type="dxa"/>
            <w:gridSpan w:val="3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6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7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76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15716 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77978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15716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7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77978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70" w:type="dxa"/>
            <w:gridSpan w:val="3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7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7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6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7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  <w:tr>
        <w:trPr>
          <w:trHeight w:val="300" w:hRule="atLeast"/>
        </w:trPr>
        <w:tc>
          <w:tcPr>
            <w:tcW w:w="30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6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7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  <w:tr>
        <w:trPr>
          <w:trHeight w:val="330" w:hRule="atLeast"/>
        </w:trPr>
        <w:tc>
          <w:tcPr>
            <w:tcW w:w="3035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63" w:type="dxa"/>
            <w:gridSpan w:val="17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>
        <w:trPr>
          <w:trHeight w:val="1245" w:hRule="atLeast"/>
        </w:trPr>
        <w:tc>
          <w:tcPr>
            <w:tcW w:w="3035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180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  <w:br/>
              <w:t>trvalých porastov</w:t>
            </w:r>
          </w:p>
        </w:tc>
        <w:tc>
          <w:tcPr>
            <w:tcW w:w="1179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9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81" w:type="dxa"/>
            <w:gridSpan w:val="2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7949 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24178 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15716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62262 </w:t>
            </w:r>
          </w:p>
        </w:tc>
        <w:tc>
          <w:tcPr>
            <w:tcW w:w="122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77978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  <w:tc>
          <w:tcPr>
            <w:tcW w:w="122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15716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77978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  <w:tr>
        <w:trPr>
          <w:trHeight w:val="300" w:hRule="atLeast"/>
        </w:trPr>
        <w:tc>
          <w:tcPr>
            <w:tcW w:w="30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</w:tbl>
    <w:p>
      <w:pPr>
        <w:sectPr>
          <w:headerReference w:type="default" r:id="rId10"/>
          <w:footerReference w:type="default" r:id="rId11"/>
          <w:type w:val="nextPage"/>
          <w:pgSz w:orient="landscape" w:w="16838" w:h="11906"/>
          <w:pgMar w:left="1134" w:right="2127" w:header="1134" w:top="1701" w:footer="454" w:bottom="1134" w:gutter="0"/>
          <w:pgNumType w:fmt="decimal"/>
          <w:formProt w:val="false"/>
          <w:textDirection w:val="lrTb"/>
          <w:docGrid w:type="default" w:linePitch="272" w:charSpace="8192"/>
        </w:sectPr>
        <w:pStyle w:val="Normal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tbl>
      <w:tblPr>
        <w:tblW w:w="908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40"/>
        <w:gridCol w:w="4539"/>
      </w:tblGrid>
      <w:tr>
        <w:trPr>
          <w:trHeight w:val="420" w:hRule="atLeast"/>
        </w:trPr>
        <w:tc>
          <w:tcPr>
            <w:tcW w:w="45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4539" w:type="dxa"/>
            <w:tcBorders>
              <w:top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>
        <w:trPr>
          <w:trHeight w:val="465" w:hRule="atLeast"/>
        </w:trPr>
        <w:tc>
          <w:tcPr>
            <w:tcW w:w="45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3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>
        <w:trPr>
          <w:trHeight w:val="465" w:hRule="atLeast"/>
        </w:trPr>
        <w:tc>
          <w:tcPr>
            <w:tcW w:w="45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3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>
      <w:pPr>
        <w:pStyle w:val="Normalitalic"/>
        <w:keepNext w:val="false"/>
        <w:rPr>
          <w:rFonts w:ascii="Arial" w:hAnsi="Arial" w:cs="Arial"/>
          <w:highlight w:val="yellow"/>
          <w:lang w:val="sk-SK"/>
        </w:rPr>
      </w:pPr>
      <w:r>
        <w:rPr>
          <w:rFonts w:cs="Arial" w:ascii="Arial" w:hAnsi="Arial"/>
          <w:highlight w:val="yellow"/>
          <w:lang w:val="sk-SK"/>
        </w:rPr>
      </w:r>
    </w:p>
    <w:p>
      <w:pPr>
        <w:pStyle w:val="Normal"/>
        <w:keepNext w:val="false"/>
        <w:spacing w:lineRule="atLeast" w:line="240" w:before="120" w:after="240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  <w:t>Poistenie majetku</w:t>
      </w:r>
    </w:p>
    <w:p>
      <w:pPr>
        <w:pStyle w:val="Normalitalic"/>
        <w:keepNext w:val="false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lang w:val="sk-SK"/>
        </w:rPr>
        <w:t>Dlhodobý majetok je poistený v poisťovni ČSOB</w:t>
      </w:r>
    </w:p>
    <w:p>
      <w:pPr>
        <w:pStyle w:val="Normal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  <w:t>Dlhodobý finančný majetok</w:t>
      </w:r>
    </w:p>
    <w:p>
      <w:pPr>
        <w:pStyle w:val="Normal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dlhodobom finančnom majetku – spoločnosť neeviduje k 31.12.2024 žiadny dlhodobý fin.majetok</w:t>
      </w:r>
    </w:p>
    <w:p>
      <w:pPr>
        <w:pStyle w:val="Normal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italic"/>
        <w:keepNext w:val="false"/>
        <w:spacing w:before="0" w:after="0"/>
        <w:rPr>
          <w:rFonts w:ascii="Arial" w:hAnsi="Arial" w:cs="Arial"/>
          <w:highlight w:val="yellow"/>
          <w:lang w:val="sk-SK"/>
        </w:rPr>
      </w:pPr>
      <w:r>
        <w:rPr>
          <w:rFonts w:cs="Arial" w:ascii="Arial" w:hAnsi="Arial"/>
          <w:highlight w:val="yellow"/>
          <w:lang w:val="sk-SK"/>
        </w:rPr>
      </w:r>
    </w:p>
    <w:p>
      <w:pPr>
        <w:pStyle w:val="Normalitalic"/>
        <w:keepNext w:val="false"/>
        <w:spacing w:before="0" w:after="0"/>
        <w:rPr>
          <w:rFonts w:ascii="Arial" w:hAnsi="Arial" w:cs="Arial"/>
          <w:highlight w:val="yellow"/>
          <w:lang w:val="sk-SK"/>
        </w:rPr>
      </w:pPr>
      <w:r>
        <w:rPr>
          <w:rFonts w:cs="Arial" w:ascii="Arial" w:hAnsi="Arial"/>
          <w:highlight w:val="yellow"/>
          <w:lang w:val="sk-SK"/>
        </w:rPr>
      </w:r>
    </w:p>
    <w:p>
      <w:pPr>
        <w:pStyle w:val="Normal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</w:r>
    </w:p>
    <w:p>
      <w:pPr>
        <w:pStyle w:val="Normal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</w:r>
    </w:p>
    <w:p>
      <w:pPr>
        <w:sectPr>
          <w:headerReference w:type="default" r:id="rId12"/>
          <w:footerReference w:type="default" r:id="rId13"/>
          <w:type w:val="nextPage"/>
          <w:pgSz w:w="11906" w:h="16838"/>
          <w:pgMar w:left="1701" w:right="1134" w:header="1134" w:top="2127" w:footer="454" w:bottom="1134" w:gutter="0"/>
          <w:pgNumType w:fmt="decimal"/>
          <w:formProt w:val="false"/>
          <w:textDirection w:val="lrTb"/>
          <w:docGrid w:type="default" w:linePitch="100" w:charSpace="8192"/>
        </w:sectPr>
        <w:pStyle w:val="Normal"/>
        <w:keepNext w:val="false"/>
        <w:spacing w:before="0" w:after="0"/>
        <w:jc w:val="left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</w:r>
    </w:p>
    <w:p>
      <w:pPr>
        <w:pStyle w:val="Nadpis1"/>
        <w:keepNext w:val="false"/>
        <w:numPr>
          <w:ilvl w:val="0"/>
          <w:numId w:val="0"/>
        </w:numPr>
        <w:shd w:fill="FFFFFF" w:val="clear"/>
        <w:spacing w:before="240" w:after="120"/>
        <w:ind w:left="3969" w:hanging="0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PohĽAdávky</w:t>
      </w:r>
    </w:p>
    <w:p>
      <w:pPr>
        <w:pStyle w:val="Normal"/>
        <w:keepNext w:val="false"/>
        <w:spacing w:before="0" w:after="0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vývoji opravnej položky k pohľadávkam</w:t>
      </w:r>
    </w:p>
    <w:tbl>
      <w:tblPr>
        <w:tblW w:w="906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79"/>
      </w:tblGrid>
      <w:tr>
        <w:trPr>
          <w:trHeight w:val="330" w:hRule="atLeast"/>
        </w:trPr>
        <w:tc>
          <w:tcPr>
            <w:tcW w:w="26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399" w:type="dxa"/>
            <w:gridSpan w:val="5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>
        <w:trPr>
          <w:trHeight w:val="1245" w:hRule="atLeast"/>
        </w:trPr>
        <w:tc>
          <w:tcPr>
            <w:tcW w:w="266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8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  <w:br/>
              <w:t>nenosti</w:t>
            </w:r>
          </w:p>
        </w:tc>
        <w:tc>
          <w:tcPr>
            <w:tcW w:w="128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27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>
        <w:trPr>
          <w:trHeight w:val="660" w:hRule="atLeast"/>
        </w:trPr>
        <w:tc>
          <w:tcPr>
            <w:tcW w:w="26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660" w:hRule="atLeast"/>
        </w:trPr>
        <w:tc>
          <w:tcPr>
            <w:tcW w:w="26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660" w:hRule="atLeast"/>
        </w:trPr>
        <w:tc>
          <w:tcPr>
            <w:tcW w:w="26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660" w:hRule="atLeast"/>
        </w:trPr>
        <w:tc>
          <w:tcPr>
            <w:tcW w:w="26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660" w:hRule="atLeast"/>
        </w:trPr>
        <w:tc>
          <w:tcPr>
            <w:tcW w:w="26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660" w:hRule="atLeast"/>
        </w:trPr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8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tbl>
      <w:tblPr>
        <w:tblW w:w="908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19"/>
      </w:tblGrid>
      <w:tr>
        <w:trPr>
          <w:trHeight w:val="450" w:hRule="atLeast"/>
        </w:trPr>
        <w:tc>
          <w:tcPr>
            <w:tcW w:w="2720" w:type="dxa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120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120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119" w:type="dxa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50" w:hRule="atLeast"/>
        </w:trPr>
        <w:tc>
          <w:tcPr>
            <w:tcW w:w="2720" w:type="dxa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120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120" w:type="dxa"/>
            <w:gridSpan w:val="2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119" w:type="dxa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50" w:hRule="atLeast"/>
        </w:trPr>
        <w:tc>
          <w:tcPr>
            <w:tcW w:w="2720" w:type="dxa"/>
            <w:tcBorders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120" w:type="dxa"/>
            <w:gridSpan w:val="2"/>
            <w:tcBorders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120" w:type="dxa"/>
            <w:gridSpan w:val="2"/>
            <w:tcBorders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119" w:type="dxa"/>
            <w:tcBorders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50" w:hRule="atLeast"/>
        </w:trPr>
        <w:tc>
          <w:tcPr>
            <w:tcW w:w="2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50" w:hRule="atLeast"/>
        </w:trPr>
        <w:tc>
          <w:tcPr>
            <w:tcW w:w="272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258 </w:t>
            </w:r>
          </w:p>
        </w:tc>
        <w:tc>
          <w:tcPr>
            <w:tcW w:w="2120" w:type="dxa"/>
            <w:gridSpan w:val="2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19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2830</w:t>
            </w:r>
          </w:p>
        </w:tc>
      </w:tr>
      <w:tr>
        <w:trPr>
          <w:trHeight w:val="450" w:hRule="atLeast"/>
        </w:trPr>
        <w:tc>
          <w:tcPr>
            <w:tcW w:w="27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1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atLeast"/>
        </w:trPr>
        <w:tc>
          <w:tcPr>
            <w:tcW w:w="27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1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atLeast"/>
        </w:trPr>
        <w:tc>
          <w:tcPr>
            <w:tcW w:w="27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1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atLeast"/>
        </w:trPr>
        <w:tc>
          <w:tcPr>
            <w:tcW w:w="27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1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atLeast"/>
        </w:trPr>
        <w:tc>
          <w:tcPr>
            <w:tcW w:w="27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1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atLeast"/>
        </w:trPr>
        <w:tc>
          <w:tcPr>
            <w:tcW w:w="27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1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50" w:hRule="atLeast"/>
        </w:trPr>
        <w:tc>
          <w:tcPr>
            <w:tcW w:w="27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258</w:t>
            </w:r>
          </w:p>
        </w:tc>
        <w:tc>
          <w:tcPr>
            <w:tcW w:w="212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1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2830</w:t>
            </w:r>
          </w:p>
        </w:tc>
      </w:tr>
      <w:tr>
        <w:trPr>
          <w:trHeight w:val="660" w:hRule="atLeast"/>
        </w:trPr>
        <w:tc>
          <w:tcPr>
            <w:tcW w:w="3520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79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>
        <w:trPr>
          <w:trHeight w:val="315" w:hRule="atLeast"/>
        </w:trPr>
        <w:tc>
          <w:tcPr>
            <w:tcW w:w="3520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780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779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65" w:hRule="atLeast"/>
        </w:trPr>
        <w:tc>
          <w:tcPr>
            <w:tcW w:w="3520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79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65" w:hRule="atLeast"/>
        </w:trPr>
        <w:tc>
          <w:tcPr>
            <w:tcW w:w="3520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  <w:br/>
              <w:t>do jedného roka</w:t>
            </w:r>
          </w:p>
        </w:tc>
        <w:tc>
          <w:tcPr>
            <w:tcW w:w="27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2830</w:t>
            </w:r>
          </w:p>
        </w:tc>
        <w:tc>
          <w:tcPr>
            <w:tcW w:w="2779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258</w:t>
            </w:r>
          </w:p>
        </w:tc>
      </w:tr>
      <w:tr>
        <w:trPr>
          <w:trHeight w:val="465" w:hRule="atLeast"/>
        </w:trPr>
        <w:tc>
          <w:tcPr>
            <w:tcW w:w="3520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2830</w:t>
            </w:r>
          </w:p>
        </w:tc>
        <w:tc>
          <w:tcPr>
            <w:tcW w:w="2779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258</w:t>
            </w:r>
          </w:p>
        </w:tc>
      </w:tr>
      <w:tr>
        <w:trPr>
          <w:trHeight w:val="465" w:hRule="atLeast"/>
        </w:trPr>
        <w:tc>
          <w:tcPr>
            <w:tcW w:w="3520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79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0 </w:t>
            </w:r>
          </w:p>
        </w:tc>
      </w:tr>
      <w:tr>
        <w:trPr>
          <w:trHeight w:val="465" w:hRule="atLeast"/>
        </w:trPr>
        <w:tc>
          <w:tcPr>
            <w:tcW w:w="3520" w:type="dxa"/>
            <w:gridSpan w:val="2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79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65" w:hRule="atLeast"/>
        </w:trPr>
        <w:tc>
          <w:tcPr>
            <w:tcW w:w="352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1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79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ind w:firstLine="161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>
        <w:trPr>
          <w:trHeight w:val="330" w:hRule="atLeast"/>
        </w:trPr>
        <w:tc>
          <w:tcPr>
            <w:tcW w:w="34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>
        <w:trPr>
          <w:trHeight w:val="330" w:hRule="atLeast"/>
        </w:trPr>
        <w:tc>
          <w:tcPr>
            <w:tcW w:w="340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2840" w:type="dxa"/>
            <w:tcBorders>
              <w:top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>
        <w:trPr>
          <w:trHeight w:val="465" w:hRule="atLeast"/>
        </w:trPr>
        <w:tc>
          <w:tcPr>
            <w:tcW w:w="34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65" w:hRule="atLeast"/>
        </w:trPr>
        <w:tc>
          <w:tcPr>
            <w:tcW w:w="34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65" w:hRule="atLeast"/>
        </w:trPr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</w:r>
    </w:p>
    <w:p>
      <w:pPr>
        <w:pStyle w:val="Normal"/>
        <w:keepNext w:val="false"/>
        <w:spacing w:before="0" w:after="120"/>
        <w:rPr>
          <w:rFonts w:ascii="Arial" w:hAnsi="Arial" w:cs="Arial"/>
          <w:i/>
          <w:i/>
          <w:lang w:val="sk-SK"/>
        </w:rPr>
      </w:pPr>
      <w:r>
        <w:rPr>
          <w:rFonts w:cs="Arial" w:ascii="Arial" w:hAnsi="Arial"/>
          <w:i/>
          <w:lang w:val="sk-SK"/>
        </w:rPr>
      </w:r>
    </w:p>
    <w:p>
      <w:pPr>
        <w:pStyle w:val="Normal"/>
        <w:rPr/>
      </w:pPr>
      <w:r>
        <w:rPr/>
      </w:r>
      <w:bookmarkStart w:id="18" w:name="_Toc474124320"/>
      <w:bookmarkStart w:id="19" w:name="_Toc474124208"/>
      <w:bookmarkStart w:id="20" w:name="_Toc474124320"/>
      <w:bookmarkStart w:id="21" w:name="_Toc474124208"/>
      <w:bookmarkEnd w:id="20"/>
      <w:bookmarkEnd w:id="21"/>
      <w:r>
        <w:br w:type="page"/>
      </w:r>
    </w:p>
    <w:p>
      <w:pPr>
        <w:pStyle w:val="Nadpis1"/>
        <w:keepNext w:val="false"/>
        <w:numPr>
          <w:ilvl w:val="0"/>
          <w:numId w:val="2"/>
        </w:numPr>
        <w:shd w:fill="FFFFFF" w:val="clear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Finančné účty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krátkodobom finančnom majetku</w:t>
      </w:r>
    </w:p>
    <w:tbl>
      <w:tblPr>
        <w:tblW w:w="906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>
        <w:trPr>
          <w:trHeight w:val="600" w:hRule="atLeast"/>
        </w:trPr>
        <w:tc>
          <w:tcPr>
            <w:tcW w:w="34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>
        <w:trPr>
          <w:trHeight w:val="375" w:hRule="atLeast"/>
        </w:trPr>
        <w:tc>
          <w:tcPr>
            <w:tcW w:w="346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2361</w:t>
            </w:r>
          </w:p>
        </w:tc>
      </w:tr>
      <w:tr>
        <w:trPr>
          <w:trHeight w:val="375" w:hRule="atLeast"/>
        </w:trPr>
        <w:tc>
          <w:tcPr>
            <w:tcW w:w="34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3113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4004 </w:t>
            </w:r>
          </w:p>
        </w:tc>
      </w:tr>
      <w:tr>
        <w:trPr>
          <w:trHeight w:val="375" w:hRule="atLeast"/>
        </w:trPr>
        <w:tc>
          <w:tcPr>
            <w:tcW w:w="34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34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34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3113</w:t>
            </w:r>
          </w:p>
        </w:tc>
        <w:tc>
          <w:tcPr>
            <w:tcW w:w="280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6365</w:t>
            </w:r>
          </w:p>
        </w:tc>
      </w:tr>
    </w:tbl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b/>
          <w:b/>
          <w:i/>
          <w:i/>
          <w:lang w:val="sk-SK"/>
        </w:rPr>
      </w:pPr>
      <w:r>
        <w:rPr>
          <w:rFonts w:cs="Arial" w:ascii="Arial" w:hAnsi="Arial"/>
          <w:b/>
          <w:lang w:val="sk-SK"/>
        </w:rPr>
        <w:t>VlASTNÉ IMANIE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Základné imanie spoločnosti je zložené z vkladu spoločníka</w:t>
      </w:r>
    </w:p>
    <w:p>
      <w:pPr>
        <w:pStyle w:val="Normal"/>
        <w:keepNext w:val="false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rozdelení účtovného zisku alebo o vysporiadaní účtovnej straty</w:t>
      </w:r>
    </w:p>
    <w:tbl>
      <w:tblPr>
        <w:tblW w:w="908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00"/>
        <w:gridCol w:w="4779"/>
      </w:tblGrid>
      <w:tr>
        <w:trPr>
          <w:trHeight w:val="375" w:hRule="atLeast"/>
        </w:trPr>
        <w:tc>
          <w:tcPr>
            <w:tcW w:w="4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7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účtovné obdobie</w:t>
            </w:r>
          </w:p>
        </w:tc>
      </w:tr>
      <w:tr>
        <w:trPr>
          <w:trHeight w:val="375" w:hRule="atLeast"/>
        </w:trPr>
        <w:tc>
          <w:tcPr>
            <w:tcW w:w="43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7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43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7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>
        <w:trPr>
          <w:trHeight w:val="375" w:hRule="atLeast"/>
        </w:trPr>
        <w:tc>
          <w:tcPr>
            <w:tcW w:w="43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43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43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43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43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43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375" w:hRule="atLeast"/>
        </w:trPr>
        <w:tc>
          <w:tcPr>
            <w:tcW w:w="43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43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79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43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79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</w:tbl>
    <w:p>
      <w:pPr>
        <w:pStyle w:val="Normal"/>
        <w:keepNext w:val="false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zmenách vlastného imania</w:t>
      </w:r>
    </w:p>
    <w:tbl>
      <w:tblPr>
        <w:tblW w:w="908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980"/>
        <w:gridCol w:w="1220"/>
        <w:gridCol w:w="1220"/>
        <w:gridCol w:w="1221"/>
        <w:gridCol w:w="1220"/>
        <w:gridCol w:w="1218"/>
      </w:tblGrid>
      <w:tr>
        <w:trPr>
          <w:trHeight w:val="270" w:hRule="atLeast"/>
        </w:trPr>
        <w:tc>
          <w:tcPr>
            <w:tcW w:w="29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099" w:type="dxa"/>
            <w:gridSpan w:val="5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>
        <w:trPr>
          <w:trHeight w:val="915" w:hRule="atLeast"/>
        </w:trPr>
        <w:tc>
          <w:tcPr>
            <w:tcW w:w="2980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  <w:br/>
              <w:t>na začiatku účtovného obdobia</w:t>
            </w:r>
          </w:p>
        </w:tc>
        <w:tc>
          <w:tcPr>
            <w:tcW w:w="122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1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18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6639 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6639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920 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920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13926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182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14108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22671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22671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-1332</w:t>
            </w:r>
          </w:p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-1332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50" w:hRule="exact"/>
        </w:trPr>
        <w:tc>
          <w:tcPr>
            <w:tcW w:w="2980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1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</w:tbl>
    <w:p>
      <w:pPr>
        <w:pStyle w:val="Normal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spacing w:before="0" w:after="0"/>
        <w:jc w:val="left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adpis1"/>
        <w:keepNext w:val="false"/>
        <w:numPr>
          <w:ilvl w:val="0"/>
          <w:numId w:val="2"/>
        </w:numPr>
        <w:shd w:fill="FFFFFF" w:val="clear"/>
        <w:spacing w:before="120" w:after="240"/>
        <w:rPr>
          <w:rFonts w:ascii="Arial" w:hAnsi="Arial" w:cs="Arial"/>
          <w:lang w:val="sk-SK"/>
        </w:rPr>
      </w:pPr>
      <w:bookmarkStart w:id="22" w:name="_Toc474124326"/>
      <w:bookmarkStart w:id="23" w:name="_Toc474124214"/>
      <w:r>
        <w:rPr>
          <w:rFonts w:cs="Arial" w:ascii="Arial" w:hAnsi="Arial"/>
          <w:lang w:val="sk-SK"/>
        </w:rPr>
        <w:t>závÄzky</w:t>
      </w:r>
      <w:bookmarkEnd w:id="22"/>
      <w:bookmarkEnd w:id="23"/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záväzkoch</w:t>
      </w:r>
    </w:p>
    <w:tbl>
      <w:tblPr>
        <w:tblW w:w="908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59"/>
        <w:gridCol w:w="2860"/>
        <w:gridCol w:w="2861"/>
      </w:tblGrid>
      <w:tr>
        <w:trPr>
          <w:trHeight w:val="525" w:hRule="atLeast"/>
        </w:trPr>
        <w:tc>
          <w:tcPr>
            <w:tcW w:w="33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>
        <w:trPr>
          <w:trHeight w:val="405" w:hRule="atLeast"/>
        </w:trPr>
        <w:tc>
          <w:tcPr>
            <w:tcW w:w="33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05" w:hRule="atLeast"/>
        </w:trPr>
        <w:tc>
          <w:tcPr>
            <w:tcW w:w="33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  <w:br/>
              <w:t>do jedného roka vrátane – obch.styku</w:t>
            </w:r>
          </w:p>
        </w:tc>
        <w:tc>
          <w:tcPr>
            <w:tcW w:w="28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7903</w:t>
            </w:r>
          </w:p>
        </w:tc>
        <w:tc>
          <w:tcPr>
            <w:tcW w:w="286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6819</w:t>
            </w:r>
          </w:p>
        </w:tc>
      </w:tr>
      <w:tr>
        <w:trPr>
          <w:trHeight w:val="405" w:hRule="atLeast"/>
        </w:trPr>
        <w:tc>
          <w:tcPr>
            <w:tcW w:w="33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13364</w:t>
            </w:r>
          </w:p>
        </w:tc>
        <w:tc>
          <w:tcPr>
            <w:tcW w:w="286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6060</w:t>
            </w:r>
          </w:p>
        </w:tc>
      </w:tr>
      <w:tr>
        <w:trPr>
          <w:trHeight w:val="405" w:hRule="atLeast"/>
        </w:trPr>
        <w:tc>
          <w:tcPr>
            <w:tcW w:w="33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41760 </w:t>
            </w:r>
          </w:p>
        </w:tc>
        <w:tc>
          <w:tcPr>
            <w:tcW w:w="286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40898 </w:t>
            </w:r>
          </w:p>
        </w:tc>
      </w:tr>
      <w:tr>
        <w:trPr>
          <w:trHeight w:val="405" w:hRule="atLeast"/>
        </w:trPr>
        <w:tc>
          <w:tcPr>
            <w:tcW w:w="33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1" w:type="dxa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05" w:hRule="atLeast"/>
        </w:trPr>
        <w:tc>
          <w:tcPr>
            <w:tcW w:w="3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000000"/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41760</w:t>
            </w:r>
          </w:p>
        </w:tc>
        <w:tc>
          <w:tcPr>
            <w:tcW w:w="2861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40898</w:t>
            </w:r>
          </w:p>
        </w:tc>
      </w:tr>
    </w:tbl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záväzkoch zo sociálneho fondu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Spoločnosť netvorí  sociálny fond, nakoľko nemá zamestnancov</w:t>
      </w:r>
    </w:p>
    <w:tbl>
      <w:tblPr>
        <w:tblW w:w="906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>
        <w:trPr>
          <w:trHeight w:val="435" w:hRule="atLeast"/>
        </w:trPr>
        <w:tc>
          <w:tcPr>
            <w:tcW w:w="3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>
        <w:trPr>
          <w:trHeight w:val="435" w:hRule="atLeast"/>
        </w:trPr>
        <w:tc>
          <w:tcPr>
            <w:tcW w:w="34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35" w:hRule="atLeast"/>
        </w:trPr>
        <w:tc>
          <w:tcPr>
            <w:tcW w:w="34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35" w:hRule="atLeast"/>
        </w:trPr>
        <w:tc>
          <w:tcPr>
            <w:tcW w:w="34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35" w:hRule="atLeast"/>
        </w:trPr>
        <w:tc>
          <w:tcPr>
            <w:tcW w:w="34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35" w:hRule="atLeast"/>
        </w:trPr>
        <w:tc>
          <w:tcPr>
            <w:tcW w:w="34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>
        <w:trPr>
          <w:trHeight w:val="435" w:hRule="atLeast"/>
        </w:trPr>
        <w:tc>
          <w:tcPr>
            <w:tcW w:w="346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435" w:hRule="atLeast"/>
        </w:trPr>
        <w:tc>
          <w:tcPr>
            <w:tcW w:w="34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bottom w:val="single" w:sz="12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adpis2"/>
        <w:numPr>
          <w:ilvl w:val="0"/>
          <w:numId w:val="0"/>
        </w:numPr>
        <w:rPr>
          <w:lang w:val="sk-SK"/>
        </w:rPr>
      </w:pPr>
      <w:bookmarkStart w:id="24" w:name="_Toc474124328"/>
      <w:bookmarkStart w:id="25" w:name="_Toc474124216"/>
      <w:r>
        <w:rPr>
          <w:lang w:val="sk-SK"/>
        </w:rPr>
        <w:t>Bankové úvery a finančné výpomoci</w:t>
      </w:r>
      <w:bookmarkEnd w:id="24"/>
      <w:bookmarkEnd w:id="25"/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Spoločnosť v roku 2024 nemala bankové úvery a finančné výpomoci</w:t>
      </w:r>
    </w:p>
    <w:p>
      <w:pPr>
        <w:pStyle w:val="Nadpis1"/>
        <w:keepNext w:val="false"/>
        <w:numPr>
          <w:ilvl w:val="0"/>
          <w:numId w:val="0"/>
        </w:numPr>
        <w:shd w:fill="FFFFFF" w:val="clear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adpis1"/>
        <w:keepNext w:val="false"/>
        <w:numPr>
          <w:ilvl w:val="0"/>
          <w:numId w:val="0"/>
        </w:numPr>
        <w:shd w:fill="FFFFFF" w:val="clear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adpis1"/>
        <w:keepNext w:val="false"/>
        <w:numPr>
          <w:ilvl w:val="0"/>
          <w:numId w:val="0"/>
        </w:numPr>
        <w:shd w:fill="FFFFFF" w:val="clear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adpis1"/>
        <w:keepNext w:val="false"/>
        <w:numPr>
          <w:ilvl w:val="0"/>
          <w:numId w:val="0"/>
        </w:numPr>
        <w:shd w:fill="FFFFFF" w:val="clear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Výnosy A Náklady</w:t>
      </w:r>
    </w:p>
    <w:p>
      <w:pPr>
        <w:pStyle w:val="Normal"/>
        <w:keepNext w:val="false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  <w:t>Tržby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tržbách</w:t>
      </w:r>
    </w:p>
    <w:tbl>
      <w:tblPr>
        <w:tblW w:w="908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759"/>
        <w:gridCol w:w="1221"/>
        <w:gridCol w:w="1219"/>
        <w:gridCol w:w="1"/>
        <w:gridCol w:w="1220"/>
        <w:gridCol w:w="1219"/>
        <w:gridCol w:w="2"/>
        <w:gridCol w:w="1220"/>
        <w:gridCol w:w="1218"/>
      </w:tblGrid>
      <w:tr>
        <w:trPr>
          <w:trHeight w:val="885" w:hRule="atLeast"/>
        </w:trPr>
        <w:tc>
          <w:tcPr>
            <w:tcW w:w="175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3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3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>
        <w:trPr>
          <w:trHeight w:val="1155" w:hRule="atLeast"/>
        </w:trPr>
        <w:tc>
          <w:tcPr>
            <w:tcW w:w="1759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1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  <w:br/>
              <w:t xml:space="preserve">ne predchádza- </w:t>
              <w:br/>
              <w:t>júce účtovné obdobie</w:t>
            </w:r>
          </w:p>
        </w:tc>
        <w:tc>
          <w:tcPr>
            <w:tcW w:w="122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  <w:br/>
              <w:t xml:space="preserve">ne predchádza- </w:t>
              <w:br/>
              <w:t>júce účtovné obdobie</w:t>
            </w:r>
          </w:p>
        </w:tc>
        <w:tc>
          <w:tcPr>
            <w:tcW w:w="122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18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  <w:br/>
              <w:t xml:space="preserve">ne predchádza- </w:t>
              <w:br/>
              <w:t>júce účtovné obdobie</w:t>
            </w:r>
          </w:p>
        </w:tc>
      </w:tr>
      <w:tr>
        <w:trPr>
          <w:trHeight w:val="375" w:hRule="atLeast"/>
        </w:trPr>
        <w:tc>
          <w:tcPr>
            <w:tcW w:w="17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Predaj služieb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1007</w:t>
            </w:r>
          </w:p>
        </w:tc>
        <w:tc>
          <w:tcPr>
            <w:tcW w:w="1220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4450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17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Predaj vl.výrobkov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81901</w:t>
            </w:r>
          </w:p>
        </w:tc>
        <w:tc>
          <w:tcPr>
            <w:tcW w:w="1220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75253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17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Zmena stavu výrobkov</w:t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4172</w:t>
            </w:r>
          </w:p>
        </w:tc>
        <w:tc>
          <w:tcPr>
            <w:tcW w:w="1220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-1472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1759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1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0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1" w:type="dxa"/>
            <w:gridSpan w:val="2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18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17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1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87080</w:t>
            </w:r>
          </w:p>
        </w:tc>
        <w:tc>
          <w:tcPr>
            <w:tcW w:w="122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78231</w:t>
            </w:r>
          </w:p>
        </w:tc>
        <w:tc>
          <w:tcPr>
            <w:tcW w:w="122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18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>
      <w:pPr>
        <w:pStyle w:val="Normal"/>
        <w:keepNext w:val="false"/>
        <w:spacing w:before="0" w:after="0"/>
        <w:rPr>
          <w:rFonts w:ascii="Arial" w:hAnsi="Arial" w:cs="Arial"/>
          <w:highlight w:val="yellow"/>
          <w:lang w:val="sk-SK"/>
        </w:rPr>
      </w:pPr>
      <w:r>
        <w:rPr>
          <w:rFonts w:cs="Arial" w:ascii="Arial" w:hAnsi="Arial"/>
          <w:highlight w:val="yellow"/>
          <w:lang w:val="sk-SK"/>
        </w:rPr>
      </w:r>
    </w:p>
    <w:tbl>
      <w:tblPr>
        <w:tblW w:w="912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>
        <w:trPr>
          <w:trHeight w:val="375" w:hRule="atLeast"/>
        </w:trPr>
        <w:tc>
          <w:tcPr>
            <w:tcW w:w="2920" w:type="dxa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375" w:hRule="atLeast"/>
        </w:trPr>
        <w:tc>
          <w:tcPr>
            <w:tcW w:w="2920" w:type="dxa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/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</w:tbl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čistom obrate</w:t>
      </w:r>
    </w:p>
    <w:tbl>
      <w:tblPr>
        <w:tblW w:w="912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>
        <w:trPr>
          <w:trHeight w:val="525" w:hRule="atLeast"/>
        </w:trPr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>
        <w:trPr>
          <w:trHeight w:val="37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81901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75253</w:t>
            </w:r>
          </w:p>
        </w:tc>
      </w:tr>
      <w:tr>
        <w:trPr>
          <w:trHeight w:val="37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1007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4450</w:t>
            </w:r>
          </w:p>
        </w:tc>
      </w:tr>
      <w:tr>
        <w:trPr>
          <w:trHeight w:val="37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37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37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>
        <w:trPr>
          <w:trHeight w:val="37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375" w:hRule="atLeast"/>
        </w:trPr>
        <w:tc>
          <w:tcPr>
            <w:tcW w:w="29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82908</w:t>
            </w:r>
          </w:p>
        </w:tc>
        <w:tc>
          <w:tcPr>
            <w:tcW w:w="3100" w:type="dxa"/>
            <w:tcBorders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79703</w:t>
            </w:r>
          </w:p>
        </w:tc>
      </w:tr>
    </w:tbl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b/>
          <w:b/>
          <w:lang w:val="sk-SK"/>
        </w:rPr>
      </w:pPr>
      <w:r>
        <w:rPr>
          <w:rFonts w:cs="Arial" w:ascii="Arial" w:hAnsi="Arial"/>
          <w:b/>
          <w:lang w:val="sk-SK"/>
        </w:rPr>
        <w:t>Náklady</w:t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Informácie o nákladoch</w:t>
      </w:r>
    </w:p>
    <w:tbl>
      <w:tblPr>
        <w:tblW w:w="9120" w:type="dxa"/>
        <w:jc w:val="left"/>
        <w:tblInd w:w="55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>
        <w:trPr>
          <w:trHeight w:val="525" w:hRule="atLeast"/>
        </w:trPr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center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na spotrebu materiálu z toho: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55041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46643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  <w:t>Náklady spotreba materiálu: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  <w:t>46335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  <w:t>37092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náklady PHM+oleje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3388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4246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Náklady režijný materiál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1893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2293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679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458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Spotreba energie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2746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2554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Mzdové náklady, soc.náklady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28933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26899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  <w:t>2125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  <w:t>3284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529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1767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BOZP A PO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387</w:t>
            </w:r>
          </w:p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525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378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386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Cs/>
                <w:color w:val="000000"/>
                <w:sz w:val="16"/>
                <w:szCs w:val="16"/>
                <w:lang w:val="sk-SK" w:eastAsia="sk-SK"/>
              </w:rPr>
              <w:t>BRUSENIE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775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508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56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98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97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352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i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i/>
                <w:iCs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97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352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 NÁKLADY</w:t>
            </w:r>
          </w:p>
        </w:tc>
        <w:tc>
          <w:tcPr>
            <w:tcW w:w="3100" w:type="dxa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1456</w:t>
            </w:r>
          </w:p>
        </w:tc>
        <w:tc>
          <w:tcPr>
            <w:tcW w:w="3100" w:type="dxa"/>
            <w:tcBorders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435</w:t>
            </w:r>
          </w:p>
        </w:tc>
      </w:tr>
      <w:tr>
        <w:trPr>
          <w:trHeight w:val="405" w:hRule="atLeast"/>
        </w:trPr>
        <w:tc>
          <w:tcPr>
            <w:tcW w:w="292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left"/>
              <w:rPr>
                <w:rFonts w:ascii="Arial" w:hAnsi="Arial" w:cs="Arial"/>
                <w:b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  <w:lang w:val="sk-SK" w:eastAsia="sk-SK"/>
              </w:rPr>
              <w:t>Mimoriadne náklady</w:t>
            </w:r>
          </w:p>
        </w:tc>
        <w:tc>
          <w:tcPr>
            <w:tcW w:w="3100" w:type="dxa"/>
            <w:tcBorders>
              <w:top w:val="single" w:sz="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</w:r>
          </w:p>
        </w:tc>
        <w:tc>
          <w:tcPr>
            <w:tcW w:w="3100" w:type="dxa"/>
            <w:tcBorders>
              <w:top w:val="single" w:sz="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keepNext w:val="false"/>
              <w:spacing w:before="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ormal"/>
        <w:keepNext w:val="false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</w:r>
    </w:p>
    <w:p>
      <w:pPr>
        <w:pStyle w:val="Nadpis1"/>
        <w:keepNext w:val="false"/>
        <w:numPr>
          <w:ilvl w:val="0"/>
          <w:numId w:val="2"/>
        </w:numPr>
        <w:shd w:fill="FFFFFF" w:val="clear"/>
        <w:rPr>
          <w:rFonts w:ascii="Arial" w:hAnsi="Arial" w:cs="Arial"/>
          <w:lang w:val="sk-SK"/>
        </w:rPr>
      </w:pPr>
      <w:r>
        <w:rPr>
          <w:rFonts w:cs="Arial" w:ascii="Arial" w:hAnsi="Arial"/>
          <w:lang w:val="sk-SK"/>
        </w:rPr>
        <w:t>Významné udalosti, ktoré nastali po DnI, KU KTORému sa zostavuje účtovná závierka</w:t>
      </w:r>
    </w:p>
    <w:p>
      <w:pPr>
        <w:pStyle w:val="Odstavecbezcisla"/>
        <w:ind w:left="0" w:hanging="0"/>
        <w:rPr>
          <w:rFonts w:ascii="Arial" w:hAnsi="Arial" w:cs="Arial"/>
          <w:iCs w:val="false"/>
          <w:szCs w:val="20"/>
          <w:lang w:eastAsia="en-US"/>
        </w:rPr>
      </w:pPr>
      <w:r>
        <w:rPr>
          <w:rFonts w:cs="Arial" w:ascii="Arial" w:hAnsi="Arial"/>
          <w:iCs w:val="false"/>
          <w:szCs w:val="20"/>
          <w:lang w:eastAsia="en-US"/>
        </w:rPr>
      </w:r>
    </w:p>
    <w:p>
      <w:pPr>
        <w:pStyle w:val="Odstavecbezcisla"/>
        <w:ind w:left="0" w:hanging="0"/>
        <w:rPr>
          <w:rFonts w:ascii="Arial" w:hAnsi="Arial" w:cs="Arial"/>
          <w:iCs w:val="false"/>
          <w:szCs w:val="20"/>
          <w:lang w:eastAsia="en-US"/>
        </w:rPr>
      </w:pPr>
      <w:r>
        <w:rPr>
          <w:rFonts w:cs="Arial" w:ascii="Arial" w:hAnsi="Arial"/>
          <w:iCs w:val="false"/>
          <w:szCs w:val="20"/>
          <w:lang w:eastAsia="en-US"/>
        </w:rPr>
        <w:t xml:space="preserve">Po 31. decembri </w:t>
      </w:r>
      <w:r>
        <w:rPr>
          <w:rFonts w:cs="Arial" w:ascii="Arial" w:hAnsi="Arial"/>
          <w:iCs w:val="false"/>
          <w:lang w:eastAsia="en-US"/>
        </w:rPr>
        <w:t>2024</w:t>
      </w:r>
      <w:r>
        <w:rPr>
          <w:rFonts w:cs="Arial" w:ascii="Arial" w:hAnsi="Arial"/>
          <w:iCs w:val="false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>
      <w:pPr>
        <w:pStyle w:val="Odstavecbezcisla"/>
        <w:ind w:left="0" w:hanging="0"/>
        <w:rPr/>
      </w:pPr>
      <w:r>
        <w:rPr/>
      </w:r>
    </w:p>
    <w:sectPr>
      <w:headerReference w:type="default" r:id="rId14"/>
      <w:footerReference w:type="default" r:id="rId15"/>
      <w:type w:val="nextPage"/>
      <w:pgSz w:w="11906" w:h="16838"/>
      <w:pgMar w:left="1701" w:right="1134" w:header="1134" w:top="2127" w:footer="454" w:bottom="1134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Arial Unicode MS">
    <w:charset w:val="ee"/>
    <w:family w:val="roman"/>
    <w:pitch w:val="variable"/>
  </w:font>
  <w:font w:name="Cambri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0" w:after="120"/>
      <w:ind w:firstLine="3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pBdr>
        <w:top w:val="thinThickSmallGap" w:sz="24" w:space="1" w:color="622423"/>
      </w:pBdr>
      <w:rPr>
        <w:rFonts w:ascii="Cambria" w:hAnsi="Cambria" w:eastAsia="" w:cs="" w:asciiTheme="majorHAnsi" w:cstheme="majorBidi" w:eastAsiaTheme="majorEastAsia" w:hAnsiTheme="majorHAnsi"/>
      </w:rPr>
    </w:pPr>
    <w:r>
      <w:rPr>
        <w:rFonts w:eastAsia="" w:cs="" w:ascii="Cambria" w:hAnsi="Cambria" w:asciiTheme="majorHAnsi" w:cstheme="majorBidi" w:eastAsiaTheme="majorEastAsia" w:hAnsiTheme="majorHAnsi"/>
      </w:rPr>
      <w:t>Poznámky  2024</w:t>
    </w:r>
  </w:p>
  <w:p>
    <w:pPr>
      <w:pStyle w:val="Pta"/>
      <w:tabs>
        <w:tab w:val="center" w:pos="4536" w:leader="none"/>
        <w:tab w:val="right" w:pos="9072" w:leader="none"/>
      </w:tabs>
      <w:spacing w:before="0" w:after="12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pBdr>
        <w:top w:val="thinThickSmallGap" w:sz="24" w:space="1" w:color="622423"/>
      </w:pBdr>
      <w:rPr>
        <w:rFonts w:ascii="Cambria" w:hAnsi="Cambria" w:asciiTheme="majorHAnsi" w:hAnsiTheme="majorHAnsi"/>
      </w:rPr>
    </w:pPr>
    <w:r>
      <w:rPr>
        <w:rFonts w:ascii="Cambria" w:hAnsi="Cambria" w:asciiTheme="majorHAnsi" w:hAnsiTheme="majorHAnsi"/>
      </w:rPr>
      <w:t>Poznámky 2024</w:t>
    </w:r>
  </w:p>
  <w:p>
    <w:pPr>
      <w:pStyle w:val="Pta"/>
      <w:pBdr>
        <w:top w:val="thinThickSmallGap" w:sz="24" w:space="1" w:color="622423"/>
      </w:pBdr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Pta"/>
      <w:spacing w:before="0" w:after="120"/>
      <w:jc w:val="center"/>
      <w:rPr>
        <w:rFonts w:ascii="Arial" w:hAnsi="Arial" w:cs="Arial"/>
      </w:rPr>
    </w:pPr>
    <w:r>
      <w:rPr>
        <w:rFonts w:cs="Arial" w:ascii="Arial" w:hAnsi="Arial"/>
      </w:rPr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left"/>
      <w:rPr/>
    </w:pPr>
    <w:r>
      <w:rPr/>
      <w:t>Poznámky 2024</w:t>
    </w:r>
  </w:p>
  <w:p>
    <w:pPr>
      <w:pStyle w:val="Pta"/>
      <w:spacing w:before="0" w:after="120"/>
      <w:jc w:val="center"/>
      <w:rPr/>
    </w:pPr>
    <w:r>
      <w:rPr>
        <w:rFonts w:cs="Arial" w:ascii="Arial" w:hAnsi="Arial"/>
      </w:rPr>
      <w:fldChar w:fldCharType="begin"/>
    </w:r>
    <w:r>
      <w:rPr>
        <w:rFonts w:cs="Arial" w:ascii="Arial" w:hAnsi="Arial"/>
      </w:rPr>
      <w:instrText> PAGE </w:instrText>
    </w:r>
    <w:r>
      <w:rPr>
        <w:rFonts w:cs="Arial" w:ascii="Arial" w:hAnsi="Arial"/>
      </w:rPr>
      <w:fldChar w:fldCharType="separate"/>
    </w:r>
    <w:r>
      <w:rPr>
        <w:rFonts w:cs="Arial" w:ascii="Arial" w:hAnsi="Arial"/>
      </w:rPr>
      <w:t>4</w:t>
    </w:r>
    <w:r>
      <w:rPr>
        <w:rFonts w:cs="Arial" w:ascii="Arial" w:hAnsi="Arial"/>
      </w:rPr>
      <w:fldChar w:fldCharType="end"/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left"/>
      <w:rPr/>
    </w:pPr>
    <w:r>
      <w:rPr/>
      <w:t>Poznámky 2024</w:t>
    </w:r>
  </w:p>
  <w:p>
    <w:pPr>
      <w:pStyle w:val="Pta"/>
      <w:spacing w:before="0" w:after="120"/>
      <w:jc w:val="center"/>
      <w:rPr/>
    </w:pPr>
    <w:r>
      <w:rPr>
        <w:rFonts w:cs="Arial" w:ascii="Arial" w:hAnsi="Arial"/>
      </w:rPr>
      <w:fldChar w:fldCharType="begin"/>
    </w:r>
    <w:r>
      <w:rPr>
        <w:rFonts w:cs="Arial" w:ascii="Arial" w:hAnsi="Arial"/>
      </w:rPr>
      <w:instrText> PAGE </w:instrText>
    </w:r>
    <w:r>
      <w:rPr>
        <w:rFonts w:cs="Arial" w:ascii="Arial" w:hAnsi="Arial"/>
      </w:rPr>
      <w:fldChar w:fldCharType="separate"/>
    </w:r>
    <w:r>
      <w:rPr>
        <w:rFonts w:cs="Arial" w:ascii="Arial" w:hAnsi="Arial"/>
      </w:rPr>
      <w:t>6</w:t>
    </w:r>
    <w:r>
      <w:rPr>
        <w:rFonts w:cs="Arial" w:ascii="Arial" w:hAnsi="Arial"/>
      </w:rPr>
      <w:fldChar w:fldCharType="end"/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left"/>
      <w:rPr/>
    </w:pPr>
    <w:r>
      <w:rPr/>
      <w:t>Poznámky 2024</w:t>
    </w:r>
  </w:p>
  <w:p>
    <w:pPr>
      <w:pStyle w:val="Pta"/>
      <w:spacing w:before="0" w:after="120"/>
      <w:jc w:val="center"/>
      <w:rPr/>
    </w:pPr>
    <w:r>
      <w:rPr>
        <w:rFonts w:cs="Arial" w:ascii="Arial" w:hAnsi="Arial"/>
      </w:rPr>
      <w:fldChar w:fldCharType="begin"/>
    </w:r>
    <w:r>
      <w:rPr>
        <w:rFonts w:cs="Arial" w:ascii="Arial" w:hAnsi="Arial"/>
      </w:rPr>
      <w:instrText> PAGE </w:instrText>
    </w:r>
    <w:r>
      <w:rPr>
        <w:rFonts w:cs="Arial" w:ascii="Arial" w:hAnsi="Arial"/>
      </w:rPr>
      <w:fldChar w:fldCharType="separate"/>
    </w:r>
    <w:r>
      <w:rPr>
        <w:rFonts w:cs="Arial" w:ascii="Arial" w:hAnsi="Arial"/>
      </w:rPr>
      <w:t>7</w:t>
    </w:r>
    <w:r>
      <w:rPr>
        <w:rFonts w:cs="Arial" w:ascii="Arial" w:hAnsi="Arial"/>
      </w:rPr>
      <w:fldChar w:fldCharType="end"/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left"/>
      <w:rPr/>
    </w:pPr>
    <w:r>
      <w:rPr/>
      <w:t>Poznámky 2024</w:t>
    </w:r>
  </w:p>
  <w:p>
    <w:pPr>
      <w:pStyle w:val="Pta"/>
      <w:spacing w:before="0" w:after="120"/>
      <w:jc w:val="center"/>
      <w:rPr/>
    </w:pPr>
    <w:r>
      <w:rPr>
        <w:rFonts w:cs="Arial" w:ascii="Arial" w:hAnsi="Arial"/>
      </w:rPr>
      <w:fldChar w:fldCharType="begin"/>
    </w:r>
    <w:r>
      <w:rPr>
        <w:rFonts w:cs="Arial" w:ascii="Arial" w:hAnsi="Arial"/>
      </w:rPr>
      <w:instrText> PAGE </w:instrText>
    </w:r>
    <w:r>
      <w:rPr>
        <w:rFonts w:cs="Arial" w:ascii="Arial" w:hAnsi="Arial"/>
      </w:rPr>
      <w:fldChar w:fldCharType="separate"/>
    </w:r>
    <w:r>
      <w:rPr>
        <w:rFonts w:cs="Arial" w:ascii="Arial" w:hAnsi="Arial"/>
      </w:rPr>
      <w:t>14</w:t>
    </w:r>
    <w:r>
      <w:rPr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>
        <w:lang w:val="en-GB"/>
      </w:rPr>
    </w:pPr>
    <w:r>
      <w:rPr>
        <w:lang w:val="en-GB"/>
      </w:rPr>
    </w:r>
  </w:p>
  <w:p>
    <w:pPr>
      <w:pStyle w:val="Normal"/>
      <w:rPr>
        <w:lang w:val="en-GB"/>
      </w:rPr>
    </w:pPr>
    <w:r>
      <w:rPr>
        <w:lang w:val="en-GB"/>
      </w:rPr>
    </w:r>
  </w:p>
  <w:p>
    <w:pPr>
      <w:pStyle w:val="Normal"/>
      <w:rPr>
        <w:lang w:val="en-GB"/>
      </w:rPr>
    </w:pPr>
    <w:r>
      <w:rPr>
        <w:lang w:val="en-GB"/>
      </w:rPr>
    </w:r>
  </w:p>
  <w:p>
    <w:pPr>
      <w:pStyle w:val="Normal"/>
      <w:spacing w:before="0" w:after="240"/>
      <w:rPr>
        <w:lang w:val="en-GB"/>
      </w:rPr>
    </w:pPr>
    <w:r>
      <w:rPr>
        <w:lang w:val="en-GB"/>
      </w:rPr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pBdr>
        <w:bottom w:val="thickThinSmallGap" w:sz="24" w:space="1" w:color="622423"/>
      </w:pBdr>
      <w:spacing w:before="0" w:after="240"/>
      <w:jc w:val="center"/>
      <w:rPr/>
    </w:pPr>
    <w:r>
      <w:rPr>
        <w:rFonts w:eastAsia="" w:cs="" w:ascii="Cambria" w:hAnsi="Cambria" w:asciiTheme="majorHAnsi" w:cstheme="majorBidi" w:eastAsiaTheme="majorEastAsia" w:hAnsiTheme="majorHAnsi"/>
        <w:sz w:val="32"/>
        <w:szCs w:val="32"/>
      </w:rPr>
      <w:t>DREVOS Slovakia spol.s.r.o.Pliešovce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Lines"/>
      <w:rPr/>
    </w:pPr>
    <w:r>
      <w:rPr/>
    </w:r>
  </w:p>
  <w:p>
    <w:pPr>
      <w:pStyle w:val="Lines"/>
      <w:rPr/>
    </w:pPr>
    <w:r>
      <w:rPr/>
      <w:t>Poznámky individuálnej účtovnej závierky zostavenej k 31. decembru 2024</w:t>
    </w:r>
  </w:p>
  <w:p>
    <w:pPr>
      <w:pStyle w:val="Lines"/>
      <w:rPr/>
    </w:pPr>
    <w:r>
      <w:rPr/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Lines"/>
      <w:rPr/>
    </w:pPr>
    <w:r>
      <w:rPr/>
    </w:r>
  </w:p>
  <w:p>
    <w:pPr>
      <w:pStyle w:val="Lines"/>
      <w:rPr/>
    </w:pPr>
    <w:r>
      <w:rPr/>
      <w:t>Poznámky individuálnej účtovnej závierky zostavenej k 31. decembru 2024</w:t>
    </w:r>
  </w:p>
  <w:p>
    <w:pPr>
      <w:pStyle w:val="Lines"/>
      <w:rPr/>
    </w:pPr>
    <w:r>
      <w:rPr/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Lines"/>
      <w:rPr/>
    </w:pPr>
    <w:r>
      <w:rPr/>
    </w:r>
  </w:p>
  <w:p>
    <w:pPr>
      <w:pStyle w:val="Lines"/>
      <w:rPr/>
    </w:pPr>
    <w:r>
      <w:rPr/>
      <w:t>Poznámky individuálnej účtovnej závierky zostavenej k 31. decembru 2024</w:t>
    </w:r>
  </w:p>
  <w:p>
    <w:pPr>
      <w:pStyle w:val="Lines"/>
      <w:rPr/>
    </w:pPr>
    <w:r>
      <w:rPr/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Lines"/>
      <w:rPr/>
    </w:pPr>
    <w:r>
      <w:rPr/>
    </w:r>
  </w:p>
  <w:p>
    <w:pPr>
      <w:pStyle w:val="Lines"/>
      <w:rPr/>
    </w:pPr>
    <w:r>
      <w:rPr/>
      <w:t>Poznámky individuálnej účtovnej závierky zostavenej k 31. decembru 2024</w:t>
    </w:r>
  </w:p>
  <w:p>
    <w:pPr>
      <w:pStyle w:val="Lines"/>
      <w:rPr/>
    </w:pPr>
    <w:r>
      <w:rPr/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Lines"/>
      <w:rPr/>
    </w:pPr>
    <w:r>
      <w:rPr/>
    </w:r>
  </w:p>
  <w:p>
    <w:pPr>
      <w:pStyle w:val="Lines"/>
      <w:rPr/>
    </w:pPr>
    <w:r>
      <w:rPr/>
      <w:t>Poznámky individuálnej účtovnej závierky zostavenej k 31. decembru 2024</w:t>
    </w:r>
  </w:p>
  <w:p>
    <w:pPr>
      <w:pStyle w:val="Lines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%1."/>
      <w:lvlJc w:val="left"/>
      <w:pPr>
        <w:tabs>
          <w:tab w:val="num" w:pos="454"/>
        </w:tabs>
        <w:ind w:left="454" w:hanging="454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56"/>
  <w:embedSystemFonts/>
  <w:defaultTabStop w:val="709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e1613"/>
    <w:pPr>
      <w:keepNext w:val="true"/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cs-CZ" w:eastAsia="en-US" w:bidi="ar-SA"/>
    </w:rPr>
  </w:style>
  <w:style w:type="paragraph" w:styleId="Nadpis1">
    <w:name w:val="Heading 1"/>
    <w:basedOn w:val="Normal"/>
    <w:next w:val="Normal"/>
    <w:qFormat/>
    <w:rsid w:val="00f22856"/>
    <w:pPr>
      <w:numPr>
        <w:ilvl w:val="0"/>
        <w:numId w:val="1"/>
      </w:numPr>
      <w:shd w:val="solid" w:color="FFFFFF" w:fill="FFFFFF"/>
      <w:spacing w:before="360" w:after="240"/>
      <w:outlineLvl w:val="0"/>
    </w:pPr>
    <w:rPr>
      <w:b/>
      <w:caps/>
      <w:u w:val="single"/>
    </w:rPr>
  </w:style>
  <w:style w:type="paragraph" w:styleId="Nadpis2">
    <w:name w:val="Heading 2"/>
    <w:basedOn w:val="Normal"/>
    <w:next w:val="Normal"/>
    <w:qFormat/>
    <w:rsid w:val="00f22856"/>
    <w:pPr>
      <w:numPr>
        <w:ilvl w:val="0"/>
        <w:numId w:val="1"/>
      </w:numPr>
    </w:pPr>
    <w:rPr>
      <w:b/>
    </w:rPr>
  </w:style>
  <w:style w:type="paragraph" w:styleId="Nadpis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Nadpis4">
    <w:name w:val="Heading 4"/>
    <w:basedOn w:val="Normal"/>
    <w:next w:val="Normal"/>
    <w:qFormat/>
    <w:rsid w:val="00f22856"/>
    <w:pPr>
      <w:outlineLvl w:val="3"/>
    </w:pPr>
    <w:rPr>
      <w:b/>
    </w:rPr>
  </w:style>
  <w:style w:type="paragraph" w:styleId="Nadpis5">
    <w:name w:val="Heading 5"/>
    <w:basedOn w:val="Normal"/>
    <w:next w:val="Normal"/>
    <w:qFormat/>
    <w:rsid w:val="00f22856"/>
    <w:pPr>
      <w:spacing w:before="0" w:after="120"/>
      <w:outlineLvl w:val="4"/>
    </w:pPr>
    <w:rPr>
      <w:b/>
    </w:rPr>
  </w:style>
  <w:style w:type="paragraph" w:styleId="Nadpis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al"/>
    <w:next w:val="Normal"/>
    <w:qFormat/>
    <w:rsid w:val="00f22856"/>
    <w:pPr>
      <w:spacing w:before="0" w:after="0"/>
      <w:outlineLvl w:val="7"/>
    </w:pPr>
    <w:rPr>
      <w:i/>
      <w:sz w:val="14"/>
    </w:rPr>
  </w:style>
  <w:style w:type="paragraph" w:styleId="Nadpis9">
    <w:name w:val="Heading 9"/>
    <w:basedOn w:val="Normal"/>
    <w:next w:val="Normal"/>
    <w:qFormat/>
    <w:rsid w:val="00f22856"/>
    <w:pPr>
      <w:spacing w:before="0" w:after="0"/>
      <w:outlineLvl w:val="8"/>
    </w:pPr>
    <w:rPr>
      <w:i/>
      <w:sz w:val="14"/>
      <w:lang w:val="en-GB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basedOn w:val="DefaultParagraphFont"/>
    <w:semiHidden/>
    <w:qFormat/>
    <w:rsid w:val="00063304"/>
    <w:rPr>
      <w:vertAlign w:val="superscript"/>
    </w:rPr>
  </w:style>
  <w:style w:type="character" w:styleId="OdstavecbezcislaChar" w:customStyle="1">
    <w:name w:val="odstavecbezcisla Char"/>
    <w:basedOn w:val="DefaultParagraphFont"/>
    <w:link w:val="odstavecbezcisla"/>
    <w:qFormat/>
    <w:rsid w:val="000a5a10"/>
    <w:rPr>
      <w:iCs/>
      <w:szCs w:val="24"/>
      <w:lang w:val="sk-SK" w:eastAsia="sk-SK" w:bidi="ar-SA"/>
    </w:rPr>
  </w:style>
  <w:style w:type="character" w:styleId="StyleodstavecbezcislaItalicRedChar" w:customStyle="1">
    <w:name w:val="Style odstavecbezcisla + Italic Red Char"/>
    <w:basedOn w:val="OdstavecbezcislaChar"/>
    <w:link w:val="StyleodstavecbezcislaItalicRed"/>
    <w:qFormat/>
    <w:rsid w:val="008b5be2"/>
    <w:rPr>
      <w:iCs/>
      <w:color w:val="333399"/>
      <w:szCs w:val="24"/>
      <w:lang w:val="sk-SK" w:eastAsia="sk-SK" w:bidi="ar-SA"/>
    </w:rPr>
  </w:style>
  <w:style w:type="character" w:styleId="NzovChar" w:customStyle="1">
    <w:name w:val="Názov Char"/>
    <w:basedOn w:val="DefaultParagraphFont"/>
    <w:link w:val="Nzov"/>
    <w:uiPriority w:val="99"/>
    <w:qFormat/>
    <w:rsid w:val="003d4520"/>
    <w:rPr>
      <w:rFonts w:ascii="Arial Narrow" w:hAnsi="Arial Narrow"/>
      <w:b/>
      <w:bCs/>
      <w:kern w:val="2"/>
      <w:sz w:val="22"/>
      <w:szCs w:val="32"/>
      <w:lang w:eastAsia="en-US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6d2c4f"/>
    <w:rPr>
      <w:lang w:val="cs-CZ" w:eastAsia="en-US"/>
    </w:rPr>
  </w:style>
  <w:style w:type="character" w:styleId="PtaChar" w:customStyle="1">
    <w:name w:val="Päta Char"/>
    <w:basedOn w:val="DefaultParagraphFont"/>
    <w:link w:val="Pta"/>
    <w:uiPriority w:val="99"/>
    <w:qFormat/>
    <w:rsid w:val="006d2c4f"/>
    <w:rPr>
      <w:sz w:val="18"/>
      <w:lang w:val="cs-CZ" w:eastAsia="en-US"/>
    </w:rPr>
  </w:style>
  <w:style w:type="character" w:styleId="TextkoncovejpoznmkyChar" w:customStyle="1">
    <w:name w:val="Text koncovej poznámky Char"/>
    <w:basedOn w:val="DefaultParagraphFont"/>
    <w:link w:val="Textkoncovejpoznmky"/>
    <w:qFormat/>
    <w:rsid w:val="000444a3"/>
    <w:rPr>
      <w:lang w:val="cs-CZ" w:eastAsia="en-US"/>
    </w:rPr>
  </w:style>
  <w:style w:type="character" w:styleId="Ukotveniekoncovejpoznmky">
    <w:name w:val="Ukotvenie koncovej poznámky"/>
    <w:rPr>
      <w:vertAlign w:val="superscript"/>
    </w:rPr>
  </w:style>
  <w:style w:type="character" w:styleId="EndnoteCharacters">
    <w:name w:val="Endnote Characters"/>
    <w:basedOn w:val="DefaultParagraphFont"/>
    <w:qFormat/>
    <w:rsid w:val="000444a3"/>
    <w:rPr>
      <w:vertAlign w:val="superscript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f22856"/>
    <w:pPr>
      <w:jc w:val="left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Pta">
    <w:name w:val="Footer"/>
    <w:basedOn w:val="Normal"/>
    <w:link w:val="PtaChar"/>
    <w:uiPriority w:val="99"/>
    <w:rsid w:val="00f22856"/>
    <w:pPr>
      <w:tabs>
        <w:tab w:val="clear" w:pos="709"/>
        <w:tab w:val="center" w:pos="4536" w:leader="none"/>
        <w:tab w:val="right" w:pos="9072" w:leader="none"/>
      </w:tabs>
      <w:spacing w:before="0" w:after="120"/>
    </w:pPr>
    <w:rPr>
      <w:sz w:val="18"/>
    </w:rPr>
  </w:style>
  <w:style w:type="paragraph" w:styleId="Hlavika">
    <w:name w:val="Header"/>
    <w:basedOn w:val="Normal"/>
    <w:link w:val="HlavikaChar"/>
    <w:uiPriority w:val="99"/>
    <w:rsid w:val="00f2285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TableHeader" w:customStyle="1">
    <w:name w:val="Table Header"/>
    <w:basedOn w:val="Normal"/>
    <w:qFormat/>
    <w:rsid w:val="00f22856"/>
    <w:pPr>
      <w:spacing w:before="0" w:after="0"/>
      <w:jc w:val="center"/>
    </w:pPr>
    <w:rPr>
      <w:sz w:val="16"/>
    </w:rPr>
  </w:style>
  <w:style w:type="paragraph" w:styleId="Tablemiddleline" w:customStyle="1">
    <w:name w:val="Table middle line"/>
    <w:basedOn w:val="Normal"/>
    <w:qFormat/>
    <w:rsid w:val="00f22856"/>
    <w:pPr>
      <w:spacing w:before="0" w:after="0"/>
      <w:jc w:val="left"/>
    </w:pPr>
    <w:rPr>
      <w:iCs/>
      <w:sz w:val="16"/>
    </w:rPr>
  </w:style>
  <w:style w:type="paragraph" w:styleId="TableFirstLine" w:customStyle="1">
    <w:name w:val="Table First Line"/>
    <w:basedOn w:val="Normal"/>
    <w:qFormat/>
    <w:rsid w:val="00f22856"/>
    <w:pPr>
      <w:spacing w:before="0" w:after="120"/>
      <w:jc w:val="left"/>
    </w:pPr>
    <w:rPr>
      <w:sz w:val="16"/>
    </w:rPr>
  </w:style>
  <w:style w:type="paragraph" w:styleId="TableLastLine" w:customStyle="1">
    <w:name w:val="Table Last Line"/>
    <w:basedOn w:val="Normal"/>
    <w:qFormat/>
    <w:rsid w:val="00f22856"/>
    <w:pPr>
      <w:spacing w:before="120" w:after="120"/>
      <w:jc w:val="left"/>
    </w:pPr>
    <w:rPr>
      <w:sz w:val="16"/>
    </w:rPr>
  </w:style>
  <w:style w:type="paragraph" w:styleId="Table" w:customStyle="1">
    <w:name w:val="table"/>
    <w:basedOn w:val="Normal"/>
    <w:qFormat/>
    <w:rsid w:val="00f22856"/>
    <w:pPr>
      <w:spacing w:before="0" w:after="0"/>
      <w:jc w:val="left"/>
    </w:pPr>
    <w:rPr>
      <w:sz w:val="16"/>
    </w:rPr>
  </w:style>
  <w:style w:type="paragraph" w:styleId="Heading2b" w:customStyle="1">
    <w:name w:val="heading 2b"/>
    <w:basedOn w:val="Normal"/>
    <w:qFormat/>
    <w:rsid w:val="00f22856"/>
    <w:pPr>
      <w:spacing w:before="0" w:after="120"/>
    </w:pPr>
    <w:rPr/>
  </w:style>
  <w:style w:type="paragraph" w:styleId="Normalitalic" w:customStyle="1">
    <w:name w:val="Normal_italic"/>
    <w:basedOn w:val="Normal"/>
    <w:qFormat/>
    <w:rsid w:val="00f22856"/>
    <w:pPr/>
    <w:rPr>
      <w:i/>
    </w:rPr>
  </w:style>
  <w:style w:type="paragraph" w:styleId="Tableindent" w:customStyle="1">
    <w:name w:val="Table indent"/>
    <w:basedOn w:val="TableFirstLine"/>
    <w:qFormat/>
    <w:rsid w:val="00f22856"/>
    <w:pPr>
      <w:ind w:left="170" w:hanging="0"/>
    </w:pPr>
    <w:rPr/>
  </w:style>
  <w:style w:type="paragraph" w:styleId="BalloonText">
    <w:name w:val="Balloon Text"/>
    <w:basedOn w:val="Normal"/>
    <w:semiHidden/>
    <w:qFormat/>
    <w:rsid w:val="00f22856"/>
    <w:pPr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qFormat/>
    <w:rsid w:val="00742cd3"/>
    <w:pPr>
      <w:keepNext w:val="false"/>
      <w:spacing w:lineRule="atLeast" w:line="240" w:before="120" w:after="0"/>
    </w:pPr>
    <w:rPr>
      <w:rFonts w:ascii="Arial" w:hAnsi="Arial"/>
      <w:i/>
      <w:sz w:val="24"/>
      <w:u w:val="single"/>
      <w:lang w:val="sk-SK" w:eastAsia="sk-SK"/>
    </w:rPr>
  </w:style>
  <w:style w:type="paragraph" w:styleId="Dotabulky" w:customStyle="1">
    <w:name w:val="do tabulky"/>
    <w:basedOn w:val="Telotextu"/>
    <w:qFormat/>
    <w:rsid w:val="00742cd3"/>
    <w:pPr>
      <w:keepNext w:val="false"/>
      <w:spacing w:before="40" w:after="0"/>
    </w:pPr>
    <w:rPr>
      <w:sz w:val="24"/>
      <w:szCs w:val="24"/>
      <w:lang w:val="sk-SK" w:eastAsia="sk-SK"/>
    </w:rPr>
  </w:style>
  <w:style w:type="paragraph" w:styleId="Lines" w:customStyle="1">
    <w:name w:val="line_s"/>
    <w:basedOn w:val="Normal"/>
    <w:autoRedefine/>
    <w:qFormat/>
    <w:rsid w:val="00e7199a"/>
    <w:pPr>
      <w:keepNext w:val="false"/>
      <w:pBdr>
        <w:bottom w:val="single" w:sz="4" w:space="0" w:color="000000"/>
      </w:pBdr>
      <w:spacing w:before="0"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qFormat/>
    <w:rsid w:val="004d0bd2"/>
    <w:pPr>
      <w:spacing w:before="0" w:after="120"/>
      <w:ind w:left="283" w:hanging="0"/>
    </w:pPr>
    <w:rPr>
      <w:sz w:val="16"/>
      <w:szCs w:val="16"/>
    </w:rPr>
  </w:style>
  <w:style w:type="paragraph" w:styleId="Odstavecbezcisla" w:customStyle="1">
    <w:name w:val="odstavecbezcisla"/>
    <w:basedOn w:val="BodyText3"/>
    <w:link w:val="odstavecbezcislaChar"/>
    <w:qFormat/>
    <w:rsid w:val="004d0bd2"/>
    <w:pPr>
      <w:keepNext w:val="false"/>
      <w:spacing w:before="0" w:after="0"/>
      <w:ind w:left="426" w:hanging="0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qFormat/>
    <w:rsid w:val="004d0bd2"/>
    <w:pPr>
      <w:spacing w:before="0" w:after="120"/>
    </w:pPr>
    <w:rPr>
      <w:sz w:val="16"/>
      <w:szCs w:val="16"/>
    </w:rPr>
  </w:style>
  <w:style w:type="paragraph" w:styleId="Normal8pt" w:customStyle="1">
    <w:name w:val="Normal + 8 pt"/>
    <w:basedOn w:val="Normal"/>
    <w:qFormat/>
    <w:rsid w:val="000f5f56"/>
    <w:pPr>
      <w:keepNext w:val="false"/>
      <w:spacing w:before="0" w:after="0"/>
      <w:jc w:val="right"/>
    </w:pPr>
    <w:rPr>
      <w:b/>
      <w:bCs/>
      <w:sz w:val="16"/>
      <w:szCs w:val="16"/>
      <w:lang w:val="sk-SK" w:eastAsia="sk-SK"/>
    </w:rPr>
  </w:style>
  <w:style w:type="paragraph" w:styleId="Xl79" w:customStyle="1">
    <w:name w:val="xl79"/>
    <w:basedOn w:val="Normal"/>
    <w:qFormat/>
    <w:rsid w:val="00d97508"/>
    <w:pPr>
      <w:keepNext w:val="false"/>
      <w:spacing w:beforeAutospacing="1" w:afterAutospacing="1"/>
      <w:jc w:val="right"/>
    </w:pPr>
    <w:rPr>
      <w:rFonts w:ascii="Arial Unicode MS" w:hAnsi="Arial Unicode MS" w:eastAsia="Arial Unicode MS" w:cs="Tahoma"/>
      <w:sz w:val="24"/>
      <w:szCs w:val="24"/>
      <w:lang w:val="sk-SK" w:eastAsia="sk-SK"/>
    </w:rPr>
  </w:style>
  <w:style w:type="paragraph" w:styleId="Odsadenietelatextu">
    <w:name w:val="Body Text Indent"/>
    <w:basedOn w:val="Normal"/>
    <w:rsid w:val="00063304"/>
    <w:pPr>
      <w:spacing w:before="0" w:after="120"/>
      <w:ind w:left="283" w:hanging="0"/>
    </w:pPr>
    <w:rPr/>
  </w:style>
  <w:style w:type="paragraph" w:styleId="Poznmkapodiarou">
    <w:name w:val="Footnote Text"/>
    <w:basedOn w:val="Normal"/>
    <w:semiHidden/>
    <w:rsid w:val="00063304"/>
    <w:pPr>
      <w:keepNext w:val="false"/>
      <w:spacing w:before="0" w:after="0"/>
      <w:jc w:val="left"/>
    </w:pPr>
    <w:rPr>
      <w:lang w:val="sk-SK" w:eastAsia="sk-SK"/>
    </w:rPr>
  </w:style>
  <w:style w:type="paragraph" w:styleId="StyleStyleodstavecbezcislaItalicRedLeft075cmItalic" w:customStyle="1">
    <w:name w:val="Style Style odstavecbezcisla + Italic Red Left:  075 cm + Italic"/>
    <w:basedOn w:val="Normal"/>
    <w:qFormat/>
    <w:rsid w:val="000a5a10"/>
    <w:pPr>
      <w:keepNext w:val="false"/>
      <w:spacing w:before="0" w:after="0"/>
      <w:ind w:left="425" w:hanging="0"/>
    </w:pPr>
    <w:rPr>
      <w:iCs/>
      <w:color w:val="333399"/>
      <w:lang w:val="sk-SK" w:eastAsia="sk-SK"/>
    </w:rPr>
  </w:style>
  <w:style w:type="paragraph" w:styleId="StyleodstavecbezcislaItalicRed" w:customStyle="1">
    <w:name w:val="Style odstavecbezcisla + Italic Red"/>
    <w:basedOn w:val="Odstavecbezcisla"/>
    <w:link w:val="StyleodstavecbezcislaItalicRedChar"/>
    <w:qFormat/>
    <w:rsid w:val="008b5be2"/>
    <w:pPr/>
    <w:rPr>
      <w:color w:val="333399"/>
    </w:rPr>
  </w:style>
  <w:style w:type="paragraph" w:styleId="Zkladntext" w:customStyle="1">
    <w:name w:val="Základní text"/>
    <w:qFormat/>
    <w:rsid w:val="00ff7782"/>
    <w:pPr>
      <w:widowControl/>
      <w:bidi w:val="0"/>
      <w:spacing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Pismenka" w:customStyle="1">
    <w:name w:val="Pismenka"/>
    <w:basedOn w:val="Telotextu"/>
    <w:qFormat/>
    <w:rsid w:val="00295714"/>
    <w:pPr>
      <w:keepNext w:val="false"/>
      <w:tabs>
        <w:tab w:val="clear" w:pos="709"/>
        <w:tab w:val="left" w:pos="426" w:leader="none"/>
        <w:tab w:val="left" w:pos="454" w:leader="none"/>
      </w:tabs>
      <w:spacing w:before="0" w:after="0"/>
      <w:ind w:left="426" w:hanging="426"/>
      <w:jc w:val="both"/>
    </w:pPr>
    <w:rPr>
      <w:b/>
      <w:sz w:val="18"/>
      <w:lang w:val="sk-SK"/>
    </w:rPr>
  </w:style>
  <w:style w:type="paragraph" w:styleId="Tabulka" w:customStyle="1">
    <w:name w:val="Tabulka"/>
    <w:basedOn w:val="Normal"/>
    <w:qFormat/>
    <w:rsid w:val="00955f91"/>
    <w:pPr>
      <w:keepNext w:val="false"/>
      <w:spacing w:before="0"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al"/>
    <w:next w:val="Normal"/>
    <w:link w:val="NzovChar"/>
    <w:uiPriority w:val="99"/>
    <w:qFormat/>
    <w:rsid w:val="003d4520"/>
    <w:pPr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22"/>
      <w:szCs w:val="32"/>
      <w:lang w:val="sk-SK"/>
    </w:rPr>
  </w:style>
  <w:style w:type="paragraph" w:styleId="Koncovpoznmka">
    <w:name w:val="Endnote Text"/>
    <w:basedOn w:val="Normal"/>
    <w:link w:val="TextkoncovejpoznmkyChar"/>
    <w:rsid w:val="000444a3"/>
    <w:pPr>
      <w:spacing w:before="0" w:after="0"/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header" Target="header3.xml"/><Relationship Id="rId7" Type="http://schemas.openxmlformats.org/officeDocument/2006/relationships/footer" Target="footer3.xml"/><Relationship Id="rId8" Type="http://schemas.openxmlformats.org/officeDocument/2006/relationships/header" Target="header4.xml"/><Relationship Id="rId9" Type="http://schemas.openxmlformats.org/officeDocument/2006/relationships/footer" Target="footer4.xml"/><Relationship Id="rId10" Type="http://schemas.openxmlformats.org/officeDocument/2006/relationships/header" Target="header5.xml"/><Relationship Id="rId11" Type="http://schemas.openxmlformats.org/officeDocument/2006/relationships/footer" Target="footer5.xml"/><Relationship Id="rId12" Type="http://schemas.openxmlformats.org/officeDocument/2006/relationships/header" Target="header6.xml"/><Relationship Id="rId13" Type="http://schemas.openxmlformats.org/officeDocument/2006/relationships/footer" Target="footer6.xml"/><Relationship Id="rId14" Type="http://schemas.openxmlformats.org/officeDocument/2006/relationships/header" Target="header7.xml"/><Relationship Id="rId15" Type="http://schemas.openxmlformats.org/officeDocument/2006/relationships/footer" Target="footer7.xml"/><Relationship Id="rId16" Type="http://schemas.openxmlformats.org/officeDocument/2006/relationships/numbering" Target="numbering.xml"/><Relationship Id="rId17" Type="http://schemas.openxmlformats.org/officeDocument/2006/relationships/fontTable" Target="fontTable.xml"/><Relationship Id="rId18" Type="http://schemas.openxmlformats.org/officeDocument/2006/relationships/settings" Target="settings.xml"/><Relationship Id="rId19" Type="http://schemas.openxmlformats.org/officeDocument/2006/relationships/theme" Target="theme/theme1.xml"/><Relationship Id="rId2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ECDF3-C02F-431E-8222-01E9C3D01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19</TotalTime>
  <Application>LibreOffice/6.2.2.2$Windows_X86_64 LibreOffice_project/2b840030fec2aae0fd2658d8d4f9548af4e3518d</Application>
  <Pages>16</Pages>
  <Words>2252</Words>
  <Characters>12595</Characters>
  <CharactersWithSpaces>14794</CharactersWithSpaces>
  <Paragraphs>1164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2025-02-24T13:52:00Z</dcterms:created>
  <dc:creator>Ernst &amp; Young</dc:creator>
  <dc:description/>
  <dc:language>sk-SK</dc:language>
  <cp:lastModifiedBy/>
  <cp:lastPrinted>2025-02-24T13:51:00Z</cp:lastPrinted>
  <dcterms:modified xsi:type="dcterms:W3CDTF">2026-06-30T18:25:30Z</dcterms:modified>
  <cp:revision>3</cp:revision>
  <dc:subject/>
  <dc:title>profichemCreating, s.r.o.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