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7E86D7" w14:textId="77777777" w:rsidR="00DD6E4B" w:rsidRDefault="006B5A58">
      <w:pPr>
        <w:pStyle w:val="Nadpis1"/>
        <w:tabs>
          <w:tab w:val="center" w:pos="1596"/>
        </w:tabs>
        <w:spacing w:after="395"/>
        <w:ind w:left="0" w:firstLine="0"/>
      </w:pPr>
      <w:r>
        <w:t>A.</w:t>
      </w:r>
      <w:r>
        <w:tab/>
        <w:t xml:space="preserve">VŠEOBECNÉ INFORMÁCIE </w:t>
      </w:r>
    </w:p>
    <w:p w14:paraId="2907D8AC" w14:textId="77777777" w:rsidR="00DD6E4B" w:rsidRDefault="006B5A58">
      <w:pPr>
        <w:tabs>
          <w:tab w:val="center" w:pos="427"/>
          <w:tab w:val="center" w:pos="2094"/>
        </w:tabs>
        <w:spacing w:after="187" w:line="265" w:lineRule="auto"/>
        <w:ind w:left="0" w:firstLine="0"/>
        <w:jc w:val="left"/>
      </w:pPr>
      <w:r>
        <w:rPr>
          <w:rFonts w:ascii="Calibri" w:eastAsia="Calibri" w:hAnsi="Calibri" w:cs="Calibri"/>
          <w:sz w:val="22"/>
        </w:rPr>
        <w:tab/>
      </w:r>
      <w:r>
        <w:rPr>
          <w:b/>
        </w:rPr>
        <w:t>1.</w:t>
      </w:r>
      <w:r>
        <w:rPr>
          <w:b/>
        </w:rPr>
        <w:tab/>
        <w:t xml:space="preserve">Obchodné meno a sídlo spoločnosti: </w:t>
      </w:r>
    </w:p>
    <w:p w14:paraId="2D100DFC" w14:textId="77777777" w:rsidR="00DD6E4B" w:rsidRDefault="006B5A58">
      <w:pPr>
        <w:spacing w:after="8"/>
        <w:ind w:right="10"/>
      </w:pPr>
      <w:r>
        <w:t>ARC Import, s.r.o.</w:t>
      </w:r>
    </w:p>
    <w:p w14:paraId="5BF54BAB" w14:textId="77777777" w:rsidR="00DD6E4B" w:rsidRDefault="006B5A58">
      <w:pPr>
        <w:spacing w:after="8"/>
        <w:ind w:right="10"/>
      </w:pPr>
      <w:proofErr w:type="spellStart"/>
      <w:r>
        <w:t>Výpalisko</w:t>
      </w:r>
      <w:proofErr w:type="spellEnd"/>
      <w:r>
        <w:t xml:space="preserve"> 65</w:t>
      </w:r>
    </w:p>
    <w:p w14:paraId="6C64D821" w14:textId="77777777" w:rsidR="00DD6E4B" w:rsidRDefault="006B5A58">
      <w:pPr>
        <w:spacing w:after="8"/>
        <w:ind w:right="10"/>
      </w:pPr>
      <w:r>
        <w:t>940 82  Nové Zámky</w:t>
      </w:r>
    </w:p>
    <w:p w14:paraId="73C4513D" w14:textId="77777777" w:rsidR="00DD6E4B" w:rsidRDefault="006B5A58">
      <w:pPr>
        <w:ind w:right="10"/>
      </w:pPr>
      <w:r>
        <w:t xml:space="preserve">Spoločnosť ARC Import, s.r.o. (ďalej len Spoločnosť) bola zapísaná do obchodného registra 13.5.2008 (Obchodný  register Okresného súdu v Nitre, oddiel s.r.o., vložka 22236/N). </w:t>
      </w:r>
    </w:p>
    <w:p w14:paraId="4D6D76B0" w14:textId="77777777" w:rsidR="00DD6E4B" w:rsidRDefault="006B5A58">
      <w:pPr>
        <w:spacing w:after="187" w:line="265" w:lineRule="auto"/>
        <w:ind w:left="10"/>
        <w:jc w:val="left"/>
      </w:pPr>
      <w:r>
        <w:rPr>
          <w:b/>
        </w:rPr>
        <w:t xml:space="preserve">               Hlavnými činnosťami Spoločnosti sú: </w:t>
      </w:r>
    </w:p>
    <w:p w14:paraId="7B6F1C92" w14:textId="77777777" w:rsidR="00DD6E4B" w:rsidRDefault="006B5A58">
      <w:pPr>
        <w:ind w:right="10"/>
      </w:pPr>
      <w:r>
        <w:t>– maloobchod s chlebom, pečivom, cukrárskymi výrobkami v špecializovaných predajniach.</w:t>
      </w:r>
    </w:p>
    <w:p w14:paraId="70A7F6AF" w14:textId="77777777" w:rsidR="00DD6E4B" w:rsidRDefault="006B5A58">
      <w:pPr>
        <w:pStyle w:val="Nadpis2"/>
        <w:tabs>
          <w:tab w:val="center" w:pos="427"/>
          <w:tab w:val="center" w:pos="3500"/>
        </w:tabs>
        <w:ind w:left="0" w:firstLine="0"/>
      </w:pPr>
      <w:r>
        <w:rPr>
          <w:rFonts w:ascii="Calibri" w:eastAsia="Calibri" w:hAnsi="Calibri" w:cs="Calibri"/>
          <w:b w:val="0"/>
          <w:sz w:val="22"/>
        </w:rPr>
        <w:tab/>
      </w:r>
      <w:r>
        <w:t>2.</w:t>
      </w:r>
      <w:r>
        <w:tab/>
        <w:t xml:space="preserve">Dátum schválenia účtovnej závierky za predchádzajúce účtovné obdobie </w:t>
      </w:r>
    </w:p>
    <w:p w14:paraId="76AF9C45" w14:textId="1367017D" w:rsidR="00DD6E4B" w:rsidRDefault="006B5A58">
      <w:pPr>
        <w:ind w:left="13" w:right="10"/>
      </w:pPr>
      <w:r>
        <w:t>Účtovná závierka Spoločnosti k 31. decembru 202</w:t>
      </w:r>
      <w:r w:rsidR="002C440F">
        <w:t>4</w:t>
      </w:r>
      <w:r>
        <w:t xml:space="preserve">, za predchádzajúce účtovné obdobie, bola schválená valným zhromaždením Spoločnosti </w:t>
      </w:r>
      <w:r w:rsidR="004C5841" w:rsidRPr="004C5841">
        <w:t>30</w:t>
      </w:r>
      <w:r w:rsidRPr="004C5841">
        <w:t>.</w:t>
      </w:r>
      <w:r w:rsidR="004C5841" w:rsidRPr="004C5841">
        <w:t xml:space="preserve"> decembra</w:t>
      </w:r>
      <w:r w:rsidRPr="004C5841">
        <w:t xml:space="preserve">  202</w:t>
      </w:r>
      <w:r w:rsidR="004C5841" w:rsidRPr="004C5841">
        <w:t>5</w:t>
      </w:r>
      <w:r>
        <w:t xml:space="preserve">. </w:t>
      </w:r>
    </w:p>
    <w:p w14:paraId="4A0AF748" w14:textId="77777777" w:rsidR="00DD6E4B" w:rsidRDefault="006B5A58">
      <w:pPr>
        <w:pStyle w:val="Nadpis2"/>
        <w:tabs>
          <w:tab w:val="center" w:pos="427"/>
          <w:tab w:val="center" w:pos="2496"/>
        </w:tabs>
        <w:ind w:left="0" w:firstLine="0"/>
      </w:pPr>
      <w:r>
        <w:rPr>
          <w:rFonts w:ascii="Calibri" w:eastAsia="Calibri" w:hAnsi="Calibri" w:cs="Calibri"/>
          <w:b w:val="0"/>
          <w:sz w:val="22"/>
        </w:rPr>
        <w:tab/>
      </w:r>
      <w:r>
        <w:t>3.</w:t>
      </w:r>
      <w:r>
        <w:tab/>
        <w:t xml:space="preserve">Právny dôvod na zostavenie účtovnej závierky </w:t>
      </w:r>
    </w:p>
    <w:p w14:paraId="21BD5482" w14:textId="3415F1DA" w:rsidR="00DD6E4B" w:rsidRDefault="006B5A58">
      <w:pPr>
        <w:ind w:left="13" w:right="10"/>
      </w:pPr>
      <w:r>
        <w:t>Účtovná závierka Spoločnosti k 31. decembru 202</w:t>
      </w:r>
      <w:r w:rsidR="004A5CB5">
        <w:t>4</w:t>
      </w:r>
      <w:r>
        <w:t xml:space="preserve"> je zostavená ako riadna účtovná závierka podľa § 17 ods. 6 zákona NR SR č. 431/2002 Z. z. o účtovníctve (ďalej „zákon o účtovníctve“) za účtovné obdobie od 1. januára 202</w:t>
      </w:r>
      <w:r w:rsidR="00280B4E">
        <w:t>5</w:t>
      </w:r>
      <w:r>
        <w:t xml:space="preserve"> do 31. decembra 20</w:t>
      </w:r>
      <w:r w:rsidR="00280B4E">
        <w:t>25</w:t>
      </w:r>
      <w:r>
        <w:t xml:space="preserve">. </w:t>
      </w:r>
    </w:p>
    <w:p w14:paraId="0ADE1C71" w14:textId="77777777" w:rsidR="00B95729" w:rsidRDefault="006B5A58">
      <w:pPr>
        <w:spacing w:after="160" w:line="297" w:lineRule="auto"/>
        <w:ind w:left="13" w:right="10"/>
      </w:pPr>
      <w: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775FC069" w14:textId="272D2B2D" w:rsidR="00DD6E4B" w:rsidRDefault="006B5A58">
      <w:pPr>
        <w:spacing w:after="160" w:line="297" w:lineRule="auto"/>
        <w:ind w:left="13" w:right="10"/>
      </w:pPr>
      <w:r>
        <w:rPr>
          <w:b/>
        </w:rPr>
        <w:t xml:space="preserve">4. Informácie o skupine </w:t>
      </w:r>
    </w:p>
    <w:p w14:paraId="2F657D66" w14:textId="77777777" w:rsidR="00DD6E4B" w:rsidRDefault="006B5A58">
      <w:pPr>
        <w:ind w:left="13" w:right="10"/>
      </w:pPr>
      <w:r>
        <w:t>Nie</w:t>
      </w:r>
    </w:p>
    <w:p w14:paraId="63887244" w14:textId="77777777" w:rsidR="00DD6E4B" w:rsidRDefault="006B5A58">
      <w:pPr>
        <w:numPr>
          <w:ilvl w:val="0"/>
          <w:numId w:val="1"/>
        </w:numPr>
        <w:spacing w:after="187" w:line="265" w:lineRule="auto"/>
        <w:ind w:hanging="360"/>
        <w:jc w:val="left"/>
      </w:pPr>
      <w:r>
        <w:rPr>
          <w:b/>
        </w:rPr>
        <w:t xml:space="preserve">Priemerný prepočítaný počet zamestnancov </w:t>
      </w:r>
    </w:p>
    <w:p w14:paraId="239F6336" w14:textId="3229056E" w:rsidR="00F8701C" w:rsidRDefault="00F8701C" w:rsidP="00F8701C">
      <w:pPr>
        <w:ind w:left="13" w:right="10"/>
      </w:pPr>
      <w:r>
        <w:t xml:space="preserve">Priemerný prepočítaný počet zamestnancov a </w:t>
      </w:r>
      <w:proofErr w:type="spellStart"/>
      <w:r>
        <w:t>dohodárov</w:t>
      </w:r>
      <w:proofErr w:type="spellEnd"/>
      <w:r>
        <w:t xml:space="preserve"> Spoločnosti v účtovnom období 2024 bol </w:t>
      </w:r>
      <w:r w:rsidRPr="006920BF">
        <w:t>12</w:t>
      </w:r>
      <w:r>
        <w:t xml:space="preserve"> (v účtovnom období 2024 bol 12). K 31.12.20245boli </w:t>
      </w:r>
      <w:r w:rsidR="006920BF">
        <w:t>3 zamestnanci a 11</w:t>
      </w:r>
      <w:r w:rsidRPr="006920BF">
        <w:t xml:space="preserve"> </w:t>
      </w:r>
      <w:proofErr w:type="spellStart"/>
      <w:r w:rsidRPr="006920BF">
        <w:t>dohodárov</w:t>
      </w:r>
      <w:proofErr w:type="spellEnd"/>
      <w:r w:rsidRPr="006920BF">
        <w:t>.</w:t>
      </w:r>
    </w:p>
    <w:p w14:paraId="521BFE11" w14:textId="77777777" w:rsidR="00DD6E4B" w:rsidRDefault="006B5A58">
      <w:pPr>
        <w:numPr>
          <w:ilvl w:val="0"/>
          <w:numId w:val="1"/>
        </w:numPr>
        <w:spacing w:after="187" w:line="265" w:lineRule="auto"/>
        <w:ind w:hanging="360"/>
        <w:jc w:val="left"/>
      </w:pPr>
      <w:r>
        <w:rPr>
          <w:b/>
        </w:rPr>
        <w:t xml:space="preserve">Zverejnenie účtovnej závierky za predchádzajúce účtovné obdobie </w:t>
      </w:r>
    </w:p>
    <w:p w14:paraId="16EEB9BB" w14:textId="6A15F754" w:rsidR="00DD6E4B" w:rsidRDefault="006B5A58">
      <w:pPr>
        <w:ind w:left="13" w:right="10"/>
      </w:pPr>
      <w:r>
        <w:t>Účtovná závierka Spoločnosti k 31. decembru 202</w:t>
      </w:r>
      <w:r w:rsidR="002C440F">
        <w:t>4</w:t>
      </w:r>
      <w:r>
        <w:t xml:space="preserve"> bola uložená do registra účtovných </w:t>
      </w:r>
      <w:r w:rsidRPr="004C5841">
        <w:t xml:space="preserve">závierok </w:t>
      </w:r>
      <w:r w:rsidR="002C440F" w:rsidRPr="004C5841">
        <w:t>30</w:t>
      </w:r>
      <w:r w:rsidRPr="004C5841">
        <w:t xml:space="preserve">. </w:t>
      </w:r>
      <w:r w:rsidR="002C440F" w:rsidRPr="004C5841">
        <w:t>júna</w:t>
      </w:r>
      <w:r w:rsidRPr="004C5841">
        <w:t xml:space="preserve"> 202</w:t>
      </w:r>
      <w:r w:rsidR="002C440F" w:rsidRPr="004C5841">
        <w:t>6</w:t>
      </w:r>
      <w:r w:rsidRPr="004C5841">
        <w:t>.</w:t>
      </w:r>
      <w:r>
        <w:t xml:space="preserve"> </w:t>
      </w:r>
    </w:p>
    <w:p w14:paraId="5F57EF75" w14:textId="77777777" w:rsidR="00DD6E4B" w:rsidRDefault="006B5A58">
      <w:pPr>
        <w:numPr>
          <w:ilvl w:val="0"/>
          <w:numId w:val="1"/>
        </w:numPr>
        <w:spacing w:after="187" w:line="265" w:lineRule="auto"/>
        <w:ind w:hanging="360"/>
        <w:jc w:val="left"/>
      </w:pPr>
      <w:r>
        <w:rPr>
          <w:b/>
        </w:rPr>
        <w:t xml:space="preserve">Schválenie audítora </w:t>
      </w:r>
    </w:p>
    <w:p w14:paraId="4B8A4201" w14:textId="77777777" w:rsidR="00DD6E4B" w:rsidRDefault="006B5A58">
      <w:pPr>
        <w:spacing w:after="405"/>
        <w:ind w:left="13" w:right="10"/>
      </w:pPr>
      <w:r>
        <w:t>Nie</w:t>
      </w:r>
    </w:p>
    <w:p w14:paraId="12130CCA" w14:textId="77777777" w:rsidR="00DD6E4B" w:rsidRDefault="006B5A58">
      <w:pPr>
        <w:pStyle w:val="Nadpis1"/>
        <w:tabs>
          <w:tab w:val="center" w:pos="2713"/>
        </w:tabs>
        <w:spacing w:after="427"/>
        <w:ind w:left="0" w:firstLine="0"/>
      </w:pPr>
      <w:r>
        <w:t>B.</w:t>
      </w:r>
      <w:r>
        <w:tab/>
        <w:t xml:space="preserve">INFORMÁCIE O ORGÁNOCH ÚČTOVNEJ JEDNOTKY </w:t>
      </w:r>
    </w:p>
    <w:p w14:paraId="7FDE4E7C" w14:textId="77777777" w:rsidR="00DD6E4B" w:rsidRDefault="006B5A58">
      <w:pPr>
        <w:tabs>
          <w:tab w:val="center" w:pos="1137"/>
          <w:tab w:val="center" w:pos="2399"/>
        </w:tabs>
        <w:spacing w:after="264"/>
        <w:ind w:left="0" w:firstLine="0"/>
        <w:jc w:val="left"/>
      </w:pPr>
      <w:r>
        <w:rPr>
          <w:rFonts w:ascii="Calibri" w:eastAsia="Calibri" w:hAnsi="Calibri" w:cs="Calibri"/>
          <w:sz w:val="22"/>
        </w:rPr>
        <w:tab/>
      </w:r>
      <w:r>
        <w:t>Mgr. Roman Tlčina</w:t>
      </w:r>
      <w:r>
        <w:tab/>
        <w:t xml:space="preserve">konateľ </w:t>
      </w:r>
    </w:p>
    <w:p w14:paraId="0E75F897" w14:textId="0E0F156F" w:rsidR="00DD6E4B" w:rsidRDefault="006B5A58">
      <w:pPr>
        <w:ind w:left="13" w:right="10"/>
      </w:pPr>
      <w:r>
        <w:t>Členom štatutárneho orgánu, ani členom dozorných orgánov neboli v roku 202</w:t>
      </w:r>
      <w:r w:rsidR="000B76D8">
        <w:t>3</w:t>
      </w:r>
      <w:r>
        <w:t xml:space="preserve"> poskytnuté žiadne pôžičky, záruky alebo iné formy zabezpečenia, ani finančné prostriedky alebo iné plnenia na súkromné účely členov, ktoré sa vyúčtovávajú.</w:t>
      </w:r>
    </w:p>
    <w:p w14:paraId="2A90D064" w14:textId="77777777" w:rsidR="00B95729" w:rsidRDefault="00B95729">
      <w:pPr>
        <w:ind w:left="13" w:right="10"/>
      </w:pPr>
    </w:p>
    <w:p w14:paraId="1A87F92F" w14:textId="77777777" w:rsidR="00B95729" w:rsidRDefault="00B95729">
      <w:pPr>
        <w:ind w:left="13" w:right="10"/>
      </w:pPr>
    </w:p>
    <w:p w14:paraId="5ECE70FA" w14:textId="77777777" w:rsidR="00DD6E4B" w:rsidRDefault="006B5A58">
      <w:pPr>
        <w:pStyle w:val="Nadpis2"/>
        <w:tabs>
          <w:tab w:val="center" w:pos="2918"/>
        </w:tabs>
        <w:spacing w:after="432"/>
        <w:ind w:left="0" w:firstLine="0"/>
      </w:pPr>
      <w:r>
        <w:lastRenderedPageBreak/>
        <w:t>C.</w:t>
      </w:r>
      <w:r>
        <w:tab/>
        <w:t xml:space="preserve">INFORMÁCIE O SPOLOČNÍKOCH ÚČTOVNEJ JEDNOTKY </w:t>
      </w:r>
    </w:p>
    <w:p w14:paraId="30D10289" w14:textId="0A0180A6" w:rsidR="00DD6E4B" w:rsidRDefault="006B5A58">
      <w:pPr>
        <w:spacing w:after="254"/>
        <w:ind w:left="13" w:right="10"/>
      </w:pPr>
      <w:r>
        <w:t>K 31. decembru 202</w:t>
      </w:r>
      <w:r w:rsidR="002C440F">
        <w:t>5</w:t>
      </w:r>
      <w:r>
        <w:t xml:space="preserve"> štruktúra spoločníkov je takáto</w:t>
      </w:r>
      <w:r>
        <w:rPr>
          <w:sz w:val="20"/>
        </w:rPr>
        <w:t xml:space="preserve">: </w:t>
      </w:r>
    </w:p>
    <w:p w14:paraId="5D5B01D5" w14:textId="77777777" w:rsidR="00DD6E4B" w:rsidRDefault="006B5A58">
      <w:pPr>
        <w:tabs>
          <w:tab w:val="center" w:pos="4960"/>
          <w:tab w:val="center" w:pos="7101"/>
          <w:tab w:val="center" w:pos="8131"/>
        </w:tabs>
        <w:spacing w:after="70"/>
        <w:ind w:left="0" w:firstLine="0"/>
        <w:jc w:val="left"/>
      </w:pPr>
      <w:r>
        <w:t>Spoločník, akcionár</w:t>
      </w:r>
      <w:r>
        <w:tab/>
        <w:t xml:space="preserve">Výška p </w:t>
      </w:r>
      <w:proofErr w:type="spellStart"/>
      <w:r>
        <w:t>odielu</w:t>
      </w:r>
      <w:proofErr w:type="spellEnd"/>
      <w:r>
        <w:t xml:space="preserve"> na základnom imaní</w:t>
      </w:r>
      <w:r>
        <w:tab/>
        <w:t>Podiel na</w:t>
      </w:r>
      <w:r>
        <w:tab/>
        <w:t>Iný podiel na</w:t>
      </w:r>
    </w:p>
    <w:p w14:paraId="07622DD6" w14:textId="77777777" w:rsidR="00DD6E4B" w:rsidRDefault="006B5A58">
      <w:pPr>
        <w:spacing w:after="0" w:line="331" w:lineRule="auto"/>
        <w:ind w:left="6840" w:right="225" w:hanging="140"/>
        <w:jc w:val="left"/>
      </w:pPr>
      <w:r>
        <w:t>hlasovacích</w:t>
      </w:r>
      <w:r>
        <w:tab/>
        <w:t>ostatných právach</w:t>
      </w:r>
      <w:r>
        <w:tab/>
        <w:t>položkách VI ako na ZI</w:t>
      </w:r>
    </w:p>
    <w:p w14:paraId="5C851BF8" w14:textId="77777777" w:rsidR="00DD6E4B" w:rsidRDefault="006B5A58">
      <w:pPr>
        <w:spacing w:after="0" w:line="346" w:lineRule="auto"/>
        <w:ind w:left="1390" w:right="718" w:firstLine="2776"/>
      </w:pPr>
      <w:r>
        <w:t>absolútne</w:t>
      </w:r>
      <w:r>
        <w:tab/>
        <w:t>v %</w:t>
      </w:r>
      <w:r>
        <w:tab/>
        <w:t>v %</w:t>
      </w:r>
      <w:r>
        <w:tab/>
        <w:t>v % a</w:t>
      </w:r>
      <w:r>
        <w:tab/>
        <w:t>b</w:t>
      </w:r>
      <w:r>
        <w:tab/>
        <w:t>c</w:t>
      </w:r>
      <w:r>
        <w:tab/>
        <w:t>d</w:t>
      </w:r>
      <w:r>
        <w:tab/>
        <w:t>e</w:t>
      </w:r>
    </w:p>
    <w:tbl>
      <w:tblPr>
        <w:tblStyle w:val="TableGrid"/>
        <w:tblpPr w:vertAnchor="text" w:tblpX="3289" w:tblpY="-61"/>
        <w:tblOverlap w:val="never"/>
        <w:tblW w:w="5394" w:type="dxa"/>
        <w:tblInd w:w="0" w:type="dxa"/>
        <w:tblCellMar>
          <w:top w:w="59" w:type="dxa"/>
          <w:right w:w="115" w:type="dxa"/>
        </w:tblCellMar>
        <w:tblLook w:val="04A0" w:firstRow="1" w:lastRow="0" w:firstColumn="1" w:lastColumn="0" w:noHBand="0" w:noVBand="1"/>
      </w:tblPr>
      <w:tblGrid>
        <w:gridCol w:w="3052"/>
        <w:gridCol w:w="954"/>
        <w:gridCol w:w="1388"/>
      </w:tblGrid>
      <w:tr w:rsidR="00DD6E4B" w14:paraId="1454254C" w14:textId="77777777">
        <w:trPr>
          <w:trHeight w:val="285"/>
        </w:trPr>
        <w:tc>
          <w:tcPr>
            <w:tcW w:w="3053" w:type="dxa"/>
            <w:tcBorders>
              <w:top w:val="single" w:sz="14" w:space="0" w:color="000000"/>
              <w:left w:val="nil"/>
              <w:bottom w:val="single" w:sz="6" w:space="0" w:color="000000"/>
              <w:right w:val="nil"/>
            </w:tcBorders>
          </w:tcPr>
          <w:p w14:paraId="798EDFE4" w14:textId="592EC286" w:rsidR="00DD6E4B" w:rsidRDefault="00B95729" w:rsidP="00B95729">
            <w:pPr>
              <w:spacing w:after="0" w:line="259" w:lineRule="auto"/>
              <w:ind w:left="1477" w:firstLine="0"/>
            </w:pPr>
            <w:r>
              <w:t xml:space="preserve">          </w:t>
            </w:r>
            <w:r w:rsidR="006B5A58">
              <w:t>4</w:t>
            </w:r>
            <w:r>
              <w:t xml:space="preserve"> </w:t>
            </w:r>
            <w:r w:rsidR="006B5A58">
              <w:t>979</w:t>
            </w:r>
          </w:p>
        </w:tc>
        <w:tc>
          <w:tcPr>
            <w:tcW w:w="954" w:type="dxa"/>
            <w:tcBorders>
              <w:top w:val="single" w:sz="14" w:space="0" w:color="000000"/>
              <w:left w:val="nil"/>
              <w:bottom w:val="single" w:sz="6" w:space="0" w:color="000000"/>
              <w:right w:val="nil"/>
            </w:tcBorders>
          </w:tcPr>
          <w:p w14:paraId="7930361F" w14:textId="77777777" w:rsidR="00DD6E4B" w:rsidRDefault="006B5A58">
            <w:pPr>
              <w:spacing w:after="0" w:line="259" w:lineRule="auto"/>
              <w:ind w:left="86" w:firstLine="0"/>
              <w:jc w:val="left"/>
            </w:pPr>
            <w:r>
              <w:t>75</w:t>
            </w:r>
          </w:p>
        </w:tc>
        <w:tc>
          <w:tcPr>
            <w:tcW w:w="1388" w:type="dxa"/>
            <w:tcBorders>
              <w:top w:val="single" w:sz="14" w:space="0" w:color="000000"/>
              <w:left w:val="nil"/>
              <w:bottom w:val="single" w:sz="6" w:space="0" w:color="000000"/>
              <w:right w:val="nil"/>
            </w:tcBorders>
          </w:tcPr>
          <w:p w14:paraId="49992CB0" w14:textId="77777777" w:rsidR="00DD6E4B" w:rsidRDefault="006B5A58">
            <w:pPr>
              <w:spacing w:after="0" w:line="259" w:lineRule="auto"/>
              <w:ind w:left="86" w:firstLine="0"/>
              <w:jc w:val="left"/>
            </w:pPr>
            <w:r>
              <w:t>75</w:t>
            </w:r>
          </w:p>
        </w:tc>
      </w:tr>
      <w:tr w:rsidR="00DD6E4B" w14:paraId="2CE111DB" w14:textId="77777777">
        <w:trPr>
          <w:trHeight w:val="285"/>
        </w:trPr>
        <w:tc>
          <w:tcPr>
            <w:tcW w:w="3053" w:type="dxa"/>
            <w:tcBorders>
              <w:top w:val="single" w:sz="6" w:space="0" w:color="000000"/>
              <w:left w:val="nil"/>
              <w:bottom w:val="single" w:sz="6" w:space="0" w:color="000000"/>
              <w:right w:val="nil"/>
            </w:tcBorders>
          </w:tcPr>
          <w:p w14:paraId="7B27816A" w14:textId="77777777" w:rsidR="00DD6E4B" w:rsidRDefault="006B5A58">
            <w:pPr>
              <w:spacing w:after="0" w:line="259" w:lineRule="auto"/>
              <w:ind w:left="1297" w:firstLine="0"/>
              <w:jc w:val="center"/>
            </w:pPr>
            <w:r>
              <w:t xml:space="preserve"> 1 660 </w:t>
            </w:r>
          </w:p>
        </w:tc>
        <w:tc>
          <w:tcPr>
            <w:tcW w:w="954" w:type="dxa"/>
            <w:tcBorders>
              <w:top w:val="single" w:sz="6" w:space="0" w:color="000000"/>
              <w:left w:val="nil"/>
              <w:bottom w:val="single" w:sz="6" w:space="0" w:color="000000"/>
              <w:right w:val="nil"/>
            </w:tcBorders>
          </w:tcPr>
          <w:p w14:paraId="359CB12D" w14:textId="77777777" w:rsidR="00DD6E4B" w:rsidRDefault="006B5A58">
            <w:pPr>
              <w:spacing w:after="0" w:line="259" w:lineRule="auto"/>
              <w:ind w:left="86" w:firstLine="0"/>
              <w:jc w:val="left"/>
            </w:pPr>
            <w:r>
              <w:t>25</w:t>
            </w:r>
          </w:p>
        </w:tc>
        <w:tc>
          <w:tcPr>
            <w:tcW w:w="1388" w:type="dxa"/>
            <w:tcBorders>
              <w:top w:val="single" w:sz="6" w:space="0" w:color="000000"/>
              <w:left w:val="nil"/>
              <w:bottom w:val="single" w:sz="6" w:space="0" w:color="000000"/>
              <w:right w:val="nil"/>
            </w:tcBorders>
          </w:tcPr>
          <w:p w14:paraId="5745D3F4" w14:textId="77777777" w:rsidR="00DD6E4B" w:rsidRDefault="006B5A58">
            <w:pPr>
              <w:tabs>
                <w:tab w:val="center" w:pos="833"/>
              </w:tabs>
              <w:spacing w:after="0" w:line="259" w:lineRule="auto"/>
              <w:ind w:left="0" w:firstLine="0"/>
              <w:jc w:val="left"/>
            </w:pPr>
            <w:r>
              <w:t>25</w:t>
            </w:r>
            <w:r>
              <w:tab/>
              <w:t>-</w:t>
            </w:r>
          </w:p>
        </w:tc>
      </w:tr>
      <w:tr w:rsidR="00DD6E4B" w14:paraId="682045F5" w14:textId="77777777">
        <w:trPr>
          <w:trHeight w:val="299"/>
        </w:trPr>
        <w:tc>
          <w:tcPr>
            <w:tcW w:w="3053" w:type="dxa"/>
            <w:tcBorders>
              <w:top w:val="single" w:sz="6" w:space="0" w:color="000000"/>
              <w:left w:val="nil"/>
              <w:bottom w:val="double" w:sz="6" w:space="0" w:color="000000"/>
              <w:right w:val="nil"/>
            </w:tcBorders>
          </w:tcPr>
          <w:p w14:paraId="5176CCB5" w14:textId="77777777" w:rsidR="00DD6E4B" w:rsidRDefault="006B5A58">
            <w:pPr>
              <w:spacing w:after="0" w:line="259" w:lineRule="auto"/>
              <w:ind w:left="1297" w:firstLine="0"/>
              <w:jc w:val="center"/>
            </w:pPr>
            <w:r>
              <w:t xml:space="preserve"> 6 639 </w:t>
            </w:r>
          </w:p>
        </w:tc>
        <w:tc>
          <w:tcPr>
            <w:tcW w:w="954" w:type="dxa"/>
            <w:tcBorders>
              <w:top w:val="single" w:sz="6" w:space="0" w:color="000000"/>
              <w:left w:val="nil"/>
              <w:bottom w:val="double" w:sz="6" w:space="0" w:color="000000"/>
              <w:right w:val="nil"/>
            </w:tcBorders>
          </w:tcPr>
          <w:p w14:paraId="559826E6" w14:textId="77777777" w:rsidR="00DD6E4B" w:rsidRDefault="006B5A58">
            <w:pPr>
              <w:spacing w:after="0" w:line="259" w:lineRule="auto"/>
              <w:ind w:left="0" w:firstLine="0"/>
              <w:jc w:val="left"/>
            </w:pPr>
            <w:r>
              <w:t>100</w:t>
            </w:r>
          </w:p>
        </w:tc>
        <w:tc>
          <w:tcPr>
            <w:tcW w:w="1388" w:type="dxa"/>
            <w:tcBorders>
              <w:top w:val="single" w:sz="6" w:space="0" w:color="000000"/>
              <w:left w:val="nil"/>
              <w:bottom w:val="double" w:sz="6" w:space="0" w:color="000000"/>
              <w:right w:val="nil"/>
            </w:tcBorders>
          </w:tcPr>
          <w:p w14:paraId="49193C04" w14:textId="77777777" w:rsidR="00DD6E4B" w:rsidRDefault="006B5A58">
            <w:pPr>
              <w:tabs>
                <w:tab w:val="center" w:pos="833"/>
              </w:tabs>
              <w:spacing w:after="0" w:line="259" w:lineRule="auto"/>
              <w:ind w:left="0" w:firstLine="0"/>
              <w:jc w:val="left"/>
            </w:pPr>
            <w:r>
              <w:t>100</w:t>
            </w:r>
            <w:r>
              <w:tab/>
              <w:t>-</w:t>
            </w:r>
          </w:p>
        </w:tc>
      </w:tr>
    </w:tbl>
    <w:p w14:paraId="3928C669" w14:textId="77777777" w:rsidR="00DD6E4B" w:rsidRDefault="006B5A58">
      <w:pPr>
        <w:spacing w:after="65"/>
        <w:ind w:left="13" w:right="378"/>
      </w:pPr>
      <w:r>
        <w:t>Mgr. Roman Tlčina</w:t>
      </w:r>
    </w:p>
    <w:p w14:paraId="6C506E07" w14:textId="77777777" w:rsidR="00DD6E4B" w:rsidRDefault="006B5A58">
      <w:pPr>
        <w:spacing w:after="1145"/>
        <w:ind w:left="13" w:right="378"/>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50C28EB3" wp14:editId="52E95393">
                <wp:simplePos x="0" y="0"/>
                <wp:positionH relativeFrom="column">
                  <wp:posOffset>-1383</wp:posOffset>
                </wp:positionH>
                <wp:positionV relativeFrom="paragraph">
                  <wp:posOffset>-217978</wp:posOffset>
                </wp:positionV>
                <wp:extent cx="1813852" cy="361480"/>
                <wp:effectExtent l="0" t="0" r="0" b="0"/>
                <wp:wrapNone/>
                <wp:docPr id="8653" name="Group 8653"/>
                <wp:cNvGraphicFramePr/>
                <a:graphic xmlns:a="http://schemas.openxmlformats.org/drawingml/2006/main">
                  <a:graphicData uri="http://schemas.microsoft.com/office/word/2010/wordprocessingGroup">
                    <wpg:wgp>
                      <wpg:cNvGrpSpPr/>
                      <wpg:grpSpPr>
                        <a:xfrm>
                          <a:off x="0" y="0"/>
                          <a:ext cx="1813852" cy="361480"/>
                          <a:chOff x="0" y="0"/>
                          <a:chExt cx="1813852" cy="361480"/>
                        </a:xfrm>
                      </wpg:grpSpPr>
                      <wps:wsp>
                        <wps:cNvPr id="76" name="Shape 76"/>
                        <wps:cNvSpPr/>
                        <wps:spPr>
                          <a:xfrm>
                            <a:off x="0" y="0"/>
                            <a:ext cx="1813852" cy="0"/>
                          </a:xfrm>
                          <a:custGeom>
                            <a:avLst/>
                            <a:gdLst/>
                            <a:ahLst/>
                            <a:cxnLst/>
                            <a:rect l="0" t="0" r="0" b="0"/>
                            <a:pathLst>
                              <a:path w="1813852">
                                <a:moveTo>
                                  <a:pt x="0" y="0"/>
                                </a:moveTo>
                                <a:lnTo>
                                  <a:pt x="1813852" y="0"/>
                                </a:lnTo>
                              </a:path>
                            </a:pathLst>
                          </a:custGeom>
                          <a:ln w="22048" cap="flat">
                            <a:round/>
                          </a:ln>
                        </wps:spPr>
                        <wps:style>
                          <a:lnRef idx="1">
                            <a:srgbClr val="000000"/>
                          </a:lnRef>
                          <a:fillRef idx="0">
                            <a:srgbClr val="000000">
                              <a:alpha val="0"/>
                            </a:srgbClr>
                          </a:fillRef>
                          <a:effectRef idx="0">
                            <a:scrgbClr r="0" g="0" b="0"/>
                          </a:effectRef>
                          <a:fontRef idx="none"/>
                        </wps:style>
                        <wps:bodyPr/>
                      </wps:wsp>
                      <wps:wsp>
                        <wps:cNvPr id="78" name="Shape 78"/>
                        <wps:cNvSpPr/>
                        <wps:spPr>
                          <a:xfrm>
                            <a:off x="0" y="180734"/>
                            <a:ext cx="1813852" cy="0"/>
                          </a:xfrm>
                          <a:custGeom>
                            <a:avLst/>
                            <a:gdLst/>
                            <a:ahLst/>
                            <a:cxnLst/>
                            <a:rect l="0" t="0" r="0" b="0"/>
                            <a:pathLst>
                              <a:path w="1813852">
                                <a:moveTo>
                                  <a:pt x="0" y="0"/>
                                </a:moveTo>
                                <a:lnTo>
                                  <a:pt x="1813852" y="0"/>
                                </a:lnTo>
                              </a:path>
                            </a:pathLst>
                          </a:custGeom>
                          <a:ln w="9507" cap="flat">
                            <a:round/>
                          </a:ln>
                        </wps:spPr>
                        <wps:style>
                          <a:lnRef idx="1">
                            <a:srgbClr val="000000"/>
                          </a:lnRef>
                          <a:fillRef idx="0">
                            <a:srgbClr val="000000">
                              <a:alpha val="0"/>
                            </a:srgbClr>
                          </a:fillRef>
                          <a:effectRef idx="0">
                            <a:scrgbClr r="0" g="0" b="0"/>
                          </a:effectRef>
                          <a:fontRef idx="none"/>
                        </wps:style>
                        <wps:bodyPr/>
                      </wps:wsp>
                      <wps:wsp>
                        <wps:cNvPr id="80" name="Shape 80"/>
                        <wps:cNvSpPr/>
                        <wps:spPr>
                          <a:xfrm>
                            <a:off x="0" y="361480"/>
                            <a:ext cx="1813852" cy="0"/>
                          </a:xfrm>
                          <a:custGeom>
                            <a:avLst/>
                            <a:gdLst/>
                            <a:ahLst/>
                            <a:cxnLst/>
                            <a:rect l="0" t="0" r="0" b="0"/>
                            <a:pathLst>
                              <a:path w="1813852">
                                <a:moveTo>
                                  <a:pt x="0" y="0"/>
                                </a:moveTo>
                                <a:lnTo>
                                  <a:pt x="1813852" y="0"/>
                                </a:lnTo>
                              </a:path>
                            </a:pathLst>
                          </a:custGeom>
                          <a:ln w="9507"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http://schemas.openxmlformats.org/drawingml/2006/main">
            <w:pict>
              <v:group id="Group 8653" style="width:142.823pt;height:28.463pt;position:absolute;z-index:-2147483635;mso-position-horizontal-relative:text;mso-position-horizontal:absolute;margin-left:-0.109001pt;mso-position-vertical-relative:text;margin-top:-17.1637pt;" coordsize="18138,3614">
                <v:shape id="Shape 76" style="position:absolute;width:18138;height:0;left:0;top:0;" coordsize="1813852,0" path="m0,0l1813852,0">
                  <v:stroke weight="1.73605pt" endcap="flat" joinstyle="round" on="true" color="#000000"/>
                  <v:fill on="false" color="#000000" opacity="0"/>
                </v:shape>
                <v:shape id="Shape 78" style="position:absolute;width:18138;height:0;left:0;top:1807;" coordsize="1813852,0" path="m0,0l1813852,0">
                  <v:stroke weight="0.74858pt" endcap="flat" joinstyle="round" on="true" color="#000000"/>
                  <v:fill on="false" color="#000000" opacity="0"/>
                </v:shape>
                <v:shape id="Shape 80" style="position:absolute;width:18138;height:0;left:0;top:3614;" coordsize="1813852,0" path="m0,0l1813852,0">
                  <v:stroke weight="0.74858pt" endcap="flat" joinstyle="round" on="true" color="#000000"/>
                  <v:fill on="false" color="#000000" opacity="0"/>
                </v:shape>
              </v:group>
            </w:pict>
          </mc:Fallback>
        </mc:AlternateContent>
      </w:r>
      <w:r>
        <w:t xml:space="preserve">Ing. Dušan </w:t>
      </w:r>
      <w:proofErr w:type="spellStart"/>
      <w:r>
        <w:t>Vykoukal</w:t>
      </w:r>
      <w:proofErr w:type="spellEnd"/>
    </w:p>
    <w:p w14:paraId="6499F21C" w14:textId="77777777" w:rsidR="00DD6E4B" w:rsidRDefault="006B5A58">
      <w:pPr>
        <w:tabs>
          <w:tab w:val="center" w:pos="2241"/>
        </w:tabs>
        <w:spacing w:after="187" w:line="265" w:lineRule="auto"/>
        <w:ind w:left="0" w:firstLine="0"/>
        <w:jc w:val="left"/>
      </w:pPr>
      <w:r>
        <w:rPr>
          <w:b/>
        </w:rPr>
        <w:t>D.</w:t>
      </w:r>
      <w:r>
        <w:rPr>
          <w:b/>
        </w:rPr>
        <w:tab/>
        <w:t xml:space="preserve">INFORMÁCIE O PRIJATÝCH POSTUPOCH </w:t>
      </w:r>
    </w:p>
    <w:p w14:paraId="00EA07D9" w14:textId="77777777" w:rsidR="00DD6E4B" w:rsidRDefault="006B5A58">
      <w:pPr>
        <w:pStyle w:val="Nadpis2"/>
        <w:tabs>
          <w:tab w:val="center" w:pos="427"/>
          <w:tab w:val="center" w:pos="2443"/>
        </w:tabs>
        <w:spacing w:after="397"/>
        <w:ind w:left="0" w:firstLine="0"/>
      </w:pPr>
      <w:r>
        <w:rPr>
          <w:rFonts w:ascii="Calibri" w:eastAsia="Calibri" w:hAnsi="Calibri" w:cs="Calibri"/>
          <w:b w:val="0"/>
          <w:sz w:val="22"/>
        </w:rPr>
        <w:tab/>
      </w:r>
      <w:r>
        <w:t>1.</w:t>
      </w:r>
      <w:r>
        <w:tab/>
        <w:t xml:space="preserve">Východiská pre zostavenie účtovnej závierky </w:t>
      </w:r>
    </w:p>
    <w:p w14:paraId="2D3BC3FC" w14:textId="77777777" w:rsidR="00DD6E4B" w:rsidRDefault="006B5A58">
      <w:pPr>
        <w:ind w:left="13" w:right="10"/>
      </w:pPr>
      <w:r>
        <w:t>Účtovná závierka bola zostavená za predpokladu, že Spoločnosť bude nepretržite pokračovať vo svojej činnosti (</w:t>
      </w:r>
      <w:proofErr w:type="spellStart"/>
      <w:r>
        <w:t>going</w:t>
      </w:r>
      <w:proofErr w:type="spellEnd"/>
      <w:r>
        <w:t xml:space="preserve"> </w:t>
      </w:r>
      <w:proofErr w:type="spellStart"/>
      <w:r>
        <w:t>concern</w:t>
      </w:r>
      <w:proofErr w:type="spellEnd"/>
      <w:r>
        <w:t xml:space="preserve">). Účtovné metódy a všeobecné účtovné zásady boli účtovnou jednotkou konzistentne aplikované. </w:t>
      </w:r>
    </w:p>
    <w:p w14:paraId="68DA5E35" w14:textId="77777777" w:rsidR="00DD6E4B" w:rsidRDefault="006B5A58">
      <w:pPr>
        <w:pStyle w:val="Nadpis2"/>
        <w:tabs>
          <w:tab w:val="center" w:pos="427"/>
          <w:tab w:val="center" w:pos="1797"/>
        </w:tabs>
        <w:spacing w:after="397"/>
        <w:ind w:left="0" w:firstLine="0"/>
      </w:pPr>
      <w:r>
        <w:rPr>
          <w:rFonts w:ascii="Calibri" w:eastAsia="Calibri" w:hAnsi="Calibri" w:cs="Calibri"/>
          <w:b w:val="0"/>
          <w:sz w:val="22"/>
        </w:rPr>
        <w:tab/>
      </w:r>
      <w:r>
        <w:t>2.</w:t>
      </w:r>
      <w:r>
        <w:tab/>
        <w:t xml:space="preserve">Použitie odhadov a úsudkov </w:t>
      </w:r>
    </w:p>
    <w:p w14:paraId="1C5CFD6C" w14:textId="77777777" w:rsidR="00DD6E4B" w:rsidRDefault="006B5A58">
      <w:pPr>
        <w:ind w:left="13" w:right="10"/>
      </w:pPr>
      <w:r>
        <w:t xml:space="preserve">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 </w:t>
      </w:r>
    </w:p>
    <w:p w14:paraId="3672D214" w14:textId="77777777" w:rsidR="00DD6E4B" w:rsidRDefault="006B5A58">
      <w:pPr>
        <w:ind w:left="13" w:right="10"/>
      </w:pPr>
      <w: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6DF22BCB" w14:textId="77777777" w:rsidR="00DD6E4B" w:rsidRDefault="006B5A58">
      <w:pPr>
        <w:pStyle w:val="Nadpis2"/>
        <w:spacing w:after="0" w:line="259" w:lineRule="auto"/>
        <w:ind w:left="-5"/>
      </w:pPr>
      <w:r>
        <w:rPr>
          <w:i/>
        </w:rPr>
        <w:t xml:space="preserve">Neistoty v odhadoch a predpokladoch </w:t>
      </w:r>
    </w:p>
    <w:p w14:paraId="7E87057A" w14:textId="77777777" w:rsidR="00DD6E4B" w:rsidRDefault="006B5A58">
      <w:pPr>
        <w:spacing w:after="441"/>
        <w:ind w:left="13" w:right="10"/>
      </w:pPr>
      <w:r>
        <w:t xml:space="preserve">Spoločnosť neidentifikovala takú neistotu v odhadoch a predpokladoch, pri ktorej by existovalo signifikantné riziko, že by mohla viesť k ich významnej úprave v nasledujúcom účtovnom období. </w:t>
      </w:r>
    </w:p>
    <w:p w14:paraId="1CEA078B" w14:textId="77777777" w:rsidR="00DD6E4B" w:rsidRDefault="006B5A58">
      <w:pPr>
        <w:pStyle w:val="Nadpis3"/>
        <w:tabs>
          <w:tab w:val="center" w:pos="427"/>
          <w:tab w:val="center" w:pos="2945"/>
        </w:tabs>
        <w:spacing w:after="397"/>
        <w:ind w:left="0" w:firstLine="0"/>
      </w:pPr>
      <w:r>
        <w:rPr>
          <w:rFonts w:ascii="Calibri" w:eastAsia="Calibri" w:hAnsi="Calibri" w:cs="Calibri"/>
          <w:b w:val="0"/>
          <w:sz w:val="22"/>
        </w:rPr>
        <w:tab/>
      </w:r>
      <w:r>
        <w:t>3.</w:t>
      </w:r>
      <w:r>
        <w:tab/>
        <w:t xml:space="preserve">Dlhodobý nehmotný majetok a dlhodobý hmotný majetok </w:t>
      </w:r>
    </w:p>
    <w:p w14:paraId="59301A77" w14:textId="77777777" w:rsidR="00DD6E4B" w:rsidRDefault="006B5A58">
      <w:pPr>
        <w:ind w:left="13" w:right="10"/>
      </w:pPr>
      <w:r>
        <w:t xml:space="preserve">Dlhodobý majetok nakupovaný sa oceňuje obstarávacou cenou, ktorá zahŕňa cenu obstarania a náklady súvisiace s obstaraním (clo, prepravu, montáž, poistné a pod.), zníženú o dobropisy, skontá, rabaty, zľavy z ceny, bonusy a pod. Súčasťou obstarávacej ceny dlhodobého majetku nie sú úroky z úverov, ktoré vznikli do momentu uvedenia dlhodobého majetku do používania. </w:t>
      </w:r>
    </w:p>
    <w:p w14:paraId="25741F33" w14:textId="77777777" w:rsidR="00DD6E4B" w:rsidRDefault="006B5A58">
      <w:pPr>
        <w:ind w:left="13" w:right="10"/>
      </w:pPr>
      <w:r>
        <w:t xml:space="preserve">Dlhodobý majetok vytvorený vlastnou činnosťou sa oceňuje vlastnými nákladmi. Vlastnými nákladmi sú všetky priame náklady vynaložené na výrobu alebo inú činnosť a nepriame náklady, ktoré sa vzťahujú na výrobu alebo inú činnosť. Dlhodobý majetok nadobudnutý bezodplatne od spoločníkov sa účtuje bez vplyvu na výsledok hospodárenia priamo do vlastného imania na účet 413 – Ostatné kapitálové fondy, v ocenení reprodukčnou obstarávacou cenou. </w:t>
      </w:r>
    </w:p>
    <w:p w14:paraId="72DDA471" w14:textId="77777777" w:rsidR="00DD6E4B" w:rsidRDefault="006B5A58">
      <w:pPr>
        <w:ind w:left="13" w:right="10"/>
      </w:pPr>
      <w:r>
        <w:t xml:space="preserve">Dlhodobý majetok nadobudnutý zámenou sa oceňuje reálnou hodnotou. Rozdiel medzi reálnou hodnotou nadobudnutého dlhodobého majetku a účtovnou hodnotou odovzdávaného majetku sa účtuje podľa charakteru tohto rozdielu na vecne </w:t>
      </w:r>
      <w:r>
        <w:lastRenderedPageBreak/>
        <w:t xml:space="preserve">príslušný nákladový účet, na ktorom sa účtuje úbytok majetku alebo na vecne príslušný výnosový účet, na ktorom sa účtuje dosiahnutie výnosu z tohto majetku. </w:t>
      </w:r>
    </w:p>
    <w:p w14:paraId="3BFA76BE" w14:textId="77777777" w:rsidR="00DD6E4B" w:rsidRDefault="006B5A58">
      <w:pPr>
        <w:spacing w:after="6"/>
        <w:ind w:left="13" w:right="10"/>
      </w:pPr>
      <w:r>
        <w:t xml:space="preserve">Náklady na výskum sa neaktivujú a účtujú sa do nákladov v účtovných obdobiach, v ktorých vznikli. Dlhodobý nehmotný majetok vytvorený vývojom alebo v priebehu jeho vývoja sa aktivuje, ak je možné preukázať: a) možnosť jeho technického dokončenia tak, že ho bude možné použiť alebo predať, </w:t>
      </w:r>
    </w:p>
    <w:p w14:paraId="12AA1BE3" w14:textId="77777777" w:rsidR="00DD6E4B" w:rsidRDefault="006B5A58">
      <w:pPr>
        <w:numPr>
          <w:ilvl w:val="0"/>
          <w:numId w:val="2"/>
        </w:numPr>
        <w:spacing w:after="8"/>
        <w:ind w:right="10" w:hanging="194"/>
      </w:pPr>
      <w:r>
        <w:t xml:space="preserve">zámer jeho dokončenia, používania alebo predaja, </w:t>
      </w:r>
    </w:p>
    <w:p w14:paraId="22FC842C" w14:textId="77777777" w:rsidR="00DD6E4B" w:rsidRDefault="006B5A58">
      <w:pPr>
        <w:numPr>
          <w:ilvl w:val="0"/>
          <w:numId w:val="2"/>
        </w:numPr>
        <w:spacing w:after="8"/>
        <w:ind w:right="10" w:hanging="194"/>
      </w:pPr>
      <w:r>
        <w:t xml:space="preserve">schopnosť účtovnej jednotky jeho používania a predaja, </w:t>
      </w:r>
    </w:p>
    <w:p w14:paraId="4C674202" w14:textId="77777777" w:rsidR="00DD6E4B" w:rsidRDefault="006B5A58">
      <w:pPr>
        <w:numPr>
          <w:ilvl w:val="0"/>
          <w:numId w:val="2"/>
        </w:numPr>
        <w:spacing w:after="6"/>
        <w:ind w:right="10" w:hanging="194"/>
      </w:pPr>
      <w:r>
        <w:t xml:space="preserve">spôsob vytvárania budúcich ekonomických úžitkov a existenciu trhu pre výstupy dlhodobého nehmotného majetku </w:t>
      </w:r>
      <w:proofErr w:type="spellStart"/>
      <w:r>
        <w:t>alebopre</w:t>
      </w:r>
      <w:proofErr w:type="spellEnd"/>
      <w:r>
        <w:t xml:space="preserve"> dlhodobý nehmotný majetok sám o sebe, alebo, ak bude používaný vo vnútri účtovnej jednotky jeho použiteľnosť, </w:t>
      </w:r>
    </w:p>
    <w:p w14:paraId="305C1F25" w14:textId="77777777" w:rsidR="00DD6E4B" w:rsidRDefault="006B5A58">
      <w:pPr>
        <w:numPr>
          <w:ilvl w:val="0"/>
          <w:numId w:val="2"/>
        </w:numPr>
        <w:spacing w:after="6"/>
        <w:ind w:right="10" w:hanging="194"/>
      </w:pPr>
      <w:r>
        <w:t xml:space="preserve">dostupnosť zodpovedajúcich technických zdrojov, finančných zdrojov a ostatných zdrojov pre dokončenie jeho </w:t>
      </w:r>
      <w:proofErr w:type="spellStart"/>
      <w:r>
        <w:t>vývoja,použitie</w:t>
      </w:r>
      <w:proofErr w:type="spellEnd"/>
      <w:r>
        <w:t xml:space="preserve"> alebo predaj, </w:t>
      </w:r>
    </w:p>
    <w:p w14:paraId="59238ECE" w14:textId="77777777" w:rsidR="00DD6E4B" w:rsidRDefault="006B5A58">
      <w:pPr>
        <w:numPr>
          <w:ilvl w:val="0"/>
          <w:numId w:val="2"/>
        </w:numPr>
        <w:ind w:right="10" w:hanging="194"/>
      </w:pPr>
      <w:r>
        <w:t xml:space="preserve">spoľahlivé ocenenie nákladov súvisiacich s jeho obstaraním v priebehu vývoja. </w:t>
      </w:r>
    </w:p>
    <w:p w14:paraId="442A4FCD" w14:textId="77777777" w:rsidR="00DD6E4B" w:rsidRDefault="006B5A58">
      <w:pPr>
        <w:spacing w:after="0"/>
        <w:ind w:left="13" w:right="10"/>
      </w:pPr>
      <w: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26443295" w14:textId="77777777" w:rsidR="00DD6E4B" w:rsidRDefault="006B5A58">
      <w:pPr>
        <w:spacing w:after="0"/>
        <w:ind w:left="13" w:right="10"/>
      </w:pPr>
      <w:r>
        <w:t xml:space="preserve">Odpisy dlhodobého nehmotného majetku sú stanovené vychádzajúc z predpokladanej doby jeho používania a predpokladaného priebehu jeho opotrebenia. </w:t>
      </w:r>
    </w:p>
    <w:p w14:paraId="21554011" w14:textId="77777777" w:rsidR="00DD6E4B" w:rsidRDefault="006B5A58">
      <w:pPr>
        <w:spacing w:after="406"/>
        <w:ind w:left="13" w:right="10"/>
      </w:pPr>
      <w:r>
        <w:t xml:space="preserve">Odpisovať sa začína prvým dňom mesiaca nasledujúceho po uvedení dlhodobého majetku do používania. Drobný dlhodobý nehmotný majetok, ktorého obstarávacia cena (resp. vlastné náklady) je 2 400 EUR a nižšia, sa považuje za náklad a účtuje sa na účet 518 – Ostatné služby. </w:t>
      </w:r>
    </w:p>
    <w:tbl>
      <w:tblPr>
        <w:tblStyle w:val="TableGrid"/>
        <w:tblpPr w:vertAnchor="text" w:tblpX="18" w:tblpY="419"/>
        <w:tblOverlap w:val="never"/>
        <w:tblW w:w="8154" w:type="dxa"/>
        <w:tblInd w:w="0" w:type="dxa"/>
        <w:tblLook w:val="04A0" w:firstRow="1" w:lastRow="0" w:firstColumn="1" w:lastColumn="0" w:noHBand="0" w:noVBand="1"/>
      </w:tblPr>
      <w:tblGrid>
        <w:gridCol w:w="3901"/>
        <w:gridCol w:w="1340"/>
        <w:gridCol w:w="1788"/>
        <w:gridCol w:w="1125"/>
      </w:tblGrid>
      <w:tr w:rsidR="00DD6E4B" w14:paraId="711B2671" w14:textId="77777777">
        <w:trPr>
          <w:trHeight w:val="209"/>
        </w:trPr>
        <w:tc>
          <w:tcPr>
            <w:tcW w:w="3900" w:type="dxa"/>
            <w:tcBorders>
              <w:top w:val="nil"/>
              <w:left w:val="nil"/>
              <w:bottom w:val="nil"/>
              <w:right w:val="nil"/>
            </w:tcBorders>
          </w:tcPr>
          <w:p w14:paraId="5E87A005" w14:textId="77777777" w:rsidR="00DD6E4B" w:rsidRDefault="00DD6E4B">
            <w:pPr>
              <w:spacing w:after="160" w:line="259" w:lineRule="auto"/>
              <w:ind w:left="0" w:firstLine="0"/>
              <w:jc w:val="left"/>
            </w:pPr>
          </w:p>
        </w:tc>
        <w:tc>
          <w:tcPr>
            <w:tcW w:w="1340" w:type="dxa"/>
            <w:tcBorders>
              <w:top w:val="nil"/>
              <w:left w:val="nil"/>
              <w:bottom w:val="nil"/>
              <w:right w:val="nil"/>
            </w:tcBorders>
          </w:tcPr>
          <w:p w14:paraId="1412C379" w14:textId="77777777" w:rsidR="00DD6E4B" w:rsidRDefault="006B5A58">
            <w:pPr>
              <w:spacing w:after="0" w:line="259" w:lineRule="auto"/>
              <w:ind w:left="0" w:firstLine="0"/>
              <w:jc w:val="left"/>
            </w:pPr>
            <w:r>
              <w:rPr>
                <w:sz w:val="17"/>
              </w:rPr>
              <w:t xml:space="preserve">Predpokladaná </w:t>
            </w:r>
          </w:p>
        </w:tc>
        <w:tc>
          <w:tcPr>
            <w:tcW w:w="1788" w:type="dxa"/>
            <w:tcBorders>
              <w:top w:val="nil"/>
              <w:left w:val="nil"/>
              <w:bottom w:val="nil"/>
              <w:right w:val="nil"/>
            </w:tcBorders>
          </w:tcPr>
          <w:p w14:paraId="2EE1C2C3" w14:textId="77777777" w:rsidR="00DD6E4B" w:rsidRDefault="006B5A58">
            <w:pPr>
              <w:spacing w:after="0" w:line="259" w:lineRule="auto"/>
              <w:ind w:left="376" w:firstLine="0"/>
              <w:jc w:val="left"/>
            </w:pPr>
            <w:r>
              <w:rPr>
                <w:sz w:val="17"/>
              </w:rPr>
              <w:t>Metóda</w:t>
            </w:r>
          </w:p>
        </w:tc>
        <w:tc>
          <w:tcPr>
            <w:tcW w:w="1125" w:type="dxa"/>
            <w:tcBorders>
              <w:top w:val="nil"/>
              <w:left w:val="nil"/>
              <w:bottom w:val="nil"/>
              <w:right w:val="nil"/>
            </w:tcBorders>
          </w:tcPr>
          <w:p w14:paraId="25F98975" w14:textId="77777777" w:rsidR="00DD6E4B" w:rsidRDefault="006B5A58">
            <w:pPr>
              <w:spacing w:after="0" w:line="259" w:lineRule="auto"/>
              <w:ind w:left="0" w:firstLine="0"/>
            </w:pPr>
            <w:r>
              <w:rPr>
                <w:sz w:val="17"/>
              </w:rPr>
              <w:t>Ročná odpisová</w:t>
            </w:r>
          </w:p>
        </w:tc>
      </w:tr>
      <w:tr w:rsidR="00DD6E4B" w14:paraId="3C017F01" w14:textId="77777777">
        <w:trPr>
          <w:trHeight w:val="453"/>
        </w:trPr>
        <w:tc>
          <w:tcPr>
            <w:tcW w:w="3900" w:type="dxa"/>
            <w:tcBorders>
              <w:top w:val="nil"/>
              <w:left w:val="nil"/>
              <w:bottom w:val="nil"/>
              <w:right w:val="nil"/>
            </w:tcBorders>
          </w:tcPr>
          <w:p w14:paraId="399EAE31" w14:textId="77777777" w:rsidR="00DD6E4B" w:rsidRDefault="00DD6E4B">
            <w:pPr>
              <w:spacing w:after="160" w:line="259" w:lineRule="auto"/>
              <w:ind w:left="0" w:firstLine="0"/>
              <w:jc w:val="left"/>
            </w:pPr>
          </w:p>
        </w:tc>
        <w:tc>
          <w:tcPr>
            <w:tcW w:w="1340" w:type="dxa"/>
            <w:tcBorders>
              <w:top w:val="nil"/>
              <w:left w:val="nil"/>
              <w:bottom w:val="nil"/>
              <w:right w:val="nil"/>
            </w:tcBorders>
          </w:tcPr>
          <w:p w14:paraId="178D726F" w14:textId="77777777" w:rsidR="00DD6E4B" w:rsidRDefault="006B5A58">
            <w:pPr>
              <w:spacing w:after="0" w:line="259" w:lineRule="auto"/>
              <w:ind w:left="30" w:right="286" w:firstLine="0"/>
              <w:jc w:val="center"/>
            </w:pPr>
            <w:r>
              <w:rPr>
                <w:sz w:val="17"/>
              </w:rPr>
              <w:t>doba použitia v rokoch</w:t>
            </w:r>
          </w:p>
        </w:tc>
        <w:tc>
          <w:tcPr>
            <w:tcW w:w="1788" w:type="dxa"/>
            <w:tcBorders>
              <w:top w:val="nil"/>
              <w:left w:val="nil"/>
              <w:bottom w:val="nil"/>
              <w:right w:val="nil"/>
            </w:tcBorders>
          </w:tcPr>
          <w:p w14:paraId="286BBDA1" w14:textId="77777777" w:rsidR="00DD6E4B" w:rsidRDefault="006B5A58">
            <w:pPr>
              <w:spacing w:after="0" w:line="259" w:lineRule="auto"/>
              <w:ind w:left="220" w:firstLine="0"/>
              <w:jc w:val="left"/>
            </w:pPr>
            <w:r>
              <w:rPr>
                <w:sz w:val="17"/>
              </w:rPr>
              <w:t>odpisovania</w:t>
            </w:r>
          </w:p>
        </w:tc>
        <w:tc>
          <w:tcPr>
            <w:tcW w:w="1125" w:type="dxa"/>
            <w:tcBorders>
              <w:top w:val="nil"/>
              <w:left w:val="nil"/>
              <w:bottom w:val="nil"/>
              <w:right w:val="nil"/>
            </w:tcBorders>
          </w:tcPr>
          <w:p w14:paraId="485690E5" w14:textId="77777777" w:rsidR="00DD6E4B" w:rsidRDefault="006B5A58">
            <w:pPr>
              <w:spacing w:after="0" w:line="259" w:lineRule="auto"/>
              <w:ind w:left="0" w:right="6" w:firstLine="0"/>
              <w:jc w:val="center"/>
            </w:pPr>
            <w:r>
              <w:rPr>
                <w:sz w:val="17"/>
              </w:rPr>
              <w:t>sadzba v %</w:t>
            </w:r>
          </w:p>
        </w:tc>
      </w:tr>
      <w:tr w:rsidR="00DD6E4B" w14:paraId="25B09574" w14:textId="77777777">
        <w:trPr>
          <w:trHeight w:val="227"/>
        </w:trPr>
        <w:tc>
          <w:tcPr>
            <w:tcW w:w="3900" w:type="dxa"/>
            <w:tcBorders>
              <w:top w:val="nil"/>
              <w:left w:val="nil"/>
              <w:bottom w:val="nil"/>
              <w:right w:val="nil"/>
            </w:tcBorders>
          </w:tcPr>
          <w:p w14:paraId="20720CBA" w14:textId="77777777" w:rsidR="00DD6E4B" w:rsidRDefault="006B5A58">
            <w:pPr>
              <w:spacing w:after="0" w:line="259" w:lineRule="auto"/>
              <w:ind w:left="0" w:firstLine="0"/>
              <w:jc w:val="left"/>
            </w:pPr>
            <w:r>
              <w:rPr>
                <w:sz w:val="17"/>
              </w:rPr>
              <w:t>Aktivované náklady na vývoj</w:t>
            </w:r>
          </w:p>
        </w:tc>
        <w:tc>
          <w:tcPr>
            <w:tcW w:w="1340" w:type="dxa"/>
            <w:tcBorders>
              <w:top w:val="nil"/>
              <w:left w:val="nil"/>
              <w:bottom w:val="nil"/>
              <w:right w:val="nil"/>
            </w:tcBorders>
          </w:tcPr>
          <w:p w14:paraId="525EFA5C" w14:textId="77777777" w:rsidR="00DD6E4B" w:rsidRDefault="006B5A58">
            <w:pPr>
              <w:spacing w:after="0" w:line="259" w:lineRule="auto"/>
              <w:ind w:left="494" w:firstLine="0"/>
              <w:jc w:val="left"/>
            </w:pPr>
            <w:r>
              <w:rPr>
                <w:sz w:val="17"/>
              </w:rPr>
              <w:t>5</w:t>
            </w:r>
          </w:p>
        </w:tc>
        <w:tc>
          <w:tcPr>
            <w:tcW w:w="1788" w:type="dxa"/>
            <w:tcBorders>
              <w:top w:val="nil"/>
              <w:left w:val="nil"/>
              <w:bottom w:val="nil"/>
              <w:right w:val="nil"/>
            </w:tcBorders>
          </w:tcPr>
          <w:p w14:paraId="20B77D81" w14:textId="77777777" w:rsidR="00DD6E4B" w:rsidRDefault="006B5A58">
            <w:pPr>
              <w:spacing w:after="0" w:line="259" w:lineRule="auto"/>
              <w:ind w:left="368" w:firstLine="0"/>
              <w:jc w:val="left"/>
            </w:pPr>
            <w:r>
              <w:rPr>
                <w:sz w:val="17"/>
              </w:rPr>
              <w:t>lineárna</w:t>
            </w:r>
          </w:p>
        </w:tc>
        <w:tc>
          <w:tcPr>
            <w:tcW w:w="1125" w:type="dxa"/>
            <w:tcBorders>
              <w:top w:val="nil"/>
              <w:left w:val="nil"/>
              <w:bottom w:val="nil"/>
              <w:right w:val="nil"/>
            </w:tcBorders>
          </w:tcPr>
          <w:p w14:paraId="3A568EC9" w14:textId="77777777" w:rsidR="00DD6E4B" w:rsidRDefault="006B5A58">
            <w:pPr>
              <w:spacing w:after="0" w:line="259" w:lineRule="auto"/>
              <w:ind w:left="0" w:right="4" w:firstLine="0"/>
              <w:jc w:val="center"/>
            </w:pPr>
            <w:r>
              <w:rPr>
                <w:sz w:val="17"/>
              </w:rPr>
              <w:t>20</w:t>
            </w:r>
          </w:p>
        </w:tc>
      </w:tr>
      <w:tr w:rsidR="00DD6E4B" w14:paraId="46DB3EBD" w14:textId="77777777">
        <w:trPr>
          <w:trHeight w:val="227"/>
        </w:trPr>
        <w:tc>
          <w:tcPr>
            <w:tcW w:w="3900" w:type="dxa"/>
            <w:tcBorders>
              <w:top w:val="nil"/>
              <w:left w:val="nil"/>
              <w:bottom w:val="nil"/>
              <w:right w:val="nil"/>
            </w:tcBorders>
          </w:tcPr>
          <w:p w14:paraId="02625438" w14:textId="77777777" w:rsidR="00DD6E4B" w:rsidRDefault="006B5A58">
            <w:pPr>
              <w:spacing w:after="0" w:line="259" w:lineRule="auto"/>
              <w:ind w:left="0" w:firstLine="0"/>
              <w:jc w:val="left"/>
            </w:pPr>
            <w:r>
              <w:rPr>
                <w:sz w:val="17"/>
              </w:rPr>
              <w:t>Softvér</w:t>
            </w:r>
          </w:p>
        </w:tc>
        <w:tc>
          <w:tcPr>
            <w:tcW w:w="1340" w:type="dxa"/>
            <w:tcBorders>
              <w:top w:val="nil"/>
              <w:left w:val="nil"/>
              <w:bottom w:val="nil"/>
              <w:right w:val="nil"/>
            </w:tcBorders>
          </w:tcPr>
          <w:p w14:paraId="114589FD" w14:textId="77777777" w:rsidR="00DD6E4B" w:rsidRDefault="006B5A58">
            <w:pPr>
              <w:spacing w:after="0" w:line="259" w:lineRule="auto"/>
              <w:ind w:left="494" w:firstLine="0"/>
              <w:jc w:val="left"/>
            </w:pPr>
            <w:r>
              <w:rPr>
                <w:sz w:val="17"/>
              </w:rPr>
              <w:t>4</w:t>
            </w:r>
          </w:p>
        </w:tc>
        <w:tc>
          <w:tcPr>
            <w:tcW w:w="1788" w:type="dxa"/>
            <w:tcBorders>
              <w:top w:val="nil"/>
              <w:left w:val="nil"/>
              <w:bottom w:val="nil"/>
              <w:right w:val="nil"/>
            </w:tcBorders>
          </w:tcPr>
          <w:p w14:paraId="33CB77BE" w14:textId="77777777" w:rsidR="00DD6E4B" w:rsidRDefault="006B5A58">
            <w:pPr>
              <w:spacing w:after="0" w:line="259" w:lineRule="auto"/>
              <w:ind w:left="368" w:firstLine="0"/>
              <w:jc w:val="left"/>
            </w:pPr>
            <w:r>
              <w:rPr>
                <w:sz w:val="17"/>
              </w:rPr>
              <w:t>lineárna</w:t>
            </w:r>
          </w:p>
        </w:tc>
        <w:tc>
          <w:tcPr>
            <w:tcW w:w="1125" w:type="dxa"/>
            <w:tcBorders>
              <w:top w:val="nil"/>
              <w:left w:val="nil"/>
              <w:bottom w:val="nil"/>
              <w:right w:val="nil"/>
            </w:tcBorders>
          </w:tcPr>
          <w:p w14:paraId="1FBD93C9" w14:textId="77777777" w:rsidR="00DD6E4B" w:rsidRDefault="006B5A58">
            <w:pPr>
              <w:spacing w:after="0" w:line="259" w:lineRule="auto"/>
              <w:ind w:left="0" w:right="4" w:firstLine="0"/>
              <w:jc w:val="center"/>
            </w:pPr>
            <w:r>
              <w:rPr>
                <w:sz w:val="17"/>
              </w:rPr>
              <w:t>25</w:t>
            </w:r>
          </w:p>
        </w:tc>
      </w:tr>
      <w:tr w:rsidR="00DD6E4B" w14:paraId="13D1BF08" w14:textId="77777777">
        <w:trPr>
          <w:trHeight w:val="227"/>
        </w:trPr>
        <w:tc>
          <w:tcPr>
            <w:tcW w:w="3900" w:type="dxa"/>
            <w:tcBorders>
              <w:top w:val="nil"/>
              <w:left w:val="nil"/>
              <w:bottom w:val="nil"/>
              <w:right w:val="nil"/>
            </w:tcBorders>
          </w:tcPr>
          <w:p w14:paraId="6402C5C1" w14:textId="77777777" w:rsidR="00DD6E4B" w:rsidRDefault="006B5A58">
            <w:pPr>
              <w:spacing w:after="0" w:line="259" w:lineRule="auto"/>
              <w:ind w:left="0" w:firstLine="0"/>
              <w:jc w:val="left"/>
            </w:pPr>
            <w:r>
              <w:rPr>
                <w:sz w:val="17"/>
              </w:rPr>
              <w:t>Oceniteľné práva</w:t>
            </w:r>
          </w:p>
        </w:tc>
        <w:tc>
          <w:tcPr>
            <w:tcW w:w="1340" w:type="dxa"/>
            <w:tcBorders>
              <w:top w:val="nil"/>
              <w:left w:val="nil"/>
              <w:bottom w:val="nil"/>
              <w:right w:val="nil"/>
            </w:tcBorders>
          </w:tcPr>
          <w:p w14:paraId="596968EF" w14:textId="77777777" w:rsidR="00DD6E4B" w:rsidRDefault="006B5A58">
            <w:pPr>
              <w:spacing w:after="0" w:line="259" w:lineRule="auto"/>
              <w:ind w:left="494" w:firstLine="0"/>
              <w:jc w:val="left"/>
            </w:pPr>
            <w:r>
              <w:rPr>
                <w:sz w:val="17"/>
              </w:rPr>
              <w:t>8</w:t>
            </w:r>
          </w:p>
        </w:tc>
        <w:tc>
          <w:tcPr>
            <w:tcW w:w="1788" w:type="dxa"/>
            <w:tcBorders>
              <w:top w:val="nil"/>
              <w:left w:val="nil"/>
              <w:bottom w:val="nil"/>
              <w:right w:val="nil"/>
            </w:tcBorders>
          </w:tcPr>
          <w:p w14:paraId="3BEB8146" w14:textId="77777777" w:rsidR="00DD6E4B" w:rsidRDefault="006B5A58">
            <w:pPr>
              <w:spacing w:after="0" w:line="259" w:lineRule="auto"/>
              <w:ind w:left="368" w:firstLine="0"/>
              <w:jc w:val="left"/>
            </w:pPr>
            <w:r>
              <w:rPr>
                <w:sz w:val="17"/>
              </w:rPr>
              <w:t>lineárna</w:t>
            </w:r>
          </w:p>
        </w:tc>
        <w:tc>
          <w:tcPr>
            <w:tcW w:w="1125" w:type="dxa"/>
            <w:tcBorders>
              <w:top w:val="nil"/>
              <w:left w:val="nil"/>
              <w:bottom w:val="nil"/>
              <w:right w:val="nil"/>
            </w:tcBorders>
          </w:tcPr>
          <w:p w14:paraId="54CB3C36" w14:textId="77777777" w:rsidR="00DD6E4B" w:rsidRDefault="006B5A58">
            <w:pPr>
              <w:spacing w:after="0" w:line="259" w:lineRule="auto"/>
              <w:ind w:left="0" w:right="3" w:firstLine="0"/>
              <w:jc w:val="center"/>
            </w:pPr>
            <w:r>
              <w:rPr>
                <w:sz w:val="17"/>
              </w:rPr>
              <w:t>12,5</w:t>
            </w:r>
          </w:p>
        </w:tc>
      </w:tr>
      <w:tr w:rsidR="00DD6E4B" w14:paraId="05237716" w14:textId="77777777">
        <w:trPr>
          <w:trHeight w:val="209"/>
        </w:trPr>
        <w:tc>
          <w:tcPr>
            <w:tcW w:w="3900" w:type="dxa"/>
            <w:tcBorders>
              <w:top w:val="nil"/>
              <w:left w:val="nil"/>
              <w:bottom w:val="nil"/>
              <w:right w:val="nil"/>
            </w:tcBorders>
          </w:tcPr>
          <w:p w14:paraId="709A6075" w14:textId="77777777" w:rsidR="00DD6E4B" w:rsidRDefault="006B5A58">
            <w:pPr>
              <w:spacing w:after="0" w:line="259" w:lineRule="auto"/>
              <w:ind w:left="0" w:firstLine="0"/>
              <w:jc w:val="left"/>
            </w:pPr>
            <w:r>
              <w:rPr>
                <w:sz w:val="17"/>
              </w:rPr>
              <w:t>Drobný dlhodobý nehmotný majetok</w:t>
            </w:r>
          </w:p>
        </w:tc>
        <w:tc>
          <w:tcPr>
            <w:tcW w:w="1340" w:type="dxa"/>
            <w:tcBorders>
              <w:top w:val="nil"/>
              <w:left w:val="nil"/>
              <w:bottom w:val="nil"/>
              <w:right w:val="nil"/>
            </w:tcBorders>
          </w:tcPr>
          <w:p w14:paraId="6D735E70" w14:textId="77777777" w:rsidR="00DD6E4B" w:rsidRDefault="006B5A58">
            <w:pPr>
              <w:spacing w:after="0" w:line="259" w:lineRule="auto"/>
              <w:ind w:left="348" w:firstLine="0"/>
              <w:jc w:val="left"/>
            </w:pPr>
            <w:r>
              <w:rPr>
                <w:sz w:val="17"/>
              </w:rPr>
              <w:t>rôzna</w:t>
            </w:r>
          </w:p>
        </w:tc>
        <w:tc>
          <w:tcPr>
            <w:tcW w:w="1788" w:type="dxa"/>
            <w:tcBorders>
              <w:top w:val="nil"/>
              <w:left w:val="nil"/>
              <w:bottom w:val="nil"/>
              <w:right w:val="nil"/>
            </w:tcBorders>
          </w:tcPr>
          <w:p w14:paraId="7DFAEB4A" w14:textId="77777777" w:rsidR="00DD6E4B" w:rsidRDefault="006B5A58">
            <w:pPr>
              <w:spacing w:after="0" w:line="259" w:lineRule="auto"/>
              <w:ind w:left="0" w:firstLine="0"/>
              <w:jc w:val="left"/>
            </w:pPr>
            <w:proofErr w:type="spellStart"/>
            <w:r>
              <w:rPr>
                <w:sz w:val="17"/>
              </w:rPr>
              <w:t>jednorázový</w:t>
            </w:r>
            <w:proofErr w:type="spellEnd"/>
            <w:r>
              <w:rPr>
                <w:sz w:val="17"/>
              </w:rPr>
              <w:t xml:space="preserve"> odpis</w:t>
            </w:r>
          </w:p>
        </w:tc>
        <w:tc>
          <w:tcPr>
            <w:tcW w:w="1125" w:type="dxa"/>
            <w:tcBorders>
              <w:top w:val="nil"/>
              <w:left w:val="nil"/>
              <w:bottom w:val="nil"/>
              <w:right w:val="nil"/>
            </w:tcBorders>
          </w:tcPr>
          <w:p w14:paraId="1E2178C9" w14:textId="77777777" w:rsidR="00DD6E4B" w:rsidRDefault="006B5A58">
            <w:pPr>
              <w:spacing w:after="0" w:line="259" w:lineRule="auto"/>
              <w:ind w:left="0" w:right="6" w:firstLine="0"/>
              <w:jc w:val="center"/>
            </w:pPr>
            <w:r>
              <w:rPr>
                <w:sz w:val="17"/>
              </w:rPr>
              <w:t>100</w:t>
            </w:r>
          </w:p>
        </w:tc>
      </w:tr>
    </w:tbl>
    <w:p w14:paraId="3C9C4615" w14:textId="77777777" w:rsidR="00DD6E4B" w:rsidRDefault="006B5A58">
      <w:pPr>
        <w:spacing w:after="1985"/>
        <w:ind w:left="13" w:right="10"/>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5C38137B" wp14:editId="6E5030CB">
                <wp:simplePos x="0" y="0"/>
                <wp:positionH relativeFrom="column">
                  <wp:posOffset>-1396</wp:posOffset>
                </wp:positionH>
                <wp:positionV relativeFrom="paragraph">
                  <wp:posOffset>694716</wp:posOffset>
                </wp:positionV>
                <wp:extent cx="5402529" cy="21039"/>
                <wp:effectExtent l="0" t="0" r="0" b="0"/>
                <wp:wrapSquare wrapText="bothSides"/>
                <wp:docPr id="7864" name="Group 7864"/>
                <wp:cNvGraphicFramePr/>
                <a:graphic xmlns:a="http://schemas.openxmlformats.org/drawingml/2006/main">
                  <a:graphicData uri="http://schemas.microsoft.com/office/word/2010/wordprocessingGroup">
                    <wpg:wgp>
                      <wpg:cNvGrpSpPr/>
                      <wpg:grpSpPr>
                        <a:xfrm>
                          <a:off x="0" y="0"/>
                          <a:ext cx="5402529" cy="21039"/>
                          <a:chOff x="0" y="0"/>
                          <a:chExt cx="5402529" cy="21039"/>
                        </a:xfrm>
                      </wpg:grpSpPr>
                      <wps:wsp>
                        <wps:cNvPr id="192" name="Shape 192"/>
                        <wps:cNvSpPr/>
                        <wps:spPr>
                          <a:xfrm>
                            <a:off x="0" y="0"/>
                            <a:ext cx="5402529" cy="0"/>
                          </a:xfrm>
                          <a:custGeom>
                            <a:avLst/>
                            <a:gdLst/>
                            <a:ahLst/>
                            <a:cxnLst/>
                            <a:rect l="0" t="0" r="0" b="0"/>
                            <a:pathLst>
                              <a:path w="5402529">
                                <a:moveTo>
                                  <a:pt x="0" y="0"/>
                                </a:moveTo>
                                <a:lnTo>
                                  <a:pt x="5402529" y="0"/>
                                </a:lnTo>
                              </a:path>
                            </a:pathLst>
                          </a:custGeom>
                          <a:ln w="21039"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http://schemas.openxmlformats.org/drawingml/2006/main">
            <w:pict>
              <v:group id="Group 7864" style="width:425.396pt;height:1.65659pt;position:absolute;mso-position-horizontal-relative:text;mso-position-horizontal:absolute;margin-left:-0.110001pt;mso-position-vertical-relative:text;margin-top:54.702pt;" coordsize="54025,210">
                <v:shape id="Shape 192" style="position:absolute;width:54025;height:0;left:0;top:0;" coordsize="5402529,0" path="m0,0l5402529,0">
                  <v:stroke weight="1.65659pt" endcap="flat" joinstyle="round" on="true" color="#000000"/>
                  <v:fill on="false" color="#000000" opacity="0"/>
                </v:shape>
                <w10:wrap type="square"/>
              </v:group>
            </w:pict>
          </mc:Fallback>
        </mc:AlternateContent>
      </w:r>
      <w:r>
        <w:t>Predpokladaná doba používania, metóda odpisovania a odpisová sadzba sú uvedené v nasledujúcej tabuľke:</w:t>
      </w:r>
    </w:p>
    <w:p w14:paraId="52396B38" w14:textId="77777777" w:rsidR="00DD6E4B" w:rsidRDefault="006B5A58">
      <w:pPr>
        <w:spacing w:after="0" w:line="259" w:lineRule="auto"/>
        <w:ind w:left="0" w:right="209" w:firstLine="0"/>
        <w:jc w:val="right"/>
      </w:pPr>
      <w:r>
        <w:t xml:space="preserve"> </w:t>
      </w:r>
    </w:p>
    <w:p w14:paraId="7FD32A24" w14:textId="77777777" w:rsidR="00DD6E4B" w:rsidRDefault="006B5A58">
      <w:pPr>
        <w:ind w:left="13" w:right="10"/>
      </w:pPr>
      <w:r>
        <w:t xml:space="preserve">Metódy odpisovania, doby použiteľnosti a zostatkové hodnoty sa prehodnocujú ku dňu, ku ktorému sa zostavuje účtovná závierka, a ak je to potrebné, urobia sa úpravy. </w:t>
      </w:r>
    </w:p>
    <w:p w14:paraId="6304AF5F" w14:textId="77777777" w:rsidR="00DD6E4B" w:rsidRDefault="006B5A58">
      <w:pPr>
        <w:ind w:left="13" w:right="10"/>
      </w:pPr>
      <w:r>
        <w:t xml:space="preserve">Odpisy dlhodobého hmotného majetku sú stanovené vychádzajúc z predpokladanej doby jeho používania a predpokladaného priebehu jeho opotrebenia. </w:t>
      </w:r>
    </w:p>
    <w:p w14:paraId="45C8B8F0" w14:textId="77777777" w:rsidR="00DD6E4B" w:rsidRDefault="006B5A58">
      <w:pPr>
        <w:ind w:left="13" w:right="10"/>
      </w:pPr>
      <w: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 </w:t>
      </w:r>
    </w:p>
    <w:p w14:paraId="406B9878" w14:textId="77777777" w:rsidR="00DD6E4B" w:rsidRDefault="006B5A58">
      <w:pPr>
        <w:ind w:left="13" w:right="10"/>
      </w:pPr>
      <w:r>
        <w:t xml:space="preserve">Pozemky sa neodpisujú. </w:t>
      </w:r>
    </w:p>
    <w:tbl>
      <w:tblPr>
        <w:tblStyle w:val="TableGrid"/>
        <w:tblpPr w:vertAnchor="text" w:tblpX="18" w:tblpY="464"/>
        <w:tblOverlap w:val="never"/>
        <w:tblW w:w="8280" w:type="dxa"/>
        <w:tblInd w:w="0" w:type="dxa"/>
        <w:tblLook w:val="04A0" w:firstRow="1" w:lastRow="0" w:firstColumn="1" w:lastColumn="0" w:noHBand="0" w:noVBand="1"/>
      </w:tblPr>
      <w:tblGrid>
        <w:gridCol w:w="3852"/>
        <w:gridCol w:w="1478"/>
        <w:gridCol w:w="1846"/>
        <w:gridCol w:w="1104"/>
      </w:tblGrid>
      <w:tr w:rsidR="00DD6E4B" w14:paraId="3AA5B209" w14:textId="77777777">
        <w:trPr>
          <w:trHeight w:val="243"/>
        </w:trPr>
        <w:tc>
          <w:tcPr>
            <w:tcW w:w="3852" w:type="dxa"/>
            <w:tcBorders>
              <w:top w:val="nil"/>
              <w:left w:val="nil"/>
              <w:bottom w:val="nil"/>
              <w:right w:val="nil"/>
            </w:tcBorders>
          </w:tcPr>
          <w:p w14:paraId="7AC4FFCB" w14:textId="77777777" w:rsidR="00DD6E4B" w:rsidRDefault="00DD6E4B">
            <w:pPr>
              <w:spacing w:after="160" w:line="259" w:lineRule="auto"/>
              <w:ind w:left="0" w:firstLine="0"/>
              <w:jc w:val="left"/>
            </w:pPr>
          </w:p>
        </w:tc>
        <w:tc>
          <w:tcPr>
            <w:tcW w:w="1478" w:type="dxa"/>
            <w:tcBorders>
              <w:top w:val="nil"/>
              <w:left w:val="nil"/>
              <w:bottom w:val="nil"/>
              <w:right w:val="nil"/>
            </w:tcBorders>
          </w:tcPr>
          <w:p w14:paraId="72960488" w14:textId="77777777" w:rsidR="00DD6E4B" w:rsidRDefault="006B5A58">
            <w:pPr>
              <w:spacing w:after="0" w:line="259" w:lineRule="auto"/>
              <w:ind w:left="0" w:firstLine="0"/>
              <w:jc w:val="left"/>
            </w:pPr>
            <w:r>
              <w:t xml:space="preserve">Predpokladaná </w:t>
            </w:r>
          </w:p>
        </w:tc>
        <w:tc>
          <w:tcPr>
            <w:tcW w:w="1846" w:type="dxa"/>
            <w:tcBorders>
              <w:top w:val="nil"/>
              <w:left w:val="nil"/>
              <w:bottom w:val="nil"/>
              <w:right w:val="nil"/>
            </w:tcBorders>
          </w:tcPr>
          <w:p w14:paraId="0038C3EE" w14:textId="77777777" w:rsidR="00DD6E4B" w:rsidRDefault="006B5A58">
            <w:pPr>
              <w:spacing w:after="0" w:line="259" w:lineRule="auto"/>
              <w:ind w:left="368" w:firstLine="0"/>
              <w:jc w:val="left"/>
            </w:pPr>
            <w:r>
              <w:t>Metóda</w:t>
            </w:r>
          </w:p>
        </w:tc>
        <w:tc>
          <w:tcPr>
            <w:tcW w:w="1104" w:type="dxa"/>
            <w:tcBorders>
              <w:top w:val="nil"/>
              <w:left w:val="nil"/>
              <w:bottom w:val="nil"/>
              <w:right w:val="nil"/>
            </w:tcBorders>
          </w:tcPr>
          <w:p w14:paraId="1CC131F1" w14:textId="77777777" w:rsidR="00DD6E4B" w:rsidRDefault="006B5A58">
            <w:pPr>
              <w:spacing w:after="0" w:line="259" w:lineRule="auto"/>
              <w:ind w:left="0" w:firstLine="0"/>
            </w:pPr>
            <w:r>
              <w:t>Ročná odpisová</w:t>
            </w:r>
          </w:p>
        </w:tc>
      </w:tr>
      <w:tr w:rsidR="00DD6E4B" w14:paraId="773A2CA5" w14:textId="77777777">
        <w:trPr>
          <w:trHeight w:val="584"/>
        </w:trPr>
        <w:tc>
          <w:tcPr>
            <w:tcW w:w="3852" w:type="dxa"/>
            <w:tcBorders>
              <w:top w:val="nil"/>
              <w:left w:val="nil"/>
              <w:bottom w:val="nil"/>
              <w:right w:val="nil"/>
            </w:tcBorders>
          </w:tcPr>
          <w:p w14:paraId="01ABD013" w14:textId="77777777" w:rsidR="00DD6E4B" w:rsidRDefault="00DD6E4B">
            <w:pPr>
              <w:spacing w:after="160" w:line="259" w:lineRule="auto"/>
              <w:ind w:left="0" w:firstLine="0"/>
              <w:jc w:val="left"/>
            </w:pPr>
          </w:p>
        </w:tc>
        <w:tc>
          <w:tcPr>
            <w:tcW w:w="1478" w:type="dxa"/>
            <w:tcBorders>
              <w:top w:val="nil"/>
              <w:left w:val="nil"/>
              <w:bottom w:val="nil"/>
              <w:right w:val="nil"/>
            </w:tcBorders>
          </w:tcPr>
          <w:p w14:paraId="375A2359" w14:textId="77777777" w:rsidR="00DD6E4B" w:rsidRDefault="006B5A58">
            <w:pPr>
              <w:spacing w:after="0" w:line="259" w:lineRule="auto"/>
              <w:ind w:left="29" w:right="448" w:firstLine="0"/>
              <w:jc w:val="center"/>
            </w:pPr>
            <w:r>
              <w:t>doba použitia v rokoch</w:t>
            </w:r>
          </w:p>
        </w:tc>
        <w:tc>
          <w:tcPr>
            <w:tcW w:w="1846" w:type="dxa"/>
            <w:tcBorders>
              <w:top w:val="nil"/>
              <w:left w:val="nil"/>
              <w:bottom w:val="nil"/>
              <w:right w:val="nil"/>
            </w:tcBorders>
          </w:tcPr>
          <w:p w14:paraId="180ADAE3" w14:textId="77777777" w:rsidR="00DD6E4B" w:rsidRDefault="006B5A58">
            <w:pPr>
              <w:spacing w:after="0" w:line="259" w:lineRule="auto"/>
              <w:ind w:left="216" w:firstLine="0"/>
              <w:jc w:val="left"/>
            </w:pPr>
            <w:r>
              <w:t>odpisovania</w:t>
            </w:r>
          </w:p>
        </w:tc>
        <w:tc>
          <w:tcPr>
            <w:tcW w:w="1104" w:type="dxa"/>
            <w:tcBorders>
              <w:top w:val="nil"/>
              <w:left w:val="nil"/>
              <w:bottom w:val="nil"/>
              <w:right w:val="nil"/>
            </w:tcBorders>
          </w:tcPr>
          <w:p w14:paraId="737C00DE" w14:textId="77777777" w:rsidR="00DD6E4B" w:rsidRDefault="006B5A58">
            <w:pPr>
              <w:spacing w:after="0" w:line="259" w:lineRule="auto"/>
              <w:ind w:left="158" w:firstLine="0"/>
              <w:jc w:val="left"/>
            </w:pPr>
            <w:r>
              <w:t>sadzba v %</w:t>
            </w:r>
          </w:p>
        </w:tc>
      </w:tr>
      <w:tr w:rsidR="00DD6E4B" w14:paraId="59557010" w14:textId="77777777">
        <w:trPr>
          <w:trHeight w:val="284"/>
        </w:trPr>
        <w:tc>
          <w:tcPr>
            <w:tcW w:w="3852" w:type="dxa"/>
            <w:tcBorders>
              <w:top w:val="nil"/>
              <w:left w:val="nil"/>
              <w:bottom w:val="nil"/>
              <w:right w:val="nil"/>
            </w:tcBorders>
          </w:tcPr>
          <w:p w14:paraId="0DCFBAA5" w14:textId="77777777" w:rsidR="00DD6E4B" w:rsidRDefault="006B5A58">
            <w:pPr>
              <w:spacing w:after="0" w:line="259" w:lineRule="auto"/>
              <w:ind w:left="0" w:firstLine="0"/>
              <w:jc w:val="left"/>
            </w:pPr>
            <w:r>
              <w:t>Stavby</w:t>
            </w:r>
          </w:p>
        </w:tc>
        <w:tc>
          <w:tcPr>
            <w:tcW w:w="1478" w:type="dxa"/>
            <w:tcBorders>
              <w:top w:val="nil"/>
              <w:left w:val="nil"/>
              <w:bottom w:val="nil"/>
              <w:right w:val="nil"/>
            </w:tcBorders>
          </w:tcPr>
          <w:p w14:paraId="7537F36D" w14:textId="77777777" w:rsidR="00DD6E4B" w:rsidRDefault="006B5A58">
            <w:pPr>
              <w:spacing w:after="0" w:line="259" w:lineRule="auto"/>
              <w:ind w:left="440" w:firstLine="0"/>
              <w:jc w:val="left"/>
            </w:pPr>
            <w:r>
              <w:t>40</w:t>
            </w:r>
          </w:p>
        </w:tc>
        <w:tc>
          <w:tcPr>
            <w:tcW w:w="1846" w:type="dxa"/>
            <w:tcBorders>
              <w:top w:val="nil"/>
              <w:left w:val="nil"/>
              <w:bottom w:val="nil"/>
              <w:right w:val="nil"/>
            </w:tcBorders>
          </w:tcPr>
          <w:p w14:paraId="7E82923B" w14:textId="77777777" w:rsidR="00DD6E4B" w:rsidRDefault="006B5A58">
            <w:pPr>
              <w:spacing w:after="0" w:line="259" w:lineRule="auto"/>
              <w:ind w:left="360" w:firstLine="0"/>
              <w:jc w:val="left"/>
            </w:pPr>
            <w:r>
              <w:t>lineárna</w:t>
            </w:r>
          </w:p>
        </w:tc>
        <w:tc>
          <w:tcPr>
            <w:tcW w:w="1104" w:type="dxa"/>
            <w:tcBorders>
              <w:top w:val="nil"/>
              <w:left w:val="nil"/>
              <w:bottom w:val="nil"/>
              <w:right w:val="nil"/>
            </w:tcBorders>
          </w:tcPr>
          <w:p w14:paraId="7230E887" w14:textId="77777777" w:rsidR="00DD6E4B" w:rsidRDefault="006B5A58">
            <w:pPr>
              <w:spacing w:after="0" w:line="259" w:lineRule="auto"/>
              <w:ind w:left="0" w:right="8" w:firstLine="0"/>
              <w:jc w:val="center"/>
            </w:pPr>
            <w:r>
              <w:t>2,5</w:t>
            </w:r>
          </w:p>
        </w:tc>
      </w:tr>
      <w:tr w:rsidR="00DD6E4B" w14:paraId="321B8985" w14:textId="77777777">
        <w:trPr>
          <w:trHeight w:val="284"/>
        </w:trPr>
        <w:tc>
          <w:tcPr>
            <w:tcW w:w="3852" w:type="dxa"/>
            <w:tcBorders>
              <w:top w:val="nil"/>
              <w:left w:val="nil"/>
              <w:bottom w:val="nil"/>
              <w:right w:val="nil"/>
            </w:tcBorders>
          </w:tcPr>
          <w:p w14:paraId="3DB8FABE" w14:textId="77777777" w:rsidR="00DD6E4B" w:rsidRDefault="006B5A58">
            <w:pPr>
              <w:spacing w:after="0" w:line="259" w:lineRule="auto"/>
              <w:ind w:left="0" w:firstLine="0"/>
              <w:jc w:val="left"/>
            </w:pPr>
            <w:r>
              <w:t>Stroje, prístroje a zariadenia</w:t>
            </w:r>
          </w:p>
        </w:tc>
        <w:tc>
          <w:tcPr>
            <w:tcW w:w="1478" w:type="dxa"/>
            <w:tcBorders>
              <w:top w:val="nil"/>
              <w:left w:val="nil"/>
              <w:bottom w:val="nil"/>
              <w:right w:val="nil"/>
            </w:tcBorders>
          </w:tcPr>
          <w:p w14:paraId="7C781832" w14:textId="77777777" w:rsidR="00DD6E4B" w:rsidRDefault="006B5A58">
            <w:pPr>
              <w:spacing w:after="0" w:line="259" w:lineRule="auto"/>
              <w:ind w:left="282" w:firstLine="0"/>
              <w:jc w:val="left"/>
            </w:pPr>
            <w:r>
              <w:t>8 až 12</w:t>
            </w:r>
          </w:p>
        </w:tc>
        <w:tc>
          <w:tcPr>
            <w:tcW w:w="1846" w:type="dxa"/>
            <w:tcBorders>
              <w:top w:val="nil"/>
              <w:left w:val="nil"/>
              <w:bottom w:val="nil"/>
              <w:right w:val="nil"/>
            </w:tcBorders>
          </w:tcPr>
          <w:p w14:paraId="264539D1" w14:textId="77777777" w:rsidR="00DD6E4B" w:rsidRDefault="006B5A58">
            <w:pPr>
              <w:spacing w:after="0" w:line="259" w:lineRule="auto"/>
              <w:ind w:left="360" w:firstLine="0"/>
              <w:jc w:val="left"/>
            </w:pPr>
            <w:r>
              <w:t>lineárna</w:t>
            </w:r>
          </w:p>
        </w:tc>
        <w:tc>
          <w:tcPr>
            <w:tcW w:w="1104" w:type="dxa"/>
            <w:tcBorders>
              <w:top w:val="nil"/>
              <w:left w:val="nil"/>
              <w:bottom w:val="nil"/>
              <w:right w:val="nil"/>
            </w:tcBorders>
          </w:tcPr>
          <w:p w14:paraId="48C7BFF2" w14:textId="77777777" w:rsidR="00DD6E4B" w:rsidRDefault="006B5A58">
            <w:pPr>
              <w:spacing w:after="0" w:line="259" w:lineRule="auto"/>
              <w:ind w:left="0" w:right="6" w:firstLine="0"/>
              <w:jc w:val="center"/>
            </w:pPr>
            <w:r>
              <w:t>12,5</w:t>
            </w:r>
          </w:p>
        </w:tc>
      </w:tr>
      <w:tr w:rsidR="00DD6E4B" w14:paraId="0E4A77BD" w14:textId="77777777">
        <w:trPr>
          <w:trHeight w:val="284"/>
        </w:trPr>
        <w:tc>
          <w:tcPr>
            <w:tcW w:w="3852" w:type="dxa"/>
            <w:tcBorders>
              <w:top w:val="nil"/>
              <w:left w:val="nil"/>
              <w:bottom w:val="nil"/>
              <w:right w:val="nil"/>
            </w:tcBorders>
          </w:tcPr>
          <w:p w14:paraId="65778EA7" w14:textId="77777777" w:rsidR="00DD6E4B" w:rsidRDefault="006B5A58">
            <w:pPr>
              <w:spacing w:after="0" w:line="259" w:lineRule="auto"/>
              <w:ind w:left="0" w:firstLine="0"/>
              <w:jc w:val="left"/>
            </w:pPr>
            <w:r>
              <w:t>Dopravné prostriedky, poľnohospodárske stroje</w:t>
            </w:r>
          </w:p>
        </w:tc>
        <w:tc>
          <w:tcPr>
            <w:tcW w:w="1478" w:type="dxa"/>
            <w:tcBorders>
              <w:top w:val="nil"/>
              <w:left w:val="nil"/>
              <w:bottom w:val="nil"/>
              <w:right w:val="nil"/>
            </w:tcBorders>
          </w:tcPr>
          <w:p w14:paraId="36A8869E" w14:textId="77777777" w:rsidR="00DD6E4B" w:rsidRDefault="006B5A58">
            <w:pPr>
              <w:spacing w:after="0" w:line="259" w:lineRule="auto"/>
              <w:ind w:left="326" w:firstLine="0"/>
              <w:jc w:val="left"/>
            </w:pPr>
            <w:r>
              <w:t>4 až 6</w:t>
            </w:r>
          </w:p>
        </w:tc>
        <w:tc>
          <w:tcPr>
            <w:tcW w:w="1846" w:type="dxa"/>
            <w:tcBorders>
              <w:top w:val="nil"/>
              <w:left w:val="nil"/>
              <w:bottom w:val="nil"/>
              <w:right w:val="nil"/>
            </w:tcBorders>
          </w:tcPr>
          <w:p w14:paraId="7A412F17" w14:textId="77777777" w:rsidR="00DD6E4B" w:rsidRDefault="006B5A58">
            <w:pPr>
              <w:spacing w:after="0" w:line="259" w:lineRule="auto"/>
              <w:ind w:left="360" w:firstLine="0"/>
              <w:jc w:val="left"/>
            </w:pPr>
            <w:r>
              <w:t>lineárna</w:t>
            </w:r>
          </w:p>
        </w:tc>
        <w:tc>
          <w:tcPr>
            <w:tcW w:w="1104" w:type="dxa"/>
            <w:tcBorders>
              <w:top w:val="nil"/>
              <w:left w:val="nil"/>
              <w:bottom w:val="nil"/>
              <w:right w:val="nil"/>
            </w:tcBorders>
          </w:tcPr>
          <w:p w14:paraId="31B88170" w14:textId="77777777" w:rsidR="00DD6E4B" w:rsidRDefault="006B5A58">
            <w:pPr>
              <w:spacing w:after="0" w:line="259" w:lineRule="auto"/>
              <w:ind w:left="0" w:right="6" w:firstLine="0"/>
              <w:jc w:val="center"/>
            </w:pPr>
            <w:r>
              <w:t>16 až 30</w:t>
            </w:r>
          </w:p>
        </w:tc>
      </w:tr>
      <w:tr w:rsidR="00DD6E4B" w14:paraId="5931FAB7" w14:textId="77777777">
        <w:trPr>
          <w:trHeight w:val="243"/>
        </w:trPr>
        <w:tc>
          <w:tcPr>
            <w:tcW w:w="3852" w:type="dxa"/>
            <w:tcBorders>
              <w:top w:val="nil"/>
              <w:left w:val="nil"/>
              <w:bottom w:val="nil"/>
              <w:right w:val="nil"/>
            </w:tcBorders>
          </w:tcPr>
          <w:p w14:paraId="59E03D2A" w14:textId="77777777" w:rsidR="00DD6E4B" w:rsidRDefault="006B5A58">
            <w:pPr>
              <w:spacing w:after="0" w:line="259" w:lineRule="auto"/>
              <w:ind w:left="0" w:firstLine="0"/>
              <w:jc w:val="left"/>
            </w:pPr>
            <w:r>
              <w:t>Drobný dlhodobý hmotný majetok</w:t>
            </w:r>
          </w:p>
        </w:tc>
        <w:tc>
          <w:tcPr>
            <w:tcW w:w="1478" w:type="dxa"/>
            <w:tcBorders>
              <w:top w:val="nil"/>
              <w:left w:val="nil"/>
              <w:bottom w:val="nil"/>
              <w:right w:val="nil"/>
            </w:tcBorders>
          </w:tcPr>
          <w:p w14:paraId="0A97543F" w14:textId="77777777" w:rsidR="00DD6E4B" w:rsidRDefault="006B5A58">
            <w:pPr>
              <w:spacing w:after="0" w:line="259" w:lineRule="auto"/>
              <w:ind w:left="340" w:firstLine="0"/>
              <w:jc w:val="left"/>
            </w:pPr>
            <w:r>
              <w:t>rôzna</w:t>
            </w:r>
          </w:p>
        </w:tc>
        <w:tc>
          <w:tcPr>
            <w:tcW w:w="1846" w:type="dxa"/>
            <w:tcBorders>
              <w:top w:val="nil"/>
              <w:left w:val="nil"/>
              <w:bottom w:val="nil"/>
              <w:right w:val="nil"/>
            </w:tcBorders>
          </w:tcPr>
          <w:p w14:paraId="6A879C26" w14:textId="77777777" w:rsidR="00DD6E4B" w:rsidRDefault="006B5A58">
            <w:pPr>
              <w:spacing w:after="0" w:line="259" w:lineRule="auto"/>
              <w:ind w:left="0" w:firstLine="0"/>
              <w:jc w:val="left"/>
            </w:pPr>
            <w:proofErr w:type="spellStart"/>
            <w:r>
              <w:t>jednorázový</w:t>
            </w:r>
            <w:proofErr w:type="spellEnd"/>
            <w:r>
              <w:t xml:space="preserve"> odpis</w:t>
            </w:r>
          </w:p>
        </w:tc>
        <w:tc>
          <w:tcPr>
            <w:tcW w:w="1104" w:type="dxa"/>
            <w:tcBorders>
              <w:top w:val="nil"/>
              <w:left w:val="nil"/>
              <w:bottom w:val="nil"/>
              <w:right w:val="nil"/>
            </w:tcBorders>
          </w:tcPr>
          <w:p w14:paraId="6F7E3E89" w14:textId="77777777" w:rsidR="00DD6E4B" w:rsidRDefault="006B5A58">
            <w:pPr>
              <w:spacing w:after="0" w:line="259" w:lineRule="auto"/>
              <w:ind w:left="0" w:right="5" w:firstLine="0"/>
              <w:jc w:val="center"/>
            </w:pPr>
            <w:r>
              <w:t>100</w:t>
            </w:r>
          </w:p>
        </w:tc>
      </w:tr>
    </w:tbl>
    <w:p w14:paraId="6D6C1C83" w14:textId="77777777" w:rsidR="00DD6E4B" w:rsidRDefault="006B5A58">
      <w:pPr>
        <w:spacing w:after="273"/>
        <w:ind w:left="13" w:right="10"/>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156CD728" wp14:editId="0B86D34E">
                <wp:simplePos x="0" y="0"/>
                <wp:positionH relativeFrom="column">
                  <wp:posOffset>-1167</wp:posOffset>
                </wp:positionH>
                <wp:positionV relativeFrom="paragraph">
                  <wp:posOffset>805104</wp:posOffset>
                </wp:positionV>
                <wp:extent cx="5324234" cy="22182"/>
                <wp:effectExtent l="0" t="0" r="0" b="0"/>
                <wp:wrapSquare wrapText="bothSides"/>
                <wp:docPr id="7865" name="Group 7865"/>
                <wp:cNvGraphicFramePr/>
                <a:graphic xmlns:a="http://schemas.openxmlformats.org/drawingml/2006/main">
                  <a:graphicData uri="http://schemas.microsoft.com/office/word/2010/wordprocessingGroup">
                    <wpg:wgp>
                      <wpg:cNvGrpSpPr/>
                      <wpg:grpSpPr>
                        <a:xfrm>
                          <a:off x="0" y="0"/>
                          <a:ext cx="5324234" cy="22182"/>
                          <a:chOff x="0" y="0"/>
                          <a:chExt cx="5324234" cy="22182"/>
                        </a:xfrm>
                      </wpg:grpSpPr>
                      <wps:wsp>
                        <wps:cNvPr id="226" name="Shape 226"/>
                        <wps:cNvSpPr/>
                        <wps:spPr>
                          <a:xfrm>
                            <a:off x="0" y="0"/>
                            <a:ext cx="5324234" cy="0"/>
                          </a:xfrm>
                          <a:custGeom>
                            <a:avLst/>
                            <a:gdLst/>
                            <a:ahLst/>
                            <a:cxnLst/>
                            <a:rect l="0" t="0" r="0" b="0"/>
                            <a:pathLst>
                              <a:path w="5324234">
                                <a:moveTo>
                                  <a:pt x="0" y="0"/>
                                </a:moveTo>
                                <a:lnTo>
                                  <a:pt x="5324234" y="0"/>
                                </a:lnTo>
                              </a:path>
                            </a:pathLst>
                          </a:custGeom>
                          <a:ln w="22182"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http://schemas.openxmlformats.org/drawingml/2006/main">
            <w:pict>
              <v:group id="Group 7865" style="width:419.231pt;height:1.74664pt;position:absolute;mso-position-horizontal-relative:text;mso-position-horizontal:absolute;margin-left:-0.0920029pt;mso-position-vertical-relative:text;margin-top:63.394pt;" coordsize="53242,221">
                <v:shape id="Shape 226" style="position:absolute;width:53242;height:0;left:0;top:0;" coordsize="5324234,0" path="m0,0l5324234,0">
                  <v:stroke weight="1.74664pt" endcap="flat" joinstyle="round" on="true" color="#000000"/>
                  <v:fill on="false" color="#000000" opacity="0"/>
                </v:shape>
                <w10:wrap type="square"/>
              </v:group>
            </w:pict>
          </mc:Fallback>
        </mc:AlternateContent>
      </w:r>
      <w:r>
        <w:t xml:space="preserve">Predpokladaná doba používania, metóda odpisovania a odpisová sadzba sú uvedené v nasledujúcej tabuľke: </w:t>
      </w:r>
    </w:p>
    <w:p w14:paraId="678ECC37" w14:textId="77777777" w:rsidR="00DD6E4B" w:rsidRDefault="006B5A58">
      <w:pPr>
        <w:spacing w:before="92"/>
        <w:ind w:left="13" w:right="10"/>
      </w:pPr>
      <w:r>
        <w:lastRenderedPageBreak/>
        <w:t xml:space="preserve">Metódy odpisovania, doby použiteľnosti a zostatkové hodnoty sa prehodnocujú ku dňu, ku ktorému sa zostavuje účtovná závierka, a ak je to potrebné, urobia sa úpravy. </w:t>
      </w:r>
    </w:p>
    <w:p w14:paraId="6C3D5948" w14:textId="77777777" w:rsidR="00DD6E4B" w:rsidRDefault="006B5A58">
      <w:pPr>
        <w:pStyle w:val="Nadpis2"/>
        <w:spacing w:after="189" w:line="259" w:lineRule="auto"/>
        <w:ind w:left="-5"/>
      </w:pPr>
      <w:r>
        <w:rPr>
          <w:i/>
        </w:rPr>
        <w:t xml:space="preserve">Posúdenie zníženia hodnoty majetku </w:t>
      </w:r>
    </w:p>
    <w:p w14:paraId="0897104D" w14:textId="77777777" w:rsidR="00DD6E4B" w:rsidRDefault="006B5A58">
      <w:pPr>
        <w:spacing w:after="0"/>
        <w:ind w:left="13" w:right="10"/>
      </w:pPr>
      <w: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w:t>
      </w:r>
    </w:p>
    <w:p w14:paraId="2659183D" w14:textId="77777777" w:rsidR="00DD6E4B" w:rsidRDefault="006B5A58">
      <w:pPr>
        <w:spacing w:after="60"/>
        <w:ind w:left="13" w:right="10"/>
      </w:pPr>
      <w:r>
        <w:t xml:space="preserve">Faktory, ktoré sú považované za dôležité pri posudzovaní zníženia hodnoty majetku sú: </w:t>
      </w:r>
    </w:p>
    <w:p w14:paraId="4303B3D4" w14:textId="77777777" w:rsidR="00DD6E4B" w:rsidRDefault="006B5A58">
      <w:pPr>
        <w:numPr>
          <w:ilvl w:val="0"/>
          <w:numId w:val="3"/>
        </w:numPr>
        <w:spacing w:after="58"/>
        <w:ind w:right="44" w:hanging="128"/>
      </w:pPr>
      <w:r>
        <w:t xml:space="preserve">technologický pokrok, </w:t>
      </w:r>
    </w:p>
    <w:p w14:paraId="0016936D" w14:textId="77777777" w:rsidR="00DD6E4B" w:rsidRDefault="006B5A58">
      <w:pPr>
        <w:numPr>
          <w:ilvl w:val="0"/>
          <w:numId w:val="3"/>
        </w:numPr>
        <w:spacing w:after="106" w:line="305" w:lineRule="auto"/>
        <w:ind w:right="44" w:hanging="128"/>
      </w:pPr>
      <w:r>
        <w:t xml:space="preserve">významne nedostatočné prevádzkové výsledky v porovnaní s historickými alebo plánovanými prevádzkovými výsledkami, </w:t>
      </w:r>
      <w:r>
        <w:rPr>
          <w:sz w:val="22"/>
        </w:rPr>
        <w:t xml:space="preserve">- </w:t>
      </w:r>
      <w:r>
        <w:t xml:space="preserve">významné zmeny v spôsobe použitia majetku Spoločnosti alebo celkovej zmeny stratégie Spoločnosti, </w:t>
      </w:r>
      <w:r>
        <w:rPr>
          <w:sz w:val="22"/>
        </w:rPr>
        <w:t xml:space="preserve">- </w:t>
      </w:r>
      <w:r>
        <w:t xml:space="preserve">zastaranosť produktov. </w:t>
      </w:r>
    </w:p>
    <w:p w14:paraId="7D22740B" w14:textId="77777777" w:rsidR="00DD6E4B" w:rsidRDefault="006B5A58">
      <w:pPr>
        <w:spacing w:after="408"/>
        <w:ind w:left="13" w:right="10"/>
      </w:pPr>
      <w: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2DCAB3B9" w14:textId="77777777" w:rsidR="00DD6E4B" w:rsidRDefault="006B5A58">
      <w:pPr>
        <w:pStyle w:val="Nadpis3"/>
        <w:tabs>
          <w:tab w:val="center" w:pos="427"/>
          <w:tab w:val="center" w:pos="1000"/>
        </w:tabs>
        <w:ind w:left="0" w:firstLine="0"/>
      </w:pPr>
      <w:r>
        <w:rPr>
          <w:rFonts w:ascii="Calibri" w:eastAsia="Calibri" w:hAnsi="Calibri" w:cs="Calibri"/>
          <w:b w:val="0"/>
          <w:sz w:val="22"/>
        </w:rPr>
        <w:tab/>
      </w:r>
      <w:r>
        <w:t>4.</w:t>
      </w:r>
      <w:r>
        <w:tab/>
        <w:t xml:space="preserve">Zásoby </w:t>
      </w:r>
    </w:p>
    <w:p w14:paraId="545D8CB5" w14:textId="77777777" w:rsidR="00DD6E4B" w:rsidRDefault="006B5A58">
      <w:pPr>
        <w:ind w:left="13" w:right="10"/>
      </w:pPr>
      <w:r>
        <w:t xml:space="preserve">Zásoby sa oceňujú nižšou z nasledujúcich hodnôt: obstarávacou cenou (nakupované zásoby) alebo vlastnými nákladmi (zásoby vytvorené vlastnou činnosťou), alebo čistou realizačnou hodnotou. </w:t>
      </w:r>
    </w:p>
    <w:p w14:paraId="23EBE70E" w14:textId="77777777" w:rsidR="00DD6E4B" w:rsidRDefault="006B5A58">
      <w:pPr>
        <w:ind w:left="13" w:right="10"/>
      </w:pPr>
      <w: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2C0BBBC2" w14:textId="77777777" w:rsidR="00DD6E4B" w:rsidRDefault="006B5A58">
      <w:pPr>
        <w:ind w:left="13" w:right="10"/>
      </w:pPr>
      <w:r>
        <w:t xml:space="preserve">Úbytok zásob sa účtuje v skutočnej obstarávacej cene. </w:t>
      </w:r>
    </w:p>
    <w:p w14:paraId="592ED9BE" w14:textId="77777777" w:rsidR="00DD6E4B" w:rsidRDefault="006B5A58">
      <w:pPr>
        <w:ind w:left="13" w:right="10"/>
      </w:pPr>
      <w:r>
        <w:t xml:space="preserve">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úverov. </w:t>
      </w:r>
    </w:p>
    <w:p w14:paraId="79EF37EC" w14:textId="77777777" w:rsidR="00DD6E4B" w:rsidRDefault="006B5A58">
      <w:pPr>
        <w:ind w:left="13" w:right="10"/>
      </w:pPr>
      <w: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Čistá realizačná hodnota je predpokladaná predajná cena zásob znížená o predpokladané náklady na ich dokončenie a o predpokladané náklady súvisiace s ich predajom. </w:t>
      </w:r>
    </w:p>
    <w:p w14:paraId="69414813" w14:textId="77777777" w:rsidR="00DD6E4B" w:rsidRDefault="006B5A58">
      <w:pPr>
        <w:spacing w:after="403"/>
        <w:ind w:left="13" w:right="10"/>
      </w:pPr>
      <w:r>
        <w:t xml:space="preserve">Zníženie hodnoty zásob sa zohľadňuje vytvorením opravnej položky. </w:t>
      </w:r>
    </w:p>
    <w:p w14:paraId="0876FE1C" w14:textId="77777777" w:rsidR="00DD6E4B" w:rsidRDefault="006B5A58">
      <w:pPr>
        <w:pStyle w:val="Nadpis3"/>
        <w:tabs>
          <w:tab w:val="center" w:pos="427"/>
          <w:tab w:val="center" w:pos="1192"/>
        </w:tabs>
        <w:ind w:left="0" w:firstLine="0"/>
      </w:pPr>
      <w:r>
        <w:rPr>
          <w:rFonts w:ascii="Calibri" w:eastAsia="Calibri" w:hAnsi="Calibri" w:cs="Calibri"/>
          <w:b w:val="0"/>
          <w:sz w:val="22"/>
        </w:rPr>
        <w:tab/>
      </w:r>
      <w:r>
        <w:t>5.</w:t>
      </w:r>
      <w:r>
        <w:tab/>
        <w:t xml:space="preserve">Pohľadávky </w:t>
      </w:r>
    </w:p>
    <w:p w14:paraId="57FF3FA7" w14:textId="77777777" w:rsidR="00DD6E4B" w:rsidRDefault="006B5A58">
      <w:pPr>
        <w:ind w:left="13" w:right="10"/>
      </w:pPr>
      <w: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14:paraId="7639CE72" w14:textId="77777777" w:rsidR="00DD6E4B" w:rsidRDefault="006B5A58">
      <w:pPr>
        <w:ind w:left="13" w:right="10"/>
      </w:pPr>
      <w: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22B1D105" w14:textId="77777777" w:rsidR="00DD6E4B" w:rsidRDefault="006B5A58">
      <w:pPr>
        <w:pStyle w:val="Nadpis3"/>
        <w:tabs>
          <w:tab w:val="center" w:pos="427"/>
          <w:tab w:val="center" w:pos="1262"/>
        </w:tabs>
        <w:ind w:left="0" w:firstLine="0"/>
      </w:pPr>
      <w:r>
        <w:rPr>
          <w:rFonts w:ascii="Calibri" w:eastAsia="Calibri" w:hAnsi="Calibri" w:cs="Calibri"/>
          <w:b w:val="0"/>
          <w:sz w:val="22"/>
        </w:rPr>
        <w:tab/>
      </w:r>
      <w:r>
        <w:t>6.</w:t>
      </w:r>
      <w:r>
        <w:tab/>
        <w:t xml:space="preserve">Finančné účty </w:t>
      </w:r>
    </w:p>
    <w:p w14:paraId="1AAC6BFC" w14:textId="77777777" w:rsidR="00DD6E4B" w:rsidRDefault="006B5A58">
      <w:pPr>
        <w:ind w:left="13" w:right="10"/>
      </w:pPr>
      <w:r>
        <w:t xml:space="preserve">Finančné účty tvorí peňažná hotovosť, zostatky na bankových účtoch a oceňujú sa menovitou hodnotou. Zníženie ich hodnoty sa vyjadruje opravnou položkou. </w:t>
      </w:r>
    </w:p>
    <w:p w14:paraId="63B75ABE" w14:textId="77777777" w:rsidR="00DD6E4B" w:rsidRDefault="006B5A58">
      <w:pPr>
        <w:pStyle w:val="Nadpis3"/>
        <w:tabs>
          <w:tab w:val="center" w:pos="427"/>
          <w:tab w:val="center" w:pos="2730"/>
        </w:tabs>
        <w:ind w:left="0" w:firstLine="0"/>
      </w:pPr>
      <w:r>
        <w:rPr>
          <w:rFonts w:ascii="Calibri" w:eastAsia="Calibri" w:hAnsi="Calibri" w:cs="Calibri"/>
          <w:b w:val="0"/>
          <w:sz w:val="22"/>
        </w:rPr>
        <w:lastRenderedPageBreak/>
        <w:tab/>
      </w:r>
      <w:r>
        <w:t>7.</w:t>
      </w:r>
      <w:r>
        <w:tab/>
        <w:t xml:space="preserve">Náklady budúcich období a príjmy budúcich období </w:t>
      </w:r>
    </w:p>
    <w:p w14:paraId="0C210DB5" w14:textId="77777777" w:rsidR="00DD6E4B" w:rsidRDefault="006B5A58">
      <w:pPr>
        <w:ind w:left="13" w:right="10"/>
      </w:pPr>
      <w:r>
        <w:t xml:space="preserve">Náklady budúcich období a príjmy budúcich období sa vykazujú vo výške, ktorá je potrebná na dodržanie zásady vecnej a časovej súvislosti s účtovným obdobím. </w:t>
      </w:r>
    </w:p>
    <w:p w14:paraId="6B1794B2" w14:textId="77777777" w:rsidR="00DD6E4B" w:rsidRDefault="006B5A58">
      <w:pPr>
        <w:pStyle w:val="Nadpis3"/>
        <w:tabs>
          <w:tab w:val="center" w:pos="427"/>
          <w:tab w:val="center" w:pos="2457"/>
        </w:tabs>
        <w:ind w:left="0" w:firstLine="0"/>
      </w:pPr>
      <w:r>
        <w:rPr>
          <w:rFonts w:ascii="Calibri" w:eastAsia="Calibri" w:hAnsi="Calibri" w:cs="Calibri"/>
          <w:b w:val="0"/>
          <w:sz w:val="22"/>
        </w:rPr>
        <w:tab/>
      </w:r>
      <w:r>
        <w:t>8.</w:t>
      </w:r>
      <w:r>
        <w:tab/>
        <w:t xml:space="preserve">Zníženie hodnoty majetku a opravné položky </w:t>
      </w:r>
    </w:p>
    <w:p w14:paraId="02B0567F" w14:textId="77777777" w:rsidR="00DD6E4B" w:rsidRDefault="006B5A58">
      <w:pPr>
        <w:ind w:left="13" w:right="10"/>
      </w:pPr>
      <w: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 </w:t>
      </w:r>
    </w:p>
    <w:p w14:paraId="41F2F3EB" w14:textId="77777777" w:rsidR="00DD6E4B" w:rsidRDefault="006B5A58">
      <w:pPr>
        <w:pStyle w:val="Nadpis2"/>
        <w:spacing w:after="189" w:line="259" w:lineRule="auto"/>
        <w:ind w:left="-5"/>
      </w:pPr>
      <w:r>
        <w:rPr>
          <w:i/>
        </w:rPr>
        <w:t xml:space="preserve">Zníženie hodnoty dlhodobého majetku a zásob </w:t>
      </w:r>
    </w:p>
    <w:p w14:paraId="2084578A" w14:textId="77777777" w:rsidR="00DD6E4B" w:rsidRDefault="006B5A58">
      <w:pPr>
        <w:ind w:left="13" w:right="10"/>
      </w:pPr>
      <w:r>
        <w:t xml:space="preserve">Ku každému dňu, ku ktorému sa zostavuje účtovná závierka, je účtovná hodnota majetku Spoločnosti, iného ako odloženej daňovej pohľadávky (pozri bod D.12. Odložené dane) posudzovaná s cieľom zistiť, či existujú indikátory, že by mohlo dôjsť k zníženiu hodnoty majetku. Ak takéto indikátory existujú, potom sa odhadnú predpokladané budúce ekonomické úžitky z daného majetku. </w:t>
      </w:r>
    </w:p>
    <w:p w14:paraId="101F1976" w14:textId="77777777" w:rsidR="00DD6E4B" w:rsidRDefault="006B5A58">
      <w:pPr>
        <w:ind w:left="13" w:right="10"/>
      </w:pPr>
      <w: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14206C8E" w14:textId="77777777" w:rsidR="00DD6E4B" w:rsidRDefault="006B5A58">
      <w:pPr>
        <w:pStyle w:val="Nadpis2"/>
        <w:spacing w:after="189" w:line="259" w:lineRule="auto"/>
        <w:ind w:left="-5"/>
      </w:pPr>
      <w:r>
        <w:rPr>
          <w:i/>
        </w:rPr>
        <w:t xml:space="preserve">Zníženie hodnoty finančného majetku a pohľadávok </w:t>
      </w:r>
    </w:p>
    <w:p w14:paraId="3AF14F44" w14:textId="77777777" w:rsidR="00DD6E4B" w:rsidRDefault="006B5A58">
      <w:pPr>
        <w:ind w:left="13" w:right="10"/>
      </w:pPr>
      <w:r>
        <w:t xml:space="preserve">Ku každému dňu, ku ktorému sa zostavuje účtovná závierka sa finančný majetok, ktorý nie je ocenený reálnou hodnotou posudzuje s cieľom zistiť, či existujú objektívne dôkazy zníženia jeho hodnoty. </w:t>
      </w:r>
    </w:p>
    <w:p w14:paraId="567AA8B6" w14:textId="77777777" w:rsidR="00DD6E4B" w:rsidRDefault="006B5A58">
      <w:pPr>
        <w:ind w:left="13" w:right="10"/>
      </w:pPr>
      <w: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3AA7331F" w14:textId="77777777" w:rsidR="00DD6E4B" w:rsidRDefault="006B5A58">
      <w:pPr>
        <w:ind w:left="13" w:right="10"/>
      </w:pPr>
      <w:r>
        <w:t xml:space="preserve">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 </w:t>
      </w:r>
    </w:p>
    <w:p w14:paraId="3B610068" w14:textId="77777777" w:rsidR="00DD6E4B" w:rsidRDefault="006B5A58">
      <w:pPr>
        <w:ind w:left="13" w:right="10"/>
      </w:pPr>
      <w:r>
        <w:t xml:space="preserve">Opravná položka sa zruší, ak následné zvýšenie predpokladaných budúcich ekonomických úžitkov možno objektívne spájať s udalosťou, ktorá nastala po vykázaní opravnej položky. </w:t>
      </w:r>
    </w:p>
    <w:p w14:paraId="13596EF3" w14:textId="77777777" w:rsidR="00DD6E4B" w:rsidRDefault="006B5A58">
      <w:pPr>
        <w:pStyle w:val="Nadpis3"/>
        <w:tabs>
          <w:tab w:val="center" w:pos="427"/>
          <w:tab w:val="center" w:pos="1050"/>
        </w:tabs>
        <w:ind w:left="0" w:firstLine="0"/>
      </w:pPr>
      <w:r>
        <w:rPr>
          <w:rFonts w:ascii="Calibri" w:eastAsia="Calibri" w:hAnsi="Calibri" w:cs="Calibri"/>
          <w:b w:val="0"/>
          <w:sz w:val="22"/>
        </w:rPr>
        <w:tab/>
      </w:r>
      <w:r>
        <w:t>9.</w:t>
      </w:r>
      <w:r>
        <w:tab/>
        <w:t xml:space="preserve">Záväzky </w:t>
      </w:r>
    </w:p>
    <w:p w14:paraId="69021998" w14:textId="77777777" w:rsidR="00DD6E4B" w:rsidRDefault="006B5A58">
      <w:pPr>
        <w:ind w:left="13" w:right="10"/>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09CDAB3" w14:textId="77777777" w:rsidR="00DD6E4B" w:rsidRDefault="006B5A58">
      <w:pPr>
        <w:pStyle w:val="Nadpis3"/>
        <w:tabs>
          <w:tab w:val="center" w:pos="472"/>
          <w:tab w:val="center" w:pos="1034"/>
        </w:tabs>
        <w:spacing w:after="395"/>
        <w:ind w:left="0" w:firstLine="0"/>
      </w:pPr>
      <w:r>
        <w:rPr>
          <w:rFonts w:ascii="Calibri" w:eastAsia="Calibri" w:hAnsi="Calibri" w:cs="Calibri"/>
          <w:b w:val="0"/>
          <w:sz w:val="22"/>
        </w:rPr>
        <w:tab/>
      </w:r>
      <w:r>
        <w:t>10.</w:t>
      </w:r>
      <w:r>
        <w:tab/>
        <w:t xml:space="preserve">Rezervy </w:t>
      </w:r>
    </w:p>
    <w:p w14:paraId="6C7ECFE1" w14:textId="77777777" w:rsidR="00DD6E4B" w:rsidRDefault="006B5A58">
      <w:pPr>
        <w:ind w:left="13" w:right="10"/>
      </w:pPr>
      <w: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57F9D62F" w14:textId="77777777" w:rsidR="00DD6E4B" w:rsidRDefault="006B5A58">
      <w:pPr>
        <w:ind w:left="13" w:right="10"/>
      </w:pPr>
      <w: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w:t>
      </w:r>
    </w:p>
    <w:p w14:paraId="269AB533" w14:textId="77777777" w:rsidR="00DD6E4B" w:rsidRDefault="006B5A58">
      <w:pPr>
        <w:spacing w:after="207" w:line="238" w:lineRule="auto"/>
        <w:ind w:left="-15" w:right="34" w:firstLine="0"/>
        <w:jc w:val="left"/>
      </w:pPr>
      <w:r>
        <w:lastRenderedPageBreak/>
        <w:t xml:space="preserve">Rozpustenie nepotrebnej rezervy alebo jej časti sa účtuje opačným účtovným zápisom ako sa účtovala tvorba rezervy. Tvorba rezervy na bonusy, rabaty, skontá a vrátenie kúpnej ceny pri reklamácii sa účtuje ako zníženie pôvodne dosiahnutých výnosov so súvzťažným zápisom v prospech účtu rezerv. </w:t>
      </w:r>
    </w:p>
    <w:p w14:paraId="18261D20" w14:textId="77777777" w:rsidR="00DD6E4B" w:rsidRDefault="006B5A58">
      <w:pPr>
        <w:pStyle w:val="Nadpis1"/>
        <w:ind w:left="10"/>
      </w:pPr>
      <w:r>
        <w:t xml:space="preserve">        Nevyfakturované dodávky majetku </w:t>
      </w:r>
    </w:p>
    <w:p w14:paraId="093825ED" w14:textId="77777777" w:rsidR="00DD6E4B" w:rsidRDefault="006B5A58">
      <w:pPr>
        <w:ind w:left="13" w:right="10"/>
      </w:pPr>
      <w:r>
        <w:t xml:space="preserve">Rezervy na nevyfakturované dodávky majetku sa nevykazujú s vplyvom na výsledok hospodárenia a oceňujú sa v odhadovanej výške záväzku. </w:t>
      </w:r>
    </w:p>
    <w:p w14:paraId="4A13ABA5" w14:textId="77777777" w:rsidR="00DD6E4B" w:rsidRDefault="006B5A58">
      <w:pPr>
        <w:pStyle w:val="Nadpis2"/>
        <w:tabs>
          <w:tab w:val="center" w:pos="472"/>
          <w:tab w:val="center" w:pos="1626"/>
        </w:tabs>
        <w:ind w:left="0" w:firstLine="0"/>
      </w:pPr>
      <w:r>
        <w:rPr>
          <w:rFonts w:ascii="Calibri" w:eastAsia="Calibri" w:hAnsi="Calibri" w:cs="Calibri"/>
          <w:b w:val="0"/>
          <w:sz w:val="22"/>
        </w:rPr>
        <w:tab/>
      </w:r>
      <w:r>
        <w:t>11.</w:t>
      </w:r>
      <w:r>
        <w:tab/>
        <w:t xml:space="preserve">Zamestnanecké požitky </w:t>
      </w:r>
    </w:p>
    <w:p w14:paraId="6FACBBC5" w14:textId="77777777" w:rsidR="00DD6E4B" w:rsidRDefault="006B5A58">
      <w:pPr>
        <w:ind w:left="13" w:right="10"/>
      </w:pPr>
      <w:r>
        <w:t xml:space="preserve">Platy, mzdy, príspevky do dôchodkových a poistných fondov, platená ročná dovolenka a platená zdravotná dovolenka, bonusy a ostatné nepeňažné požitky (napr. zdravotná starostlivosť) sa účtujú v účtovnom období, s ktorým vecne a časovo súvisia. </w:t>
      </w:r>
    </w:p>
    <w:p w14:paraId="50AC64CF" w14:textId="77777777" w:rsidR="00DD6E4B" w:rsidRDefault="006B5A58">
      <w:pPr>
        <w:pStyle w:val="Nadpis2"/>
        <w:tabs>
          <w:tab w:val="center" w:pos="472"/>
          <w:tab w:val="center" w:pos="1286"/>
        </w:tabs>
        <w:ind w:left="0" w:firstLine="0"/>
      </w:pPr>
      <w:r>
        <w:rPr>
          <w:rFonts w:ascii="Calibri" w:eastAsia="Calibri" w:hAnsi="Calibri" w:cs="Calibri"/>
          <w:b w:val="0"/>
          <w:sz w:val="22"/>
        </w:rPr>
        <w:tab/>
      </w:r>
      <w:r>
        <w:t>12.</w:t>
      </w:r>
      <w:r>
        <w:tab/>
        <w:t xml:space="preserve">Odložené dane </w:t>
      </w:r>
    </w:p>
    <w:p w14:paraId="00A436F0" w14:textId="77777777" w:rsidR="00DD6E4B" w:rsidRDefault="006B5A58">
      <w:pPr>
        <w:spacing w:after="8"/>
        <w:ind w:left="13" w:right="10"/>
      </w:pPr>
      <w:r>
        <w:t xml:space="preserve">Odložené dane (odložená daňová pohľadávka a odložený daňový záväzok) sa vzťahujú na: </w:t>
      </w:r>
    </w:p>
    <w:p w14:paraId="36DC5195" w14:textId="77777777" w:rsidR="00DD6E4B" w:rsidRDefault="006B5A58">
      <w:pPr>
        <w:numPr>
          <w:ilvl w:val="0"/>
          <w:numId w:val="4"/>
        </w:numPr>
        <w:spacing w:after="3"/>
        <w:ind w:right="10" w:hanging="360"/>
      </w:pPr>
      <w:r>
        <w:t xml:space="preserve">dočasné rozdiely medzi účtovnou hodnotou majetku a účtovnou hodnotou záväzkov vykázanou v súvahe a ich daňovou základňou, </w:t>
      </w:r>
    </w:p>
    <w:p w14:paraId="3D32840B" w14:textId="77777777" w:rsidR="00DD6E4B" w:rsidRDefault="006B5A58">
      <w:pPr>
        <w:numPr>
          <w:ilvl w:val="0"/>
          <w:numId w:val="4"/>
        </w:numPr>
        <w:spacing w:after="3"/>
        <w:ind w:right="10" w:hanging="360"/>
      </w:pPr>
      <w:r>
        <w:t xml:space="preserve">možnosť umorovať daňovú stratu v budúcnosti, ktorou sa rozumie možnosť odpočítať daňovú stratu od základu dane v budúcnosti, </w:t>
      </w:r>
    </w:p>
    <w:p w14:paraId="560060CD" w14:textId="77777777" w:rsidR="00DD6E4B" w:rsidRDefault="006B5A58">
      <w:pPr>
        <w:numPr>
          <w:ilvl w:val="0"/>
          <w:numId w:val="4"/>
        </w:numPr>
        <w:spacing w:after="0" w:line="482" w:lineRule="auto"/>
        <w:ind w:right="10" w:hanging="360"/>
      </w:pPr>
      <w:r>
        <w:t xml:space="preserve">možnosť previesť nevyužité daňové odpočty a iné daňové nároky do budúcich období. Odložená daňová pohľadávka ani odložený daňový záväzok sa neúčtuje pri: </w:t>
      </w:r>
    </w:p>
    <w:p w14:paraId="678E8B43" w14:textId="77777777" w:rsidR="00DD6E4B" w:rsidRDefault="006B5A58">
      <w:pPr>
        <w:numPr>
          <w:ilvl w:val="0"/>
          <w:numId w:val="5"/>
        </w:numPr>
        <w:spacing w:after="100"/>
        <w:ind w:right="10" w:hanging="360"/>
      </w:pPr>
      <w:r>
        <w:t xml:space="preserve">dočasných rozdieloch pri prvotnom zaúčtovaní (angl. </w:t>
      </w:r>
      <w:proofErr w:type="spellStart"/>
      <w:r>
        <w:t>initial</w:t>
      </w:r>
      <w:proofErr w:type="spellEnd"/>
      <w:r>
        <w:t xml:space="preserve"> </w:t>
      </w:r>
      <w:proofErr w:type="spellStart"/>
      <w:r>
        <w:t>recognition</w:t>
      </w:r>
      <w:proofErr w:type="spellEnd"/>
      <w:r>
        <w:t xml:space="preserve">)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 </w:t>
      </w:r>
    </w:p>
    <w:p w14:paraId="62816DAB" w14:textId="77777777" w:rsidR="00DD6E4B" w:rsidRDefault="006B5A58">
      <w:pPr>
        <w:numPr>
          <w:ilvl w:val="0"/>
          <w:numId w:val="5"/>
        </w:numPr>
        <w:spacing w:after="99"/>
        <w:ind w:right="10" w:hanging="360"/>
      </w:pPr>
      <w:r>
        <w:t xml:space="preserve">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 </w:t>
      </w:r>
    </w:p>
    <w:p w14:paraId="1A591B48" w14:textId="77777777" w:rsidR="00DD6E4B" w:rsidRDefault="006B5A58">
      <w:pPr>
        <w:numPr>
          <w:ilvl w:val="0"/>
          <w:numId w:val="5"/>
        </w:numPr>
        <w:spacing w:after="171"/>
        <w:ind w:right="10" w:hanging="360"/>
      </w:pPr>
      <w:r>
        <w:t xml:space="preserve">dočasných rozdieloch pri prvotnom zaúčtovaní </w:t>
      </w:r>
      <w:proofErr w:type="spellStart"/>
      <w:r>
        <w:t>goodwillu</w:t>
      </w:r>
      <w:proofErr w:type="spellEnd"/>
      <w:r>
        <w:t xml:space="preserve"> alebo záporného </w:t>
      </w:r>
      <w:proofErr w:type="spellStart"/>
      <w:r>
        <w:t>goodwillu</w:t>
      </w:r>
      <w:proofErr w:type="spellEnd"/>
      <w:r>
        <w:t xml:space="preserve">. </w:t>
      </w:r>
    </w:p>
    <w:p w14:paraId="67784AAF" w14:textId="77777777" w:rsidR="00DD6E4B" w:rsidRDefault="006B5A58">
      <w:pPr>
        <w:ind w:left="13" w:right="10"/>
      </w:pPr>
      <w:r>
        <w:t xml:space="preserve">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w:t>
      </w:r>
    </w:p>
    <w:p w14:paraId="0CD5F7E4" w14:textId="77777777" w:rsidR="00DD6E4B" w:rsidRDefault="006B5A58">
      <w:pPr>
        <w:ind w:left="13" w:right="10"/>
      </w:pPr>
      <w:r>
        <w:t xml:space="preserve">Pri výpočte odloženej dane sa použije sadzba dane z príjmov, o ktorej sa predpokladá, že bude platiť v čase vyrovnania odloženej dane. </w:t>
      </w:r>
    </w:p>
    <w:p w14:paraId="079390EA" w14:textId="77777777" w:rsidR="00DD6E4B" w:rsidRDefault="006B5A58">
      <w:pPr>
        <w:ind w:left="13" w:right="10"/>
      </w:pPr>
      <w: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432B257E" w14:textId="0F9393E0" w:rsidR="00DD6E4B" w:rsidRDefault="006B5A58">
      <w:pPr>
        <w:ind w:left="13" w:right="10"/>
      </w:pPr>
      <w:r>
        <w:t>Spoločnosť v účtovnom období 202</w:t>
      </w:r>
      <w:r w:rsidR="004A5CB5">
        <w:t>4</w:t>
      </w:r>
      <w:r>
        <w:t xml:space="preserve"> o odloženej dani neúčtovala.</w:t>
      </w:r>
    </w:p>
    <w:p w14:paraId="694A2D5C" w14:textId="77777777" w:rsidR="00DD6E4B" w:rsidRDefault="006B5A58">
      <w:pPr>
        <w:pStyle w:val="Nadpis2"/>
        <w:tabs>
          <w:tab w:val="center" w:pos="472"/>
          <w:tab w:val="center" w:pos="2750"/>
        </w:tabs>
        <w:ind w:left="0" w:firstLine="0"/>
      </w:pPr>
      <w:r>
        <w:rPr>
          <w:rFonts w:ascii="Calibri" w:eastAsia="Calibri" w:hAnsi="Calibri" w:cs="Calibri"/>
          <w:b w:val="0"/>
          <w:sz w:val="22"/>
        </w:rPr>
        <w:tab/>
      </w:r>
      <w:r>
        <w:t>13.</w:t>
      </w:r>
      <w:r>
        <w:tab/>
        <w:t xml:space="preserve">Výdavky budúcich období a výnosy budúcich období </w:t>
      </w:r>
    </w:p>
    <w:p w14:paraId="5DBB136A" w14:textId="77777777" w:rsidR="00DD6E4B" w:rsidRDefault="006B5A58">
      <w:pPr>
        <w:ind w:left="13" w:right="10"/>
      </w:pPr>
      <w:r>
        <w:t xml:space="preserve">Výdavky budúcich období a výnosy budúcich období sa vykazujú vo výške, ktorá je potrebná na dodržanie zásady vecnej a časovej súvislosti s účtovným obdobím. </w:t>
      </w:r>
    </w:p>
    <w:p w14:paraId="6CE4A00C" w14:textId="77777777" w:rsidR="00DD6E4B" w:rsidRDefault="006B5A58">
      <w:pPr>
        <w:pStyle w:val="Nadpis2"/>
        <w:tabs>
          <w:tab w:val="center" w:pos="472"/>
          <w:tab w:val="center" w:pos="1826"/>
        </w:tabs>
        <w:ind w:left="0" w:firstLine="0"/>
      </w:pPr>
      <w:r>
        <w:rPr>
          <w:rFonts w:ascii="Calibri" w:eastAsia="Calibri" w:hAnsi="Calibri" w:cs="Calibri"/>
          <w:b w:val="0"/>
          <w:sz w:val="22"/>
        </w:rPr>
        <w:tab/>
      </w:r>
      <w:r>
        <w:t>14.</w:t>
      </w:r>
      <w:r>
        <w:tab/>
        <w:t xml:space="preserve">Dotácie zo štátneho rozpočtu </w:t>
      </w:r>
    </w:p>
    <w:p w14:paraId="19DCE4B2" w14:textId="77777777" w:rsidR="00DD6E4B" w:rsidRDefault="006B5A58">
      <w:pPr>
        <w:ind w:left="13" w:right="10"/>
      </w:pPr>
      <w:r>
        <w:t xml:space="preserve">O nároku na dotácie zo štátneho rozpočtu, podporu alebo príspevok sa účtuje, ak je takmer isté, že sa splnia všetky podmienky súvisiace s dotáciou a súčasne, že sa dotácia poskytne. </w:t>
      </w:r>
    </w:p>
    <w:p w14:paraId="4A3E4FB7" w14:textId="77777777" w:rsidR="00DD6E4B" w:rsidRDefault="006B5A58">
      <w:pPr>
        <w:spacing w:after="0"/>
        <w:ind w:left="13" w:right="10"/>
      </w:pPr>
      <w:r>
        <w:lastRenderedPageBreak/>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14:paraId="5384EB28" w14:textId="77777777" w:rsidR="00DD6E4B" w:rsidRDefault="006B5A58">
      <w:pPr>
        <w:spacing w:after="408"/>
        <w:ind w:left="13" w:right="10"/>
      </w:pPr>
      <w:r>
        <w:t xml:space="preserve">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 </w:t>
      </w:r>
    </w:p>
    <w:p w14:paraId="2D3E48E8" w14:textId="77777777" w:rsidR="00DD6E4B" w:rsidRDefault="006B5A58">
      <w:pPr>
        <w:pStyle w:val="Nadpis2"/>
        <w:tabs>
          <w:tab w:val="center" w:pos="472"/>
          <w:tab w:val="center" w:pos="2421"/>
        </w:tabs>
        <w:ind w:left="0" w:firstLine="0"/>
      </w:pPr>
      <w:r>
        <w:rPr>
          <w:rFonts w:ascii="Calibri" w:eastAsia="Calibri" w:hAnsi="Calibri" w:cs="Calibri"/>
          <w:b w:val="0"/>
          <w:sz w:val="22"/>
        </w:rPr>
        <w:tab/>
      </w:r>
      <w:r>
        <w:t>15.</w:t>
      </w:r>
      <w:r>
        <w:tab/>
        <w:t xml:space="preserve">Prenájom (lízing) (Spoločnosť ako nájomca) </w:t>
      </w:r>
    </w:p>
    <w:p w14:paraId="497FAAEC" w14:textId="77777777" w:rsidR="00DD6E4B" w:rsidRDefault="006B5A58">
      <w:pPr>
        <w:spacing w:after="187" w:line="265" w:lineRule="auto"/>
        <w:ind w:left="10"/>
        <w:jc w:val="left"/>
      </w:pPr>
      <w:r>
        <w:rPr>
          <w:b/>
        </w:rPr>
        <w:t xml:space="preserve">Finančný prenájom. </w:t>
      </w:r>
    </w:p>
    <w:p w14:paraId="41CCF3E1" w14:textId="77777777" w:rsidR="00DD6E4B" w:rsidRDefault="006B5A58">
      <w:pPr>
        <w:spacing w:after="0"/>
        <w:ind w:left="13" w:right="10"/>
      </w:pPr>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EB4D7E7" w14:textId="77777777" w:rsidR="00DD6E4B" w:rsidRDefault="006B5A58">
      <w:pPr>
        <w:ind w:left="13" w:right="10"/>
      </w:pPr>
      <w:r>
        <w:t xml:space="preserve">Súčasťou dohodnutých platieb je aj kúpna cena, za ktorú na konci dohodnutej doby finančného prenájmu prechádza vlastnícke právo k prenajatému majetku z prenajímateľa na nájomcu. </w:t>
      </w:r>
    </w:p>
    <w:p w14:paraId="2ACB989A" w14:textId="77777777" w:rsidR="00DD6E4B" w:rsidRDefault="006B5A58">
      <w:pPr>
        <w:ind w:left="13" w:right="10"/>
      </w:pPr>
      <w: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5FAA2422" w14:textId="77777777" w:rsidR="00DD6E4B" w:rsidRDefault="006B5A58">
      <w:pPr>
        <w:ind w:left="13" w:right="10"/>
      </w:pPr>
      <w:r>
        <w:t xml:space="preserve">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w:t>
      </w:r>
    </w:p>
    <w:p w14:paraId="1D39248A" w14:textId="77777777" w:rsidR="00DD6E4B" w:rsidRDefault="006B5A58">
      <w:pPr>
        <w:ind w:left="13" w:right="10"/>
      </w:pPr>
      <w:r>
        <w:t xml:space="preserve">Platba nájomného je alokovaná medzi splátku istiny a finančné náklady, vypočítané metódou efektívnej úrokovej miery. Finančné náklady sa účtujú na ťarchu účtu 562 – Úroky. </w:t>
      </w:r>
    </w:p>
    <w:p w14:paraId="343B8319" w14:textId="77777777" w:rsidR="00DD6E4B" w:rsidRDefault="006B5A58">
      <w:pPr>
        <w:spacing w:after="187" w:line="265" w:lineRule="auto"/>
        <w:ind w:left="10"/>
        <w:jc w:val="left"/>
      </w:pPr>
      <w:r>
        <w:rPr>
          <w:b/>
        </w:rPr>
        <w:t xml:space="preserve">Operatívny prenájom. </w:t>
      </w:r>
    </w:p>
    <w:p w14:paraId="6A211C10" w14:textId="77777777" w:rsidR="00DD6E4B" w:rsidRDefault="006B5A58">
      <w:pPr>
        <w:ind w:left="13" w:right="10"/>
      </w:pPr>
      <w:r>
        <w:t xml:space="preserve">Majetok prenajatý na základe operatívneho prenájmu vykazuje ako svoj majetok jeho vlastník, nie nájomca. Prenájom majetku formou operatívneho leasingu sa účtuje do nákladov priebežne počas doby trvania leasingovej zmluvy. </w:t>
      </w:r>
    </w:p>
    <w:p w14:paraId="133E84AE" w14:textId="77777777" w:rsidR="00DD6E4B" w:rsidRDefault="006B5A58">
      <w:pPr>
        <w:pStyle w:val="Nadpis2"/>
        <w:tabs>
          <w:tab w:val="center" w:pos="472"/>
          <w:tab w:val="center" w:pos="1227"/>
        </w:tabs>
        <w:ind w:left="0" w:firstLine="0"/>
      </w:pPr>
      <w:r>
        <w:rPr>
          <w:rFonts w:ascii="Calibri" w:eastAsia="Calibri" w:hAnsi="Calibri" w:cs="Calibri"/>
          <w:b w:val="0"/>
          <w:sz w:val="22"/>
        </w:rPr>
        <w:tab/>
      </w:r>
      <w:r>
        <w:t>16.</w:t>
      </w:r>
      <w:r>
        <w:tab/>
        <w:t xml:space="preserve">Cudzia mena </w:t>
      </w:r>
    </w:p>
    <w:p w14:paraId="6074CC25" w14:textId="77777777" w:rsidR="00DD6E4B" w:rsidRDefault="006B5A58">
      <w:pPr>
        <w:spacing w:after="0"/>
        <w:ind w:left="13" w:right="10"/>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 </w:t>
      </w:r>
    </w:p>
    <w:p w14:paraId="7BC88579" w14:textId="77777777" w:rsidR="00DD6E4B" w:rsidRDefault="006B5A58">
      <w:pPr>
        <w:spacing w:after="8"/>
        <w:ind w:left="13" w:right="10"/>
      </w:pPr>
      <w:r>
        <w:t xml:space="preserve">Na ocenenie prírastku cudzej meny nakúpenej za euro sa použije kurz, za ktorý bola táto cudzia mena nakúpená. </w:t>
      </w:r>
    </w:p>
    <w:p w14:paraId="56B57196" w14:textId="77777777" w:rsidR="00DD6E4B" w:rsidRDefault="006B5A58">
      <w:pPr>
        <w:spacing w:after="0"/>
        <w:ind w:left="13" w:right="10"/>
      </w:pPr>
      <w:r>
        <w:t xml:space="preserve">Na ocenenie prírastku cudzej meny nakúpenej za inú cudziu menu sa použije hodnota inej cudzej meny v eurách alebo na ocenenie prírastku cudzej meny v eurách sa použije referenčný kurz v deň uzavretia obchodu. </w:t>
      </w:r>
    </w:p>
    <w:p w14:paraId="09D36070" w14:textId="77777777" w:rsidR="00DD6E4B" w:rsidRDefault="006B5A58">
      <w:pPr>
        <w:spacing w:after="65"/>
        <w:ind w:left="13" w:right="10"/>
      </w:pPr>
      <w:r>
        <w:t xml:space="preserve">Na ocenenie cudzej meny obstarávanej v rámci menového derivátu ak je zmluvnou stranou banka alebo pobočka zahraničnej banky, použije sa ku dňu ocenenia kurz banky alebo pobočky zahraničnej banky, ktorá je zmluvnou stranou tohto menového derivátu alebo sa použije referenčný kurz ku dňu ocenenia, </w:t>
      </w:r>
    </w:p>
    <w:p w14:paraId="0D274D1B" w14:textId="77777777" w:rsidR="00DD6E4B" w:rsidRDefault="006B5A58">
      <w:pPr>
        <w:numPr>
          <w:ilvl w:val="0"/>
          <w:numId w:val="6"/>
        </w:numPr>
        <w:spacing w:after="0" w:line="371" w:lineRule="auto"/>
        <w:ind w:right="22" w:hanging="360"/>
        <w:jc w:val="left"/>
      </w:pPr>
      <w:r>
        <w:t xml:space="preserve">ak zmluvnou stranou nie je banka alebo pobočka zahraničnej banky, použije sa na ocenenie referenčný kurz ku dňu ocenenia. Na úbytok rovnakej cudzej meny v hotovosti alebo z devízového účtu sa na prepočet cudzej meny na eurá použije </w:t>
      </w:r>
    </w:p>
    <w:p w14:paraId="37C5C2ED" w14:textId="77777777" w:rsidR="00DD6E4B" w:rsidRDefault="006B5A58">
      <w:pPr>
        <w:numPr>
          <w:ilvl w:val="0"/>
          <w:numId w:val="6"/>
        </w:numPr>
        <w:ind w:right="22" w:hanging="360"/>
        <w:jc w:val="left"/>
      </w:pPr>
      <w:r>
        <w:t xml:space="preserve">referenčný výmenný kurz určený a vyhlásený Európskou centrálnou bankou alebo Národnou bankou Slovenska v deň predchádzajúci dňu uskutočnenia účtovného prípadu. </w:t>
      </w:r>
    </w:p>
    <w:p w14:paraId="38D3C7D4" w14:textId="77777777" w:rsidR="00DD6E4B" w:rsidRDefault="006B5A58">
      <w:pPr>
        <w:ind w:left="13" w:right="10"/>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FA5DFAA" w14:textId="77777777" w:rsidR="00DD6E4B" w:rsidRDefault="006B5A58">
      <w:pPr>
        <w:ind w:left="13" w:right="10"/>
      </w:pPr>
      <w: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14:paraId="098259D3" w14:textId="77777777" w:rsidR="00DD6E4B" w:rsidRDefault="006B5A58">
      <w:pPr>
        <w:spacing w:after="408"/>
        <w:ind w:left="13" w:right="10"/>
      </w:pPr>
      <w: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8BC97B1" w14:textId="77777777" w:rsidR="00DD6E4B" w:rsidRDefault="006B5A58">
      <w:pPr>
        <w:pStyle w:val="Nadpis2"/>
        <w:tabs>
          <w:tab w:val="center" w:pos="472"/>
          <w:tab w:val="center" w:pos="1005"/>
        </w:tabs>
        <w:ind w:left="0" w:firstLine="0"/>
      </w:pPr>
      <w:r>
        <w:rPr>
          <w:rFonts w:ascii="Calibri" w:eastAsia="Calibri" w:hAnsi="Calibri" w:cs="Calibri"/>
          <w:b w:val="0"/>
          <w:sz w:val="22"/>
        </w:rPr>
        <w:tab/>
      </w:r>
      <w:r>
        <w:t>17.</w:t>
      </w:r>
      <w:r>
        <w:tab/>
        <w:t xml:space="preserve">Výnosy </w:t>
      </w:r>
    </w:p>
    <w:p w14:paraId="2614494E" w14:textId="77777777" w:rsidR="00DD6E4B" w:rsidRDefault="006B5A58">
      <w:pPr>
        <w:ind w:left="13" w:right="10"/>
      </w:pPr>
      <w:r>
        <w:t xml:space="preserve">Tržby za vlastné výkony a tovar neobsahujú daň z pridanej hodnoty. Sú tiež znížené o zľavy a zrážky (rabaty, bonusy, skontá, dobropisy a pod.), bez ohľadu na to, či zákazník mal vopred na zľavu nárok, alebo či ide o dodatočne uznanú zľavu. Tržby z predaja výrobkov a tovaru sa vykazujú v deň splnenia dodávky podľa Obchodného zákonníka, podľa </w:t>
      </w:r>
      <w:proofErr w:type="spellStart"/>
      <w:r>
        <w:t>Incoterms</w:t>
      </w:r>
      <w:proofErr w:type="spellEnd"/>
      <w:r>
        <w:t xml:space="preserve"> alebo iných podmienok dohodnutých v zmluve. </w:t>
      </w:r>
    </w:p>
    <w:p w14:paraId="734CED4E" w14:textId="77777777" w:rsidR="00DD6E4B" w:rsidRDefault="006B5A58">
      <w:pPr>
        <w:spacing w:after="8"/>
        <w:ind w:left="13" w:right="10"/>
      </w:pPr>
      <w:r>
        <w:t xml:space="preserve">Tržby z predaja služieb sa vykazujú v účtovnom období, v ktorom boli služby poskytnuté. </w:t>
      </w:r>
    </w:p>
    <w:p w14:paraId="6938BD79" w14:textId="77777777" w:rsidR="00DD6E4B" w:rsidRDefault="006B5A58">
      <w:pPr>
        <w:ind w:left="13" w:right="10"/>
      </w:pPr>
      <w:r>
        <w:t xml:space="preserve">Výnosové úroky sa účtujú rovnomerne v účtovných obdobiach, ktorých sa vecne a časovo týkajú / na základe časového rozlíšenia metódou efektívnej úrokovej miery. </w:t>
      </w:r>
    </w:p>
    <w:p w14:paraId="40C9B9C7" w14:textId="77777777" w:rsidR="00DD6E4B" w:rsidRDefault="006B5A58">
      <w:pPr>
        <w:pStyle w:val="Nadpis2"/>
        <w:tabs>
          <w:tab w:val="center" w:pos="472"/>
          <w:tab w:val="center" w:pos="1483"/>
        </w:tabs>
        <w:ind w:left="0" w:firstLine="0"/>
      </w:pPr>
      <w:r>
        <w:rPr>
          <w:rFonts w:ascii="Calibri" w:eastAsia="Calibri" w:hAnsi="Calibri" w:cs="Calibri"/>
          <w:b w:val="0"/>
          <w:sz w:val="22"/>
        </w:rPr>
        <w:tab/>
      </w:r>
      <w:r>
        <w:t>18.</w:t>
      </w:r>
      <w:r>
        <w:tab/>
        <w:t xml:space="preserve">Porovnateľné údaje </w:t>
      </w:r>
    </w:p>
    <w:p w14:paraId="15E8D393" w14:textId="77777777" w:rsidR="00DD6E4B" w:rsidRDefault="006B5A58">
      <w:pPr>
        <w:ind w:left="13" w:right="10"/>
      </w:pPr>
      <w: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20095E6F" w14:textId="77777777" w:rsidR="00DD6E4B" w:rsidRDefault="006B5A58">
      <w:pPr>
        <w:pStyle w:val="Nadpis2"/>
        <w:tabs>
          <w:tab w:val="center" w:pos="472"/>
          <w:tab w:val="center" w:pos="1893"/>
        </w:tabs>
        <w:ind w:left="0" w:firstLine="0"/>
      </w:pPr>
      <w:r>
        <w:rPr>
          <w:rFonts w:ascii="Calibri" w:eastAsia="Calibri" w:hAnsi="Calibri" w:cs="Calibri"/>
          <w:b w:val="0"/>
          <w:sz w:val="22"/>
        </w:rPr>
        <w:tab/>
      </w:r>
      <w:r>
        <w:t>19.</w:t>
      </w:r>
      <w:r>
        <w:tab/>
        <w:t xml:space="preserve">Oprava chýb minulých období </w:t>
      </w:r>
    </w:p>
    <w:p w14:paraId="22788C5C" w14:textId="77777777" w:rsidR="00DD6E4B" w:rsidRDefault="006B5A58">
      <w:pPr>
        <w:ind w:left="13" w:right="10"/>
      </w:pPr>
      <w: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05AD7C91" w14:textId="354E524C" w:rsidR="00DD6E4B" w:rsidRDefault="006B5A58">
      <w:pPr>
        <w:ind w:left="13" w:right="10"/>
      </w:pPr>
      <w:r>
        <w:t>V roku 202</w:t>
      </w:r>
      <w:r w:rsidR="004A5CB5">
        <w:t>4</w:t>
      </w:r>
      <w:r>
        <w:t xml:space="preserve"> Spoločnosť neúčtovala o oprave významných chýb minulých období. </w:t>
      </w:r>
    </w:p>
    <w:p w14:paraId="6B9083AA" w14:textId="77777777" w:rsidR="00DD6E4B" w:rsidRDefault="006B5A58">
      <w:pPr>
        <w:pStyle w:val="Nadpis1"/>
        <w:tabs>
          <w:tab w:val="center" w:pos="3353"/>
        </w:tabs>
        <w:ind w:left="0" w:firstLine="0"/>
      </w:pPr>
      <w:r>
        <w:t>E.</w:t>
      </w:r>
      <w:r>
        <w:tab/>
        <w:t xml:space="preserve">INFORMÁCIE K POLOŽKÁM SÚVAHY A VÝKAZU ZISKOV A STRÁT </w:t>
      </w:r>
    </w:p>
    <w:p w14:paraId="22180B6B" w14:textId="77777777" w:rsidR="00DD6E4B" w:rsidRDefault="006B5A58">
      <w:pPr>
        <w:pStyle w:val="Nadpis2"/>
        <w:tabs>
          <w:tab w:val="center" w:pos="427"/>
          <w:tab w:val="center" w:pos="1050"/>
        </w:tabs>
        <w:ind w:left="0" w:firstLine="0"/>
      </w:pPr>
      <w:r>
        <w:rPr>
          <w:rFonts w:ascii="Calibri" w:eastAsia="Calibri" w:hAnsi="Calibri" w:cs="Calibri"/>
          <w:b w:val="0"/>
          <w:sz w:val="22"/>
        </w:rPr>
        <w:tab/>
      </w:r>
      <w:r>
        <w:t>1.</w:t>
      </w:r>
      <w:r>
        <w:tab/>
        <w:t xml:space="preserve">Záväzky </w:t>
      </w:r>
    </w:p>
    <w:tbl>
      <w:tblPr>
        <w:tblStyle w:val="TableGrid"/>
        <w:tblpPr w:vertAnchor="text" w:tblpX="18" w:tblpY="627"/>
        <w:tblOverlap w:val="never"/>
        <w:tblW w:w="8686" w:type="dxa"/>
        <w:tblInd w:w="0" w:type="dxa"/>
        <w:tblLook w:val="04A0" w:firstRow="1" w:lastRow="0" w:firstColumn="1" w:lastColumn="0" w:noHBand="0" w:noVBand="1"/>
      </w:tblPr>
      <w:tblGrid>
        <w:gridCol w:w="5758"/>
        <w:gridCol w:w="1488"/>
        <w:gridCol w:w="1440"/>
      </w:tblGrid>
      <w:tr w:rsidR="00DD6E4B" w14:paraId="675B3081" w14:textId="77777777" w:rsidTr="00B95729">
        <w:trPr>
          <w:trHeight w:val="223"/>
        </w:trPr>
        <w:tc>
          <w:tcPr>
            <w:tcW w:w="5758" w:type="dxa"/>
            <w:tcBorders>
              <w:top w:val="nil"/>
              <w:left w:val="nil"/>
              <w:bottom w:val="nil"/>
              <w:right w:val="nil"/>
            </w:tcBorders>
          </w:tcPr>
          <w:p w14:paraId="0F7AC8B0" w14:textId="77777777" w:rsidR="00DD6E4B" w:rsidRDefault="00DD6E4B">
            <w:pPr>
              <w:spacing w:after="160" w:line="259" w:lineRule="auto"/>
              <w:ind w:left="0" w:firstLine="0"/>
              <w:jc w:val="left"/>
            </w:pPr>
          </w:p>
        </w:tc>
        <w:tc>
          <w:tcPr>
            <w:tcW w:w="1488" w:type="dxa"/>
            <w:tcBorders>
              <w:top w:val="nil"/>
              <w:left w:val="nil"/>
              <w:bottom w:val="nil"/>
              <w:right w:val="nil"/>
            </w:tcBorders>
          </w:tcPr>
          <w:p w14:paraId="7471BFFB" w14:textId="41D9D62C" w:rsidR="00DD6E4B" w:rsidRPr="006920BF" w:rsidRDefault="006B5A58">
            <w:pPr>
              <w:spacing w:after="0" w:line="259" w:lineRule="auto"/>
              <w:ind w:left="59" w:firstLine="0"/>
              <w:jc w:val="center"/>
            </w:pPr>
            <w:r w:rsidRPr="006920BF">
              <w:t>31.12.202</w:t>
            </w:r>
            <w:r w:rsidR="002C440F" w:rsidRPr="006920BF">
              <w:t>5</w:t>
            </w:r>
          </w:p>
        </w:tc>
        <w:tc>
          <w:tcPr>
            <w:tcW w:w="1440" w:type="dxa"/>
            <w:tcBorders>
              <w:top w:val="nil"/>
              <w:left w:val="nil"/>
              <w:bottom w:val="nil"/>
              <w:right w:val="nil"/>
            </w:tcBorders>
          </w:tcPr>
          <w:p w14:paraId="4ADEFB4A" w14:textId="0583EC79" w:rsidR="00DD6E4B" w:rsidRDefault="006B5A58" w:rsidP="004A5CB5">
            <w:pPr>
              <w:spacing w:after="0" w:line="259" w:lineRule="auto"/>
              <w:ind w:left="0" w:right="1" w:firstLine="0"/>
              <w:jc w:val="right"/>
            </w:pPr>
            <w:r>
              <w:t>31.12.202</w:t>
            </w:r>
            <w:r w:rsidR="002C440F">
              <w:t>4</w:t>
            </w:r>
          </w:p>
        </w:tc>
      </w:tr>
      <w:tr w:rsidR="00DD6E4B" w14:paraId="23D91664" w14:textId="77777777" w:rsidTr="00B95729">
        <w:trPr>
          <w:trHeight w:val="250"/>
        </w:trPr>
        <w:tc>
          <w:tcPr>
            <w:tcW w:w="5758" w:type="dxa"/>
            <w:tcBorders>
              <w:top w:val="nil"/>
              <w:left w:val="nil"/>
              <w:bottom w:val="nil"/>
              <w:right w:val="nil"/>
            </w:tcBorders>
          </w:tcPr>
          <w:p w14:paraId="3060B0E9" w14:textId="77777777" w:rsidR="00DD6E4B" w:rsidRDefault="006B5A58">
            <w:pPr>
              <w:spacing w:after="0" w:line="259" w:lineRule="auto"/>
              <w:ind w:left="0" w:firstLine="0"/>
              <w:jc w:val="left"/>
            </w:pPr>
            <w:r>
              <w:t>Záväzky po splatnosti</w:t>
            </w:r>
          </w:p>
        </w:tc>
        <w:tc>
          <w:tcPr>
            <w:tcW w:w="1488" w:type="dxa"/>
            <w:tcBorders>
              <w:top w:val="nil"/>
              <w:left w:val="nil"/>
              <w:bottom w:val="nil"/>
              <w:right w:val="nil"/>
            </w:tcBorders>
          </w:tcPr>
          <w:p w14:paraId="086FB1A4" w14:textId="0611A170" w:rsidR="00DD6E4B" w:rsidRPr="006920BF" w:rsidRDefault="007D14DF" w:rsidP="001A2243">
            <w:pPr>
              <w:spacing w:after="0" w:line="259" w:lineRule="auto"/>
              <w:ind w:left="0" w:firstLine="0"/>
              <w:jc w:val="left"/>
            </w:pPr>
            <w:r>
              <w:t>38 862,40</w:t>
            </w:r>
            <w:r w:rsidR="006B5A58" w:rsidRPr="006920BF">
              <w:t xml:space="preserve">   </w:t>
            </w:r>
          </w:p>
        </w:tc>
        <w:tc>
          <w:tcPr>
            <w:tcW w:w="1440" w:type="dxa"/>
            <w:tcBorders>
              <w:top w:val="nil"/>
              <w:left w:val="nil"/>
              <w:bottom w:val="nil"/>
              <w:right w:val="nil"/>
            </w:tcBorders>
          </w:tcPr>
          <w:p w14:paraId="3FFE8FA2" w14:textId="34AE0DC0" w:rsidR="00DD6E4B" w:rsidRDefault="004A5CB5" w:rsidP="004A5CB5">
            <w:pPr>
              <w:spacing w:after="0" w:line="259" w:lineRule="auto"/>
              <w:ind w:left="0" w:firstLine="0"/>
            </w:pPr>
            <w:r>
              <w:t xml:space="preserve">                  </w:t>
            </w:r>
            <w:r w:rsidR="006B5A58">
              <w:t xml:space="preserve"> </w:t>
            </w:r>
            <w:r>
              <w:t>1</w:t>
            </w:r>
            <w:r w:rsidR="002C440F">
              <w:t>8</w:t>
            </w:r>
            <w:r>
              <w:t xml:space="preserve"> </w:t>
            </w:r>
            <w:r w:rsidR="002C440F">
              <w:t>686</w:t>
            </w:r>
            <w:r w:rsidR="006B5A58">
              <w:t xml:space="preserve">   </w:t>
            </w:r>
          </w:p>
        </w:tc>
      </w:tr>
      <w:tr w:rsidR="00DD6E4B" w14:paraId="0A756B05" w14:textId="77777777" w:rsidTr="00B95729">
        <w:trPr>
          <w:trHeight w:val="959"/>
        </w:trPr>
        <w:tc>
          <w:tcPr>
            <w:tcW w:w="5758" w:type="dxa"/>
            <w:tcBorders>
              <w:top w:val="nil"/>
              <w:left w:val="nil"/>
              <w:bottom w:val="nil"/>
              <w:right w:val="nil"/>
            </w:tcBorders>
          </w:tcPr>
          <w:p w14:paraId="5A3CBA51" w14:textId="77777777" w:rsidR="00DD6E4B" w:rsidRDefault="006B5A58">
            <w:pPr>
              <w:spacing w:after="13" w:line="259" w:lineRule="auto"/>
              <w:ind w:left="0" w:firstLine="0"/>
              <w:jc w:val="left"/>
            </w:pPr>
            <w:r>
              <w:t>Záväzky so zostatkovou dobou splatnosti do 1 roka</w:t>
            </w:r>
          </w:p>
          <w:p w14:paraId="66C493E9" w14:textId="77777777" w:rsidR="00DD6E4B" w:rsidRDefault="006B5A58">
            <w:pPr>
              <w:spacing w:after="12" w:line="259" w:lineRule="auto"/>
              <w:ind w:left="0" w:firstLine="0"/>
              <w:jc w:val="left"/>
            </w:pPr>
            <w:r>
              <w:t>Záväzky so zostatkovou dobou splatnosti 1 až 5 rokov</w:t>
            </w:r>
          </w:p>
          <w:p w14:paraId="1E6B2D5C" w14:textId="77777777" w:rsidR="00DD6E4B" w:rsidRDefault="006B5A58">
            <w:pPr>
              <w:spacing w:after="0" w:line="259" w:lineRule="auto"/>
              <w:ind w:left="0" w:right="1055" w:firstLine="0"/>
              <w:jc w:val="left"/>
            </w:pPr>
            <w:r>
              <w:t>Záväzky so zostatkovou dobou splatnosti viac ako 5 rokov Záväzky spolu</w:t>
            </w:r>
          </w:p>
        </w:tc>
        <w:tc>
          <w:tcPr>
            <w:tcW w:w="1488" w:type="dxa"/>
            <w:tcBorders>
              <w:top w:val="nil"/>
              <w:left w:val="nil"/>
              <w:bottom w:val="nil"/>
              <w:right w:val="nil"/>
            </w:tcBorders>
          </w:tcPr>
          <w:p w14:paraId="10B7E27D" w14:textId="0DFD82E3" w:rsidR="00DD6E4B" w:rsidRPr="006920BF" w:rsidRDefault="007D14DF">
            <w:pPr>
              <w:spacing w:after="13" w:line="259" w:lineRule="auto"/>
              <w:ind w:left="232" w:firstLine="0"/>
              <w:jc w:val="center"/>
            </w:pPr>
            <w:r>
              <w:t>5 837,25</w:t>
            </w:r>
          </w:p>
          <w:p w14:paraId="7978947F" w14:textId="2EE184C7" w:rsidR="00DD6E4B" w:rsidRPr="006920BF" w:rsidRDefault="00776854">
            <w:pPr>
              <w:spacing w:after="12" w:line="259" w:lineRule="auto"/>
              <w:ind w:left="324" w:firstLine="0"/>
              <w:jc w:val="center"/>
            </w:pPr>
            <w:r w:rsidRPr="006920BF">
              <w:t xml:space="preserve">     -</w:t>
            </w:r>
            <w:r w:rsidR="006B5A58" w:rsidRPr="006920BF">
              <w:t xml:space="preserve"> </w:t>
            </w:r>
          </w:p>
          <w:p w14:paraId="21E5CA18" w14:textId="77777777" w:rsidR="00DD6E4B" w:rsidRPr="006920BF" w:rsidRDefault="006B5A58">
            <w:pPr>
              <w:spacing w:after="12" w:line="259" w:lineRule="auto"/>
              <w:ind w:left="0" w:firstLine="0"/>
              <w:jc w:val="left"/>
            </w:pPr>
            <w:r w:rsidRPr="006920BF">
              <w:rPr>
                <w:u w:val="single" w:color="000000"/>
              </w:rPr>
              <w:t xml:space="preserve">                      -   </w:t>
            </w:r>
          </w:p>
          <w:p w14:paraId="0786BB3C" w14:textId="504C764C" w:rsidR="00DD6E4B" w:rsidRPr="006920BF" w:rsidRDefault="007D14DF" w:rsidP="004A5CB5">
            <w:pPr>
              <w:spacing w:after="0" w:line="259" w:lineRule="auto"/>
              <w:ind w:left="232" w:firstLine="0"/>
              <w:jc w:val="center"/>
            </w:pPr>
            <w:r>
              <w:t>44 699,65</w:t>
            </w:r>
            <w:r w:rsidR="006B5A58" w:rsidRPr="006920BF">
              <w:t xml:space="preserve"> </w:t>
            </w:r>
          </w:p>
        </w:tc>
        <w:tc>
          <w:tcPr>
            <w:tcW w:w="1440" w:type="dxa"/>
            <w:tcBorders>
              <w:top w:val="nil"/>
              <w:left w:val="nil"/>
              <w:bottom w:val="nil"/>
              <w:right w:val="nil"/>
            </w:tcBorders>
          </w:tcPr>
          <w:p w14:paraId="56C9AF55" w14:textId="4EEDE52C" w:rsidR="00DD6E4B" w:rsidRDefault="002C440F">
            <w:pPr>
              <w:spacing w:after="13" w:line="259" w:lineRule="auto"/>
              <w:ind w:left="0" w:right="46" w:firstLine="0"/>
              <w:jc w:val="right"/>
            </w:pPr>
            <w:r>
              <w:t>40</w:t>
            </w:r>
            <w:r w:rsidR="000B76D8">
              <w:t xml:space="preserve"> </w:t>
            </w:r>
            <w:r>
              <w:t>251</w:t>
            </w:r>
            <w:r w:rsidR="006B5A58">
              <w:t xml:space="preserve"> </w:t>
            </w:r>
          </w:p>
          <w:p w14:paraId="1258351C" w14:textId="77777777" w:rsidR="00DD6E4B" w:rsidRDefault="006B5A58">
            <w:pPr>
              <w:spacing w:after="12" w:line="259" w:lineRule="auto"/>
              <w:ind w:left="0" w:firstLine="0"/>
            </w:pPr>
            <w:r>
              <w:t xml:space="preserve">                            -   </w:t>
            </w:r>
          </w:p>
          <w:p w14:paraId="5CFA35DB" w14:textId="77777777" w:rsidR="00DD6E4B" w:rsidRDefault="006B5A58">
            <w:pPr>
              <w:spacing w:after="12" w:line="259" w:lineRule="auto"/>
              <w:ind w:left="0" w:firstLine="0"/>
            </w:pPr>
            <w:r>
              <w:rPr>
                <w:u w:val="single" w:color="000000"/>
              </w:rPr>
              <w:t xml:space="preserve">                            -   </w:t>
            </w:r>
          </w:p>
          <w:p w14:paraId="05F105BA" w14:textId="2156D90A" w:rsidR="00DD6E4B" w:rsidRDefault="006B5A58" w:rsidP="001A2243">
            <w:pPr>
              <w:spacing w:after="0" w:line="259" w:lineRule="auto"/>
              <w:ind w:left="0" w:right="46" w:firstLine="0"/>
              <w:jc w:val="right"/>
            </w:pPr>
            <w:r>
              <w:t xml:space="preserve"> </w:t>
            </w:r>
            <w:r w:rsidR="001A2243">
              <w:t>5</w:t>
            </w:r>
            <w:r w:rsidR="002C440F">
              <w:t>8</w:t>
            </w:r>
            <w:r w:rsidR="000B76D8">
              <w:t xml:space="preserve"> </w:t>
            </w:r>
            <w:r w:rsidR="002C440F">
              <w:t>937</w:t>
            </w:r>
            <w:r>
              <w:t xml:space="preserve"> </w:t>
            </w:r>
          </w:p>
        </w:tc>
      </w:tr>
    </w:tbl>
    <w:p w14:paraId="55974601" w14:textId="77777777" w:rsidR="00DD6E4B" w:rsidRDefault="006B5A58">
      <w:pPr>
        <w:ind w:left="13" w:right="10"/>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14:anchorId="4E650C89" wp14:editId="159EBC43">
                <wp:simplePos x="0" y="0"/>
                <wp:positionH relativeFrom="column">
                  <wp:posOffset>-1294</wp:posOffset>
                </wp:positionH>
                <wp:positionV relativeFrom="paragraph">
                  <wp:posOffset>544309</wp:posOffset>
                </wp:positionV>
                <wp:extent cx="5541328" cy="22458"/>
                <wp:effectExtent l="0" t="0" r="0" b="0"/>
                <wp:wrapSquare wrapText="bothSides"/>
                <wp:docPr id="9463" name="Group 9463"/>
                <wp:cNvGraphicFramePr/>
                <a:graphic xmlns:a="http://schemas.openxmlformats.org/drawingml/2006/main">
                  <a:graphicData uri="http://schemas.microsoft.com/office/word/2010/wordprocessingGroup">
                    <wpg:wgp>
                      <wpg:cNvGrpSpPr/>
                      <wpg:grpSpPr>
                        <a:xfrm>
                          <a:off x="0" y="0"/>
                          <a:ext cx="5541328" cy="22458"/>
                          <a:chOff x="0" y="0"/>
                          <a:chExt cx="5541328" cy="22458"/>
                        </a:xfrm>
                      </wpg:grpSpPr>
                      <wps:wsp>
                        <wps:cNvPr id="576" name="Shape 576"/>
                        <wps:cNvSpPr/>
                        <wps:spPr>
                          <a:xfrm>
                            <a:off x="0" y="0"/>
                            <a:ext cx="5541328" cy="0"/>
                          </a:xfrm>
                          <a:custGeom>
                            <a:avLst/>
                            <a:gdLst/>
                            <a:ahLst/>
                            <a:cxnLst/>
                            <a:rect l="0" t="0" r="0" b="0"/>
                            <a:pathLst>
                              <a:path w="5541328">
                                <a:moveTo>
                                  <a:pt x="0" y="0"/>
                                </a:moveTo>
                                <a:lnTo>
                                  <a:pt x="5541328" y="0"/>
                                </a:lnTo>
                              </a:path>
                            </a:pathLst>
                          </a:custGeom>
                          <a:ln w="22458"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http://schemas.openxmlformats.org/drawingml/2006/main">
            <w:pict>
              <v:group id="Group 9463" style="width:436.325pt;height:1.76832pt;position:absolute;mso-position-horizontal-relative:text;mso-position-horizontal:absolute;margin-left:-0.101997pt;mso-position-vertical-relative:text;margin-top:42.859pt;" coordsize="55413,224">
                <v:shape id="Shape 576" style="position:absolute;width:55413;height:0;left:0;top:0;" coordsize="5541328,0" path="m0,0l5541328,0">
                  <v:stroke weight="1.76832pt" endcap="flat" joinstyle="round" on="true" color="#000000"/>
                  <v:fill on="false" color="#000000" opacity="0"/>
                </v:shape>
                <w10:wrap type="square"/>
              </v:group>
            </w:pict>
          </mc:Fallback>
        </mc:AlternateContent>
      </w:r>
      <w:r>
        <w:t xml:space="preserve">Štruktúra záväzkov (okrem záväzkov zo sociálneho fondu a odloženého daňového záväzku) podľa zostatkovej doby splatnosti je uvedená v nasledujúcom prehľade: </w:t>
      </w:r>
    </w:p>
    <w:bookmarkStart w:id="0" w:name="_GoBack"/>
    <w:bookmarkEnd w:id="0"/>
    <w:p w14:paraId="27656E21" w14:textId="77777777" w:rsidR="00DD6E4B" w:rsidRDefault="006B5A58">
      <w:pPr>
        <w:spacing w:before="9" w:after="775" w:line="259" w:lineRule="auto"/>
        <w:ind w:left="5756" w:firstLine="0"/>
        <w:jc w:val="left"/>
      </w:pPr>
      <w:r>
        <w:rPr>
          <w:rFonts w:ascii="Calibri" w:eastAsia="Calibri" w:hAnsi="Calibri" w:cs="Calibri"/>
          <w:noProof/>
          <w:sz w:val="22"/>
        </w:rPr>
        <mc:AlternateContent>
          <mc:Choice Requires="wpg">
            <w:drawing>
              <wp:inline distT="0" distB="0" distL="0" distR="0" wp14:anchorId="05A91DAD" wp14:editId="43E42654">
                <wp:extent cx="1884870" cy="19100"/>
                <wp:effectExtent l="0" t="0" r="0" b="0"/>
                <wp:docPr id="9464" name="Group 9464"/>
                <wp:cNvGraphicFramePr/>
                <a:graphic xmlns:a="http://schemas.openxmlformats.org/drawingml/2006/main">
                  <a:graphicData uri="http://schemas.microsoft.com/office/word/2010/wordprocessingGroup">
                    <wpg:wgp>
                      <wpg:cNvGrpSpPr/>
                      <wpg:grpSpPr>
                        <a:xfrm>
                          <a:off x="0" y="0"/>
                          <a:ext cx="1884870" cy="19100"/>
                          <a:chOff x="0" y="0"/>
                          <a:chExt cx="1884870" cy="19100"/>
                        </a:xfrm>
                      </wpg:grpSpPr>
                      <wps:wsp>
                        <wps:cNvPr id="579" name="Shape 579"/>
                        <wps:cNvSpPr/>
                        <wps:spPr>
                          <a:xfrm>
                            <a:off x="0" y="0"/>
                            <a:ext cx="772541" cy="0"/>
                          </a:xfrm>
                          <a:custGeom>
                            <a:avLst/>
                            <a:gdLst/>
                            <a:ahLst/>
                            <a:cxnLst/>
                            <a:rect l="0" t="0" r="0" b="0"/>
                            <a:pathLst>
                              <a:path w="772541">
                                <a:moveTo>
                                  <a:pt x="0" y="0"/>
                                </a:moveTo>
                                <a:lnTo>
                                  <a:pt x="772541" y="0"/>
                                </a:lnTo>
                              </a:path>
                            </a:pathLst>
                          </a:custGeom>
                          <a:ln w="9722" cap="flat">
                            <a:round/>
                          </a:ln>
                        </wps:spPr>
                        <wps:style>
                          <a:lnRef idx="1">
                            <a:srgbClr val="000000"/>
                          </a:lnRef>
                          <a:fillRef idx="0">
                            <a:srgbClr val="000000">
                              <a:alpha val="0"/>
                            </a:srgbClr>
                          </a:fillRef>
                          <a:effectRef idx="0">
                            <a:scrgbClr r="0" g="0" b="0"/>
                          </a:effectRef>
                          <a:fontRef idx="none"/>
                        </wps:style>
                        <wps:bodyPr/>
                      </wps:wsp>
                      <wps:wsp>
                        <wps:cNvPr id="580" name="Shape 580"/>
                        <wps:cNvSpPr/>
                        <wps:spPr>
                          <a:xfrm>
                            <a:off x="0" y="19100"/>
                            <a:ext cx="772541" cy="0"/>
                          </a:xfrm>
                          <a:custGeom>
                            <a:avLst/>
                            <a:gdLst/>
                            <a:ahLst/>
                            <a:cxnLst/>
                            <a:rect l="0" t="0" r="0" b="0"/>
                            <a:pathLst>
                              <a:path w="772541">
                                <a:moveTo>
                                  <a:pt x="0" y="0"/>
                                </a:moveTo>
                                <a:lnTo>
                                  <a:pt x="772541" y="0"/>
                                </a:lnTo>
                              </a:path>
                            </a:pathLst>
                          </a:custGeom>
                          <a:ln w="9722" cap="flat">
                            <a:round/>
                          </a:ln>
                        </wps:spPr>
                        <wps:style>
                          <a:lnRef idx="1">
                            <a:srgbClr val="000000"/>
                          </a:lnRef>
                          <a:fillRef idx="0">
                            <a:srgbClr val="000000">
                              <a:alpha val="0"/>
                            </a:srgbClr>
                          </a:fillRef>
                          <a:effectRef idx="0">
                            <a:scrgbClr r="0" g="0" b="0"/>
                          </a:effectRef>
                          <a:fontRef idx="none"/>
                        </wps:style>
                        <wps:bodyPr/>
                      </wps:wsp>
                      <wps:wsp>
                        <wps:cNvPr id="581" name="Shape 581"/>
                        <wps:cNvSpPr/>
                        <wps:spPr>
                          <a:xfrm>
                            <a:off x="932815" y="0"/>
                            <a:ext cx="952055" cy="0"/>
                          </a:xfrm>
                          <a:custGeom>
                            <a:avLst/>
                            <a:gdLst/>
                            <a:ahLst/>
                            <a:cxnLst/>
                            <a:rect l="0" t="0" r="0" b="0"/>
                            <a:pathLst>
                              <a:path w="952055">
                                <a:moveTo>
                                  <a:pt x="0" y="0"/>
                                </a:moveTo>
                                <a:lnTo>
                                  <a:pt x="952055" y="0"/>
                                </a:lnTo>
                              </a:path>
                            </a:pathLst>
                          </a:custGeom>
                          <a:ln w="9722" cap="flat">
                            <a:round/>
                          </a:ln>
                        </wps:spPr>
                        <wps:style>
                          <a:lnRef idx="1">
                            <a:srgbClr val="000000"/>
                          </a:lnRef>
                          <a:fillRef idx="0">
                            <a:srgbClr val="000000">
                              <a:alpha val="0"/>
                            </a:srgbClr>
                          </a:fillRef>
                          <a:effectRef idx="0">
                            <a:scrgbClr r="0" g="0" b="0"/>
                          </a:effectRef>
                          <a:fontRef idx="none"/>
                        </wps:style>
                        <wps:bodyPr/>
                      </wps:wsp>
                      <wps:wsp>
                        <wps:cNvPr id="582" name="Shape 582"/>
                        <wps:cNvSpPr/>
                        <wps:spPr>
                          <a:xfrm>
                            <a:off x="932815" y="19100"/>
                            <a:ext cx="952055" cy="0"/>
                          </a:xfrm>
                          <a:custGeom>
                            <a:avLst/>
                            <a:gdLst/>
                            <a:ahLst/>
                            <a:cxnLst/>
                            <a:rect l="0" t="0" r="0" b="0"/>
                            <a:pathLst>
                              <a:path w="952055">
                                <a:moveTo>
                                  <a:pt x="0" y="0"/>
                                </a:moveTo>
                                <a:lnTo>
                                  <a:pt x="952055" y="0"/>
                                </a:lnTo>
                              </a:path>
                            </a:pathLst>
                          </a:custGeom>
                          <a:ln w="9722"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http://schemas.openxmlformats.org/drawingml/2006/main">
            <w:pict>
              <v:group id="Group 9464" style="width:148.415pt;height:1.50397pt;mso-position-horizontal-relative:char;mso-position-vertical-relative:line" coordsize="18848,191">
                <v:shape id="Shape 579" style="position:absolute;width:7725;height:0;left:0;top:0;" coordsize="772541,0" path="m0,0l772541,0">
                  <v:stroke weight="0.76549pt" endcap="flat" joinstyle="round" on="true" color="#000000"/>
                  <v:fill on="false" color="#000000" opacity="0"/>
                </v:shape>
                <v:shape id="Shape 580" style="position:absolute;width:7725;height:0;left:0;top:191;" coordsize="772541,0" path="m0,0l772541,0">
                  <v:stroke weight="0.76549pt" endcap="flat" joinstyle="round" on="true" color="#000000"/>
                  <v:fill on="false" color="#000000" opacity="0"/>
                </v:shape>
                <v:shape id="Shape 581" style="position:absolute;width:9520;height:0;left:9328;top:0;" coordsize="952055,0" path="m0,0l952055,0">
                  <v:stroke weight="0.76549pt" endcap="flat" joinstyle="round" on="true" color="#000000"/>
                  <v:fill on="false" color="#000000" opacity="0"/>
                </v:shape>
                <v:shape id="Shape 582" style="position:absolute;width:9520;height:0;left:9328;top:191;" coordsize="952055,0" path="m0,0l952055,0">
                  <v:stroke weight="0.76549pt" endcap="flat" joinstyle="round" on="true" color="#000000"/>
                  <v:fill on="false" color="#000000" opacity="0"/>
                </v:shape>
              </v:group>
            </w:pict>
          </mc:Fallback>
        </mc:AlternateContent>
      </w:r>
    </w:p>
    <w:p w14:paraId="793EB2B0" w14:textId="77777777" w:rsidR="00DD6E4B" w:rsidRDefault="006B5A58">
      <w:pPr>
        <w:pStyle w:val="Nadpis1"/>
        <w:tabs>
          <w:tab w:val="center" w:pos="2621"/>
        </w:tabs>
        <w:ind w:left="0" w:firstLine="0"/>
      </w:pPr>
      <w:r>
        <w:t>F.</w:t>
      </w:r>
      <w:r>
        <w:tab/>
        <w:t xml:space="preserve">  INFORMÁCIE O POVINNOSTIACH SPOLOČNOSTI </w:t>
      </w:r>
    </w:p>
    <w:p w14:paraId="755A0DCF" w14:textId="77777777" w:rsidR="00DD6E4B" w:rsidRDefault="006B5A58">
      <w:pPr>
        <w:numPr>
          <w:ilvl w:val="0"/>
          <w:numId w:val="7"/>
        </w:numPr>
        <w:spacing w:after="187" w:line="265" w:lineRule="auto"/>
        <w:ind w:hanging="360"/>
        <w:jc w:val="left"/>
      </w:pPr>
      <w:r>
        <w:rPr>
          <w:b/>
        </w:rPr>
        <w:t xml:space="preserve">Významné finančné povinnosti </w:t>
      </w:r>
    </w:p>
    <w:p w14:paraId="1AD0B26A" w14:textId="77777777" w:rsidR="00DD6E4B" w:rsidRDefault="006B5A58">
      <w:pPr>
        <w:spacing w:after="405"/>
        <w:ind w:left="13" w:right="10"/>
      </w:pPr>
      <w:r>
        <w:t xml:space="preserve">Významné finančné povinnosti, ktoré sa nesledujú v bežnom účtovníctve a neuvádzajú v súvahe – nie sú. </w:t>
      </w:r>
    </w:p>
    <w:p w14:paraId="53595BDB" w14:textId="77777777" w:rsidR="00DD6E4B" w:rsidRDefault="006B5A58">
      <w:pPr>
        <w:numPr>
          <w:ilvl w:val="0"/>
          <w:numId w:val="7"/>
        </w:numPr>
        <w:spacing w:after="187" w:line="265" w:lineRule="auto"/>
        <w:ind w:hanging="360"/>
        <w:jc w:val="left"/>
      </w:pPr>
      <w:r>
        <w:rPr>
          <w:b/>
        </w:rPr>
        <w:t xml:space="preserve">Podmienené záväzky </w:t>
      </w:r>
    </w:p>
    <w:p w14:paraId="2625C81D" w14:textId="77777777" w:rsidR="00DD6E4B" w:rsidRDefault="006B5A58">
      <w:pPr>
        <w:spacing w:after="403"/>
        <w:ind w:left="13" w:right="10"/>
      </w:pPr>
      <w:r>
        <w:t xml:space="preserve">Spoločnosť nemá podmienené záväzky, ktoré by sa nesledovali v bežnom účtovníctve a neuvádzali by sa v súvahe. </w:t>
      </w:r>
    </w:p>
    <w:p w14:paraId="127AB510" w14:textId="77777777" w:rsidR="00DD6E4B" w:rsidRDefault="006B5A58">
      <w:pPr>
        <w:numPr>
          <w:ilvl w:val="0"/>
          <w:numId w:val="7"/>
        </w:numPr>
        <w:spacing w:after="187" w:line="265" w:lineRule="auto"/>
        <w:ind w:hanging="360"/>
        <w:jc w:val="left"/>
      </w:pPr>
      <w:r>
        <w:rPr>
          <w:b/>
        </w:rPr>
        <w:lastRenderedPageBreak/>
        <w:t xml:space="preserve">Náklady, ktoré majú výnimočný rozsah alebo výskyt </w:t>
      </w:r>
    </w:p>
    <w:p w14:paraId="0880E6F4" w14:textId="0762484D" w:rsidR="00DD6E4B" w:rsidRDefault="006B5A58">
      <w:pPr>
        <w:ind w:left="13" w:right="10"/>
      </w:pPr>
      <w:r>
        <w:t>V roku 20</w:t>
      </w:r>
      <w:r w:rsidR="001A2243">
        <w:t>2</w:t>
      </w:r>
      <w:r w:rsidR="002C440F">
        <w:t>5</w:t>
      </w:r>
      <w:r>
        <w:t xml:space="preserve"> Spoločnosť neúčtovala o nákladoch, ktoré majú výnimočný rozsah alebo výskyt. </w:t>
      </w:r>
    </w:p>
    <w:p w14:paraId="5428E4B3" w14:textId="77777777" w:rsidR="00DD6E4B" w:rsidRPr="001A2243" w:rsidRDefault="006B5A58">
      <w:pPr>
        <w:pStyle w:val="Nadpis2"/>
        <w:tabs>
          <w:tab w:val="center" w:pos="427"/>
          <w:tab w:val="center" w:pos="2696"/>
        </w:tabs>
        <w:ind w:left="0" w:firstLine="0"/>
      </w:pPr>
      <w:r>
        <w:rPr>
          <w:rFonts w:ascii="Calibri" w:eastAsia="Calibri" w:hAnsi="Calibri" w:cs="Calibri"/>
          <w:b w:val="0"/>
          <w:sz w:val="22"/>
        </w:rPr>
        <w:tab/>
      </w:r>
      <w:r w:rsidRPr="001A2243">
        <w:t>4.</w:t>
      </w:r>
      <w:r w:rsidRPr="001A2243">
        <w:tab/>
        <w:t xml:space="preserve">Výnosy, ktoré majú výnimočný rozsah alebo výskyt </w:t>
      </w:r>
    </w:p>
    <w:p w14:paraId="3FDA7A7F" w14:textId="1CA37D1A" w:rsidR="00DD6E4B" w:rsidRDefault="006B5A58">
      <w:pPr>
        <w:spacing w:after="613"/>
        <w:ind w:left="13" w:right="10"/>
      </w:pPr>
      <w:r w:rsidRPr="001A2243">
        <w:t>V roku 202</w:t>
      </w:r>
      <w:r w:rsidR="002C440F">
        <w:t>5</w:t>
      </w:r>
      <w:r w:rsidRPr="001A2243">
        <w:t xml:space="preserve"> Spoločnosť účtovala o výnosoch z dotácii, poskytovaných v súvislosti s prijatými plneniami podľa § 54 ods. 1 písm. e) zákona o službách zamestnanosti, a to v rámci národného projektu Prvá pomoc a Prvá pomoc +.</w:t>
      </w:r>
      <w:r>
        <w:t xml:space="preserve"> </w:t>
      </w:r>
    </w:p>
    <w:p w14:paraId="3B9A4150" w14:textId="77777777" w:rsidR="00DD6E4B" w:rsidRDefault="006B5A58">
      <w:pPr>
        <w:pStyle w:val="Nadpis1"/>
        <w:ind w:left="420" w:hanging="360"/>
      </w:pPr>
      <w:r>
        <w:t>G.</w:t>
      </w:r>
      <w:r>
        <w:tab/>
        <w:t xml:space="preserve">INFORMÁCIE O SKUTOČNOSTIACH, KTORÉ NASTALI PO DNI, KU KTORÉMU SA ZOSTAVUJE ÚČTOVNÁ ZÁVIERKA, DO DŇA ZOSTAVENIA ÚČTOVNEJ ZÁVIERKY </w:t>
      </w:r>
    </w:p>
    <w:p w14:paraId="27C87879" w14:textId="77777777" w:rsidR="00DD6E4B" w:rsidRDefault="006B5A58">
      <w:pPr>
        <w:ind w:left="152" w:right="10"/>
      </w:pPr>
      <w:r>
        <w:t>Nie</w:t>
      </w:r>
    </w:p>
    <w:sectPr w:rsidR="00DD6E4B" w:rsidSect="00EE0B02">
      <w:headerReference w:type="even" r:id="rId7"/>
      <w:headerReference w:type="default" r:id="rId8"/>
      <w:footerReference w:type="even" r:id="rId9"/>
      <w:footerReference w:type="default" r:id="rId10"/>
      <w:headerReference w:type="first" r:id="rId11"/>
      <w:footerReference w:type="first" r:id="rId12"/>
      <w:pgSz w:w="11906" w:h="16838"/>
      <w:pgMar w:top="2228" w:right="1424" w:bottom="1603" w:left="1420" w:header="716" w:footer="976"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B027FA" w14:textId="77777777" w:rsidR="001A6F79" w:rsidRDefault="001A6F79">
      <w:pPr>
        <w:spacing w:after="0" w:line="240" w:lineRule="auto"/>
      </w:pPr>
      <w:r>
        <w:separator/>
      </w:r>
    </w:p>
  </w:endnote>
  <w:endnote w:type="continuationSeparator" w:id="0">
    <w:p w14:paraId="29AEDC58" w14:textId="77777777" w:rsidR="001A6F79" w:rsidRDefault="001A6F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CD089E" w14:textId="77777777" w:rsidR="00DD6E4B" w:rsidRDefault="006B5A58">
    <w:pPr>
      <w:spacing w:after="0" w:line="259" w:lineRule="auto"/>
      <w:ind w:left="7" w:firstLine="0"/>
      <w:jc w:val="center"/>
    </w:pPr>
    <w:r>
      <w:rPr>
        <w:rFonts w:ascii="Calibri" w:eastAsia="Calibri" w:hAnsi="Calibri" w:cs="Calibri"/>
        <w:sz w:val="22"/>
      </w:rPr>
      <w:t xml:space="preserve">Strana </w:t>
    </w:r>
    <w:r>
      <w:fldChar w:fldCharType="begin"/>
    </w:r>
    <w:r>
      <w:instrText xml:space="preserve"> PAGE   \* MERGEFORMAT </w:instrText>
    </w:r>
    <w:r>
      <w:fldChar w:fldCharType="separate"/>
    </w:r>
    <w:r>
      <w:rPr>
        <w:rFonts w:ascii="Calibri" w:eastAsia="Calibri" w:hAnsi="Calibri" w:cs="Calibri"/>
        <w:sz w:val="24"/>
      </w:rPr>
      <w:t>13</w:t>
    </w:r>
    <w:r>
      <w:rPr>
        <w:rFonts w:ascii="Calibri" w:eastAsia="Calibri" w:hAnsi="Calibri" w:cs="Calibri"/>
        <w:sz w:val="24"/>
      </w:rPr>
      <w:fldChar w:fldCharType="end"/>
    </w:r>
    <w:r>
      <w:rPr>
        <w:rFonts w:ascii="Calibri" w:eastAsia="Calibri" w:hAnsi="Calibri" w:cs="Calibri"/>
        <w:sz w:val="22"/>
      </w:rPr>
      <w:t xml:space="preserve"> z 21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1686756"/>
      <w:docPartObj>
        <w:docPartGallery w:val="Page Numbers (Bottom of Page)"/>
        <w:docPartUnique/>
      </w:docPartObj>
    </w:sdtPr>
    <w:sdtEndPr/>
    <w:sdtContent>
      <w:p w14:paraId="5BDEC1B2" w14:textId="703D49EE" w:rsidR="00EE0B02" w:rsidRDefault="00EE0B02">
        <w:pPr>
          <w:pStyle w:val="Pta"/>
          <w:jc w:val="center"/>
        </w:pPr>
        <w:r>
          <w:fldChar w:fldCharType="begin"/>
        </w:r>
        <w:r>
          <w:instrText>PAGE   \* MERGEFORMAT</w:instrText>
        </w:r>
        <w:r>
          <w:fldChar w:fldCharType="separate"/>
        </w:r>
        <w:r w:rsidR="007D14DF">
          <w:rPr>
            <w:noProof/>
          </w:rPr>
          <w:t>6</w:t>
        </w:r>
        <w:r>
          <w:fldChar w:fldCharType="end"/>
        </w:r>
      </w:p>
    </w:sdtContent>
  </w:sdt>
  <w:p w14:paraId="4D95E557" w14:textId="5DFD43CD" w:rsidR="00DD6E4B" w:rsidRDefault="00DD6E4B">
    <w:pPr>
      <w:spacing w:after="0" w:line="259" w:lineRule="auto"/>
      <w:ind w:left="7" w:firstLine="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122E7C" w14:textId="77777777" w:rsidR="00DD6E4B" w:rsidRDefault="006B5A58">
    <w:pPr>
      <w:spacing w:after="0" w:line="259" w:lineRule="auto"/>
      <w:ind w:left="7" w:firstLine="0"/>
      <w:jc w:val="center"/>
    </w:pPr>
    <w:r>
      <w:rPr>
        <w:rFonts w:ascii="Calibri" w:eastAsia="Calibri" w:hAnsi="Calibri" w:cs="Calibri"/>
        <w:sz w:val="22"/>
      </w:rPr>
      <w:t xml:space="preserve">Strana </w:t>
    </w:r>
    <w:r>
      <w:fldChar w:fldCharType="begin"/>
    </w:r>
    <w:r>
      <w:instrText xml:space="preserve"> PAGE   \* MERGEFORMAT </w:instrText>
    </w:r>
    <w:r>
      <w:fldChar w:fldCharType="separate"/>
    </w:r>
    <w:r>
      <w:rPr>
        <w:rFonts w:ascii="Calibri" w:eastAsia="Calibri" w:hAnsi="Calibri" w:cs="Calibri"/>
        <w:sz w:val="24"/>
      </w:rPr>
      <w:t>13</w:t>
    </w:r>
    <w:r>
      <w:rPr>
        <w:rFonts w:ascii="Calibri" w:eastAsia="Calibri" w:hAnsi="Calibri" w:cs="Calibri"/>
        <w:sz w:val="24"/>
      </w:rPr>
      <w:fldChar w:fldCharType="end"/>
    </w:r>
    <w:r>
      <w:rPr>
        <w:rFonts w:ascii="Calibri" w:eastAsia="Calibri" w:hAnsi="Calibri" w:cs="Calibri"/>
        <w:sz w:val="22"/>
      </w:rPr>
      <w:t xml:space="preserve"> z 21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E552F6" w14:textId="77777777" w:rsidR="001A6F79" w:rsidRDefault="001A6F79">
      <w:pPr>
        <w:spacing w:after="0" w:line="240" w:lineRule="auto"/>
      </w:pPr>
      <w:r>
        <w:separator/>
      </w:r>
    </w:p>
  </w:footnote>
  <w:footnote w:type="continuationSeparator" w:id="0">
    <w:p w14:paraId="4C087565" w14:textId="77777777" w:rsidR="001A6F79" w:rsidRDefault="001A6F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217797" w14:textId="77777777" w:rsidR="00DD6E4B" w:rsidRDefault="006B5A58">
    <w:pPr>
      <w:spacing w:after="189" w:line="259" w:lineRule="auto"/>
      <w:ind w:left="0" w:firstLine="0"/>
      <w:jc w:val="left"/>
    </w:pPr>
    <w:r>
      <w:rPr>
        <w:b/>
      </w:rPr>
      <w:t xml:space="preserve">ARC Import, s.r.o. </w:t>
    </w:r>
  </w:p>
  <w:p w14:paraId="13F5CD60" w14:textId="77777777" w:rsidR="00DD6E4B" w:rsidRDefault="006B5A58">
    <w:pPr>
      <w:spacing w:after="189" w:line="259" w:lineRule="auto"/>
      <w:ind w:left="0" w:firstLine="0"/>
      <w:jc w:val="left"/>
    </w:pPr>
    <w:r>
      <w:rPr>
        <w:b/>
      </w:rPr>
      <w:t xml:space="preserve"> </w:t>
    </w:r>
    <w:r>
      <w:t>Účtovná závierka pre malé účtovné jednotky k 31. decembru 2021</w:t>
    </w:r>
  </w:p>
  <w:p w14:paraId="57D4968B" w14:textId="77777777" w:rsidR="00DD6E4B" w:rsidRDefault="006B5A58">
    <w:pPr>
      <w:spacing w:after="0" w:line="259" w:lineRule="auto"/>
      <w:ind w:left="0" w:firstLine="0"/>
      <w:jc w:val="left"/>
    </w:pPr>
    <w:r>
      <w:t xml:space="preserve"> Poznámky </w:t>
    </w:r>
    <w:proofErr w:type="spellStart"/>
    <w:r>
      <w:t>Úč</w:t>
    </w:r>
    <w:proofErr w:type="spellEnd"/>
    <w:r>
      <w:t xml:space="preserve"> PODV 3 - 01                                                                                                                      IČO 44102321       </w:t>
    </w:r>
  </w:p>
  <w:p w14:paraId="11A034F4" w14:textId="77777777" w:rsidR="00DD6E4B" w:rsidRDefault="006B5A58">
    <w:pPr>
      <w:spacing w:after="0" w:line="259" w:lineRule="auto"/>
      <w:ind w:left="0" w:firstLine="0"/>
      <w:jc w:val="left"/>
    </w:pPr>
    <w:r>
      <w:t xml:space="preserve">                                                                                                                                                                    DIČ 2022608533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1E6BD3" w14:textId="77777777" w:rsidR="00DD6E4B" w:rsidRDefault="006B5A58">
    <w:pPr>
      <w:spacing w:after="189" w:line="259" w:lineRule="auto"/>
      <w:ind w:left="0" w:firstLine="0"/>
      <w:jc w:val="left"/>
    </w:pPr>
    <w:r>
      <w:rPr>
        <w:b/>
      </w:rPr>
      <w:t xml:space="preserve">ARC Import, s.r.o. </w:t>
    </w:r>
  </w:p>
  <w:p w14:paraId="5F1B5099" w14:textId="117274EE" w:rsidR="00DD6E4B" w:rsidRDefault="006B5A58">
    <w:pPr>
      <w:spacing w:after="189" w:line="259" w:lineRule="auto"/>
      <w:ind w:left="0" w:firstLine="0"/>
      <w:jc w:val="left"/>
    </w:pPr>
    <w:r>
      <w:rPr>
        <w:b/>
      </w:rPr>
      <w:t xml:space="preserve"> </w:t>
    </w:r>
    <w:r>
      <w:t>Účtovná závierka pre malé účto</w:t>
    </w:r>
    <w:r w:rsidR="00EE0B02">
      <w:t>vné jednotky k 31. decembru 202</w:t>
    </w:r>
    <w:r w:rsidR="002C440F">
      <w:t>5</w:t>
    </w:r>
  </w:p>
  <w:p w14:paraId="35EFDA58" w14:textId="77777777" w:rsidR="00DD6E4B" w:rsidRDefault="006B5A58">
    <w:pPr>
      <w:spacing w:after="0" w:line="259" w:lineRule="auto"/>
      <w:ind w:left="0" w:firstLine="0"/>
      <w:jc w:val="left"/>
    </w:pPr>
    <w:r>
      <w:t xml:space="preserve"> Poznámky </w:t>
    </w:r>
    <w:proofErr w:type="spellStart"/>
    <w:r>
      <w:t>Úč</w:t>
    </w:r>
    <w:proofErr w:type="spellEnd"/>
    <w:r>
      <w:t xml:space="preserve"> PODV 3 - 01                                                                                                                      IČO 44102321       </w:t>
    </w:r>
  </w:p>
  <w:p w14:paraId="4D9836DD" w14:textId="77777777" w:rsidR="00DD6E4B" w:rsidRDefault="006B5A58">
    <w:pPr>
      <w:spacing w:after="0" w:line="259" w:lineRule="auto"/>
      <w:ind w:left="0" w:firstLine="0"/>
      <w:jc w:val="left"/>
    </w:pPr>
    <w:r>
      <w:t xml:space="preserve">                                                                                                                                                                    DIČ 2022608533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7D6523" w14:textId="77777777" w:rsidR="00DD6E4B" w:rsidRDefault="006B5A58">
    <w:pPr>
      <w:spacing w:after="189" w:line="259" w:lineRule="auto"/>
      <w:ind w:left="0" w:firstLine="0"/>
      <w:jc w:val="left"/>
    </w:pPr>
    <w:r>
      <w:rPr>
        <w:b/>
      </w:rPr>
      <w:t xml:space="preserve">ARC Import, s.r.o. </w:t>
    </w:r>
  </w:p>
  <w:p w14:paraId="549DCB5A" w14:textId="77777777" w:rsidR="00DD6E4B" w:rsidRDefault="006B5A58">
    <w:pPr>
      <w:spacing w:after="189" w:line="259" w:lineRule="auto"/>
      <w:ind w:left="0" w:firstLine="0"/>
      <w:jc w:val="left"/>
    </w:pPr>
    <w:r>
      <w:rPr>
        <w:b/>
      </w:rPr>
      <w:t xml:space="preserve"> </w:t>
    </w:r>
    <w:r>
      <w:t>Účtovná závierka pre malé účtovné jednotky k 31. decembru 2021</w:t>
    </w:r>
  </w:p>
  <w:p w14:paraId="448F1B27" w14:textId="77777777" w:rsidR="00DD6E4B" w:rsidRDefault="006B5A58">
    <w:pPr>
      <w:spacing w:after="0" w:line="259" w:lineRule="auto"/>
      <w:ind w:left="0" w:firstLine="0"/>
      <w:jc w:val="left"/>
    </w:pPr>
    <w:r>
      <w:t xml:space="preserve"> Poznámky </w:t>
    </w:r>
    <w:proofErr w:type="spellStart"/>
    <w:r>
      <w:t>Úč</w:t>
    </w:r>
    <w:proofErr w:type="spellEnd"/>
    <w:r>
      <w:t xml:space="preserve"> PODV 3 - 01                                                                                                                      IČO 44102321       </w:t>
    </w:r>
  </w:p>
  <w:p w14:paraId="411190BE" w14:textId="77777777" w:rsidR="00DD6E4B" w:rsidRDefault="006B5A58">
    <w:pPr>
      <w:spacing w:after="0" w:line="259" w:lineRule="auto"/>
      <w:ind w:left="0" w:firstLine="0"/>
      <w:jc w:val="left"/>
    </w:pPr>
    <w:r>
      <w:t xml:space="preserve">                                                                                                                                                                    DIČ 2022608533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9D22BD"/>
    <w:multiLevelType w:val="hybridMultilevel"/>
    <w:tmpl w:val="E318B812"/>
    <w:lvl w:ilvl="0" w:tplc="2496E8CA">
      <w:start w:val="1"/>
      <w:numFmt w:val="bullet"/>
      <w:lvlText w:val="-"/>
      <w:lvlJc w:val="left"/>
      <w:pPr>
        <w:ind w:left="7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482908C">
      <w:start w:val="1"/>
      <w:numFmt w:val="bullet"/>
      <w:lvlText w:val="o"/>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D208A98">
      <w:start w:val="1"/>
      <w:numFmt w:val="bullet"/>
      <w:lvlText w:val="▪"/>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844A6C50">
      <w:start w:val="1"/>
      <w:numFmt w:val="bullet"/>
      <w:lvlText w:val="•"/>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570EA14">
      <w:start w:val="1"/>
      <w:numFmt w:val="bullet"/>
      <w:lvlText w:val="o"/>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3F22196">
      <w:start w:val="1"/>
      <w:numFmt w:val="bullet"/>
      <w:lvlText w:val="▪"/>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F64EACD0">
      <w:start w:val="1"/>
      <w:numFmt w:val="bullet"/>
      <w:lvlText w:val="•"/>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18053AC">
      <w:start w:val="1"/>
      <w:numFmt w:val="bullet"/>
      <w:lvlText w:val="o"/>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ED8F9C6">
      <w:start w:val="1"/>
      <w:numFmt w:val="bullet"/>
      <w:lvlText w:val="▪"/>
      <w:lvlJc w:val="left"/>
      <w:pPr>
        <w:ind w:left="64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
    <w:nsid w:val="0A017BE6"/>
    <w:multiLevelType w:val="hybridMultilevel"/>
    <w:tmpl w:val="15FA8930"/>
    <w:lvl w:ilvl="0" w:tplc="94A64388">
      <w:start w:val="2"/>
      <w:numFmt w:val="lowerLetter"/>
      <w:lvlText w:val="%1)"/>
      <w:lvlJc w:val="left"/>
      <w:pPr>
        <w:ind w:left="19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28C44836">
      <w:start w:val="1"/>
      <w:numFmt w:val="lowerLetter"/>
      <w:lvlText w:val="%2"/>
      <w:lvlJc w:val="left"/>
      <w:pPr>
        <w:ind w:left="10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B136EFBA">
      <w:start w:val="1"/>
      <w:numFmt w:val="lowerRoman"/>
      <w:lvlText w:val="%3"/>
      <w:lvlJc w:val="left"/>
      <w:pPr>
        <w:ind w:left="18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78385ED6">
      <w:start w:val="1"/>
      <w:numFmt w:val="decimal"/>
      <w:lvlText w:val="%4"/>
      <w:lvlJc w:val="left"/>
      <w:pPr>
        <w:ind w:left="25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9822D778">
      <w:start w:val="1"/>
      <w:numFmt w:val="lowerLetter"/>
      <w:lvlText w:val="%5"/>
      <w:lvlJc w:val="left"/>
      <w:pPr>
        <w:ind w:left="324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A148E7C6">
      <w:start w:val="1"/>
      <w:numFmt w:val="lowerRoman"/>
      <w:lvlText w:val="%6"/>
      <w:lvlJc w:val="left"/>
      <w:pPr>
        <w:ind w:left="396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528C18D2">
      <w:start w:val="1"/>
      <w:numFmt w:val="decimal"/>
      <w:lvlText w:val="%7"/>
      <w:lvlJc w:val="left"/>
      <w:pPr>
        <w:ind w:left="46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7DEC3C76">
      <w:start w:val="1"/>
      <w:numFmt w:val="lowerLetter"/>
      <w:lvlText w:val="%8"/>
      <w:lvlJc w:val="left"/>
      <w:pPr>
        <w:ind w:left="54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DFA8CA5E">
      <w:start w:val="1"/>
      <w:numFmt w:val="lowerRoman"/>
      <w:lvlText w:val="%9"/>
      <w:lvlJc w:val="left"/>
      <w:pPr>
        <w:ind w:left="61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2">
    <w:nsid w:val="0D774095"/>
    <w:multiLevelType w:val="hybridMultilevel"/>
    <w:tmpl w:val="C9EE5916"/>
    <w:lvl w:ilvl="0" w:tplc="1348149C">
      <w:start w:val="1"/>
      <w:numFmt w:val="bullet"/>
      <w:lvlText w:val="-"/>
      <w:lvlJc w:val="left"/>
      <w:pPr>
        <w:ind w:left="13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EFD8BCCC">
      <w:start w:val="1"/>
      <w:numFmt w:val="bullet"/>
      <w:lvlText w:val="o"/>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F36DEBA">
      <w:start w:val="1"/>
      <w:numFmt w:val="bullet"/>
      <w:lvlText w:val="▪"/>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7A28A46">
      <w:start w:val="1"/>
      <w:numFmt w:val="bullet"/>
      <w:lvlText w:val="•"/>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088E9E84">
      <w:start w:val="1"/>
      <w:numFmt w:val="bullet"/>
      <w:lvlText w:val="o"/>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C5C1B3E">
      <w:start w:val="1"/>
      <w:numFmt w:val="bullet"/>
      <w:lvlText w:val="▪"/>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42C300C">
      <w:start w:val="1"/>
      <w:numFmt w:val="bullet"/>
      <w:lvlText w:val="•"/>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0381686">
      <w:start w:val="1"/>
      <w:numFmt w:val="bullet"/>
      <w:lvlText w:val="o"/>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9C657F8">
      <w:start w:val="1"/>
      <w:numFmt w:val="bullet"/>
      <w:lvlText w:val="▪"/>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
    <w:nsid w:val="3EFF7BF2"/>
    <w:multiLevelType w:val="hybridMultilevel"/>
    <w:tmpl w:val="76CA9D04"/>
    <w:lvl w:ilvl="0" w:tplc="4378E512">
      <w:start w:val="5"/>
      <w:numFmt w:val="decimal"/>
      <w:lvlText w:val="%1."/>
      <w:lvlJc w:val="left"/>
      <w:pPr>
        <w:ind w:left="705"/>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1" w:tplc="861A29C6">
      <w:start w:val="1"/>
      <w:numFmt w:val="lowerLetter"/>
      <w:lvlText w:val="%2"/>
      <w:lvlJc w:val="left"/>
      <w:pPr>
        <w:ind w:left="144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2" w:tplc="E05CA912">
      <w:start w:val="1"/>
      <w:numFmt w:val="lowerRoman"/>
      <w:lvlText w:val="%3"/>
      <w:lvlJc w:val="left"/>
      <w:pPr>
        <w:ind w:left="216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3" w:tplc="932EE3EA">
      <w:start w:val="1"/>
      <w:numFmt w:val="decimal"/>
      <w:lvlText w:val="%4"/>
      <w:lvlJc w:val="left"/>
      <w:pPr>
        <w:ind w:left="288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4" w:tplc="36AE0A04">
      <w:start w:val="1"/>
      <w:numFmt w:val="lowerLetter"/>
      <w:lvlText w:val="%5"/>
      <w:lvlJc w:val="left"/>
      <w:pPr>
        <w:ind w:left="360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5" w:tplc="9B7ECA76">
      <w:start w:val="1"/>
      <w:numFmt w:val="lowerRoman"/>
      <w:lvlText w:val="%6"/>
      <w:lvlJc w:val="left"/>
      <w:pPr>
        <w:ind w:left="432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6" w:tplc="AEE4F7CC">
      <w:start w:val="1"/>
      <w:numFmt w:val="decimal"/>
      <w:lvlText w:val="%7"/>
      <w:lvlJc w:val="left"/>
      <w:pPr>
        <w:ind w:left="504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7" w:tplc="D90E75F2">
      <w:start w:val="1"/>
      <w:numFmt w:val="lowerLetter"/>
      <w:lvlText w:val="%8"/>
      <w:lvlJc w:val="left"/>
      <w:pPr>
        <w:ind w:left="576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8" w:tplc="5436FD1A">
      <w:start w:val="1"/>
      <w:numFmt w:val="lowerRoman"/>
      <w:lvlText w:val="%9"/>
      <w:lvlJc w:val="left"/>
      <w:pPr>
        <w:ind w:left="648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abstractNum>
  <w:abstractNum w:abstractNumId="4">
    <w:nsid w:val="40506F45"/>
    <w:multiLevelType w:val="hybridMultilevel"/>
    <w:tmpl w:val="DEA87D3C"/>
    <w:lvl w:ilvl="0" w:tplc="EB3C1FA2">
      <w:start w:val="1"/>
      <w:numFmt w:val="lowerLetter"/>
      <w:lvlText w:val="%1)"/>
      <w:lvlJc w:val="left"/>
      <w:pPr>
        <w:ind w:left="7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DE04C0EC">
      <w:start w:val="1"/>
      <w:numFmt w:val="lowerLetter"/>
      <w:lvlText w:val="%2"/>
      <w:lvlJc w:val="left"/>
      <w:pPr>
        <w:ind w:left="144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B698821C">
      <w:start w:val="1"/>
      <w:numFmt w:val="lowerRoman"/>
      <w:lvlText w:val="%3"/>
      <w:lvlJc w:val="left"/>
      <w:pPr>
        <w:ind w:left="216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14DED120">
      <w:start w:val="1"/>
      <w:numFmt w:val="decimal"/>
      <w:lvlText w:val="%4"/>
      <w:lvlJc w:val="left"/>
      <w:pPr>
        <w:ind w:left="28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65A4DC3E">
      <w:start w:val="1"/>
      <w:numFmt w:val="lowerLetter"/>
      <w:lvlText w:val="%5"/>
      <w:lvlJc w:val="left"/>
      <w:pPr>
        <w:ind w:left="36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BCAA5884">
      <w:start w:val="1"/>
      <w:numFmt w:val="lowerRoman"/>
      <w:lvlText w:val="%6"/>
      <w:lvlJc w:val="left"/>
      <w:pPr>
        <w:ind w:left="43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19181EE6">
      <w:start w:val="1"/>
      <w:numFmt w:val="decimal"/>
      <w:lvlText w:val="%7"/>
      <w:lvlJc w:val="left"/>
      <w:pPr>
        <w:ind w:left="504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E5B88346">
      <w:start w:val="1"/>
      <w:numFmt w:val="lowerLetter"/>
      <w:lvlText w:val="%8"/>
      <w:lvlJc w:val="left"/>
      <w:pPr>
        <w:ind w:left="576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ADC6349E">
      <w:start w:val="1"/>
      <w:numFmt w:val="lowerRoman"/>
      <w:lvlText w:val="%9"/>
      <w:lvlJc w:val="left"/>
      <w:pPr>
        <w:ind w:left="64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5">
    <w:nsid w:val="44EE1F8F"/>
    <w:multiLevelType w:val="hybridMultilevel"/>
    <w:tmpl w:val="AB16F68E"/>
    <w:lvl w:ilvl="0" w:tplc="4202A4F8">
      <w:start w:val="1"/>
      <w:numFmt w:val="decimal"/>
      <w:lvlText w:val="%1."/>
      <w:lvlJc w:val="left"/>
      <w:pPr>
        <w:ind w:left="705"/>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1" w:tplc="5BB80784">
      <w:start w:val="1"/>
      <w:numFmt w:val="lowerLetter"/>
      <w:lvlText w:val="%2"/>
      <w:lvlJc w:val="left"/>
      <w:pPr>
        <w:ind w:left="144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2" w:tplc="AFB2E1C8">
      <w:start w:val="1"/>
      <w:numFmt w:val="lowerRoman"/>
      <w:lvlText w:val="%3"/>
      <w:lvlJc w:val="left"/>
      <w:pPr>
        <w:ind w:left="216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3" w:tplc="4E58F832">
      <w:start w:val="1"/>
      <w:numFmt w:val="decimal"/>
      <w:lvlText w:val="%4"/>
      <w:lvlJc w:val="left"/>
      <w:pPr>
        <w:ind w:left="288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4" w:tplc="433E31E0">
      <w:start w:val="1"/>
      <w:numFmt w:val="lowerLetter"/>
      <w:lvlText w:val="%5"/>
      <w:lvlJc w:val="left"/>
      <w:pPr>
        <w:ind w:left="360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5" w:tplc="BCCA14D2">
      <w:start w:val="1"/>
      <w:numFmt w:val="lowerRoman"/>
      <w:lvlText w:val="%6"/>
      <w:lvlJc w:val="left"/>
      <w:pPr>
        <w:ind w:left="432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6" w:tplc="0E3085F8">
      <w:start w:val="1"/>
      <w:numFmt w:val="decimal"/>
      <w:lvlText w:val="%7"/>
      <w:lvlJc w:val="left"/>
      <w:pPr>
        <w:ind w:left="504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7" w:tplc="E76A7A12">
      <w:start w:val="1"/>
      <w:numFmt w:val="lowerLetter"/>
      <w:lvlText w:val="%8"/>
      <w:lvlJc w:val="left"/>
      <w:pPr>
        <w:ind w:left="576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8" w:tplc="6DB29E1A">
      <w:start w:val="1"/>
      <w:numFmt w:val="lowerRoman"/>
      <w:lvlText w:val="%9"/>
      <w:lvlJc w:val="left"/>
      <w:pPr>
        <w:ind w:left="648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abstractNum>
  <w:abstractNum w:abstractNumId="6">
    <w:nsid w:val="700C3DB8"/>
    <w:multiLevelType w:val="hybridMultilevel"/>
    <w:tmpl w:val="1B54E396"/>
    <w:lvl w:ilvl="0" w:tplc="8C5C09B8">
      <w:start w:val="1"/>
      <w:numFmt w:val="bullet"/>
      <w:lvlText w:val="-"/>
      <w:lvlJc w:val="left"/>
      <w:pPr>
        <w:ind w:left="53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5C60AE4">
      <w:start w:val="1"/>
      <w:numFmt w:val="bullet"/>
      <w:lvlText w:val="o"/>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EB06C88">
      <w:start w:val="1"/>
      <w:numFmt w:val="bullet"/>
      <w:lvlText w:val="▪"/>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9C29F10">
      <w:start w:val="1"/>
      <w:numFmt w:val="bullet"/>
      <w:lvlText w:val="•"/>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AFA10C8">
      <w:start w:val="1"/>
      <w:numFmt w:val="bullet"/>
      <w:lvlText w:val="o"/>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0FFC852A">
      <w:start w:val="1"/>
      <w:numFmt w:val="bullet"/>
      <w:lvlText w:val="▪"/>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1AA5004">
      <w:start w:val="1"/>
      <w:numFmt w:val="bullet"/>
      <w:lvlText w:val="•"/>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884944A">
      <w:start w:val="1"/>
      <w:numFmt w:val="bullet"/>
      <w:lvlText w:val="o"/>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8482E42">
      <w:start w:val="1"/>
      <w:numFmt w:val="bullet"/>
      <w:lvlText w:val="▪"/>
      <w:lvlJc w:val="left"/>
      <w:pPr>
        <w:ind w:left="64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num w:numId="1">
    <w:abstractNumId w:val="3"/>
  </w:num>
  <w:num w:numId="2">
    <w:abstractNumId w:val="1"/>
  </w:num>
  <w:num w:numId="3">
    <w:abstractNumId w:val="2"/>
  </w:num>
  <w:num w:numId="4">
    <w:abstractNumId w:val="4"/>
  </w:num>
  <w:num w:numId="5">
    <w:abstractNumId w:val="0"/>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6E4B"/>
    <w:rsid w:val="00062693"/>
    <w:rsid w:val="000B76D8"/>
    <w:rsid w:val="00152E2D"/>
    <w:rsid w:val="001A2243"/>
    <w:rsid w:val="001A6F79"/>
    <w:rsid w:val="00280B4E"/>
    <w:rsid w:val="002C440F"/>
    <w:rsid w:val="00313A4A"/>
    <w:rsid w:val="003A55DE"/>
    <w:rsid w:val="00436A68"/>
    <w:rsid w:val="00481E8E"/>
    <w:rsid w:val="004A5CB5"/>
    <w:rsid w:val="004C5841"/>
    <w:rsid w:val="00540930"/>
    <w:rsid w:val="00653D91"/>
    <w:rsid w:val="00690F9B"/>
    <w:rsid w:val="006920BF"/>
    <w:rsid w:val="006B5A58"/>
    <w:rsid w:val="00725F3A"/>
    <w:rsid w:val="00776854"/>
    <w:rsid w:val="007D0599"/>
    <w:rsid w:val="007D14DF"/>
    <w:rsid w:val="00902B54"/>
    <w:rsid w:val="009C2050"/>
    <w:rsid w:val="009E3A79"/>
    <w:rsid w:val="00A01BEC"/>
    <w:rsid w:val="00A83AB2"/>
    <w:rsid w:val="00B95729"/>
    <w:rsid w:val="00BF18A5"/>
    <w:rsid w:val="00DD6E4B"/>
    <w:rsid w:val="00EE0B02"/>
    <w:rsid w:val="00F8701C"/>
    <w:rsid w:val="00FD428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69E1E0"/>
  <w15:docId w15:val="{2531FC28-56F6-4A86-916C-8D63C3516B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2"/>
        <w:szCs w:val="22"/>
        <w:lang w:val="sk-SK" w:eastAsia="sk-SK"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198" w:line="248" w:lineRule="auto"/>
      <w:ind w:left="718" w:hanging="10"/>
      <w:jc w:val="both"/>
    </w:pPr>
    <w:rPr>
      <w:rFonts w:ascii="Times New Roman" w:eastAsia="Times New Roman" w:hAnsi="Times New Roman" w:cs="Times New Roman"/>
      <w:color w:val="000000"/>
      <w:sz w:val="18"/>
    </w:rPr>
  </w:style>
  <w:style w:type="paragraph" w:styleId="Nadpis1">
    <w:name w:val="heading 1"/>
    <w:next w:val="Normlny"/>
    <w:link w:val="Nadpis1Char"/>
    <w:uiPriority w:val="9"/>
    <w:qFormat/>
    <w:pPr>
      <w:keepNext/>
      <w:keepLines/>
      <w:spacing w:after="187" w:line="265" w:lineRule="auto"/>
      <w:ind w:left="70" w:hanging="10"/>
      <w:outlineLvl w:val="0"/>
    </w:pPr>
    <w:rPr>
      <w:rFonts w:ascii="Times New Roman" w:eastAsia="Times New Roman" w:hAnsi="Times New Roman" w:cs="Times New Roman"/>
      <w:b/>
      <w:color w:val="000000"/>
      <w:sz w:val="18"/>
    </w:rPr>
  </w:style>
  <w:style w:type="paragraph" w:styleId="Nadpis2">
    <w:name w:val="heading 2"/>
    <w:next w:val="Normlny"/>
    <w:link w:val="Nadpis2Char"/>
    <w:uiPriority w:val="9"/>
    <w:unhideWhenUsed/>
    <w:qFormat/>
    <w:pPr>
      <w:keepNext/>
      <w:keepLines/>
      <w:spacing w:after="187" w:line="265" w:lineRule="auto"/>
      <w:ind w:left="70" w:hanging="10"/>
      <w:outlineLvl w:val="1"/>
    </w:pPr>
    <w:rPr>
      <w:rFonts w:ascii="Times New Roman" w:eastAsia="Times New Roman" w:hAnsi="Times New Roman" w:cs="Times New Roman"/>
      <w:b/>
      <w:color w:val="000000"/>
      <w:sz w:val="18"/>
    </w:rPr>
  </w:style>
  <w:style w:type="paragraph" w:styleId="Nadpis3">
    <w:name w:val="heading 3"/>
    <w:next w:val="Normlny"/>
    <w:link w:val="Nadpis3Char"/>
    <w:uiPriority w:val="9"/>
    <w:unhideWhenUsed/>
    <w:qFormat/>
    <w:pPr>
      <w:keepNext/>
      <w:keepLines/>
      <w:spacing w:after="187" w:line="265" w:lineRule="auto"/>
      <w:ind w:left="70" w:hanging="10"/>
      <w:outlineLvl w:val="2"/>
    </w:pPr>
    <w:rPr>
      <w:rFonts w:ascii="Times New Roman" w:eastAsia="Times New Roman" w:hAnsi="Times New Roman" w:cs="Times New Roman"/>
      <w:b/>
      <w:color w:val="000000"/>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18"/>
    </w:rPr>
  </w:style>
  <w:style w:type="character" w:customStyle="1" w:styleId="Nadpis2Char">
    <w:name w:val="Nadpis 2 Char"/>
    <w:link w:val="Nadpis2"/>
    <w:rPr>
      <w:rFonts w:ascii="Times New Roman" w:eastAsia="Times New Roman" w:hAnsi="Times New Roman" w:cs="Times New Roman"/>
      <w:b/>
      <w:color w:val="000000"/>
      <w:sz w:val="18"/>
    </w:rPr>
  </w:style>
  <w:style w:type="character" w:customStyle="1" w:styleId="Nadpis3Char">
    <w:name w:val="Nadpis 3 Char"/>
    <w:link w:val="Nadpis3"/>
    <w:rPr>
      <w:rFonts w:ascii="Times New Roman" w:eastAsia="Times New Roman" w:hAnsi="Times New Roman" w:cs="Times New Roman"/>
      <w:b/>
      <w:color w:val="000000"/>
      <w:sz w:val="1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ta">
    <w:name w:val="footer"/>
    <w:basedOn w:val="Normlny"/>
    <w:link w:val="PtaChar"/>
    <w:uiPriority w:val="99"/>
    <w:unhideWhenUsed/>
    <w:rsid w:val="00EE0B02"/>
    <w:pPr>
      <w:tabs>
        <w:tab w:val="center" w:pos="4680"/>
        <w:tab w:val="right" w:pos="9360"/>
      </w:tabs>
      <w:spacing w:after="0" w:line="240" w:lineRule="auto"/>
      <w:ind w:left="0" w:firstLine="0"/>
      <w:jc w:val="left"/>
    </w:pPr>
    <w:rPr>
      <w:rFonts w:asciiTheme="minorHAnsi" w:eastAsiaTheme="minorEastAsia" w:hAnsiTheme="minorHAnsi"/>
      <w:color w:val="auto"/>
      <w:kern w:val="0"/>
      <w:sz w:val="22"/>
      <w14:ligatures w14:val="none"/>
    </w:rPr>
  </w:style>
  <w:style w:type="character" w:customStyle="1" w:styleId="PtaChar">
    <w:name w:val="Päta Char"/>
    <w:basedOn w:val="Predvolenpsmoodseku"/>
    <w:link w:val="Pta"/>
    <w:uiPriority w:val="99"/>
    <w:rsid w:val="00EE0B02"/>
    <w:rPr>
      <w:rFonts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9</Pages>
  <Words>3956</Words>
  <Characters>22554</Characters>
  <Application>Microsoft Office Word</Application>
  <DocSecurity>0</DocSecurity>
  <Lines>187</Lines>
  <Paragraphs>52</Paragraphs>
  <ScaleCrop>false</ScaleCrop>
  <HeadingPairs>
    <vt:vector size="2" baseType="variant">
      <vt:variant>
        <vt:lpstr>Názov</vt:lpstr>
      </vt:variant>
      <vt:variant>
        <vt:i4>1</vt:i4>
      </vt:variant>
    </vt:vector>
  </HeadingPairs>
  <TitlesOfParts>
    <vt:vector size="1" baseType="lpstr">
      <vt:lpstr/>
    </vt:vector>
  </TitlesOfParts>
  <Company>Mondi SCP a.s.</Company>
  <LinksUpToDate>false</LinksUpToDate>
  <CharactersWithSpaces>26458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Pekár Tomáš</dc:creator>
  <cp:keywords/>
  <cp:lastModifiedBy>ARC</cp:lastModifiedBy>
  <cp:revision>10</cp:revision>
  <dcterms:created xsi:type="dcterms:W3CDTF">2024-06-16T12:37:00Z</dcterms:created>
  <dcterms:modified xsi:type="dcterms:W3CDTF">2026-06-30T15:40:00Z</dcterms:modified>
</cp:coreProperties>
</file>