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480C31" w14:textId="77777777" w:rsidR="00377A0E" w:rsidRDefault="00377A0E">
      <w:pPr>
        <w:pStyle w:val="Nadpis1"/>
        <w:tabs>
          <w:tab w:val="center" w:pos="1596"/>
        </w:tabs>
        <w:spacing w:after="395"/>
        <w:ind w:left="0" w:firstLine="0"/>
      </w:pPr>
    </w:p>
    <w:p w14:paraId="774D382C" w14:textId="77777777" w:rsidR="009018F4" w:rsidRDefault="00303284">
      <w:pPr>
        <w:pStyle w:val="Nadpis1"/>
        <w:tabs>
          <w:tab w:val="center" w:pos="1596"/>
        </w:tabs>
        <w:spacing w:after="395"/>
        <w:ind w:left="0" w:firstLine="0"/>
      </w:pPr>
      <w:r>
        <w:t>A.</w:t>
      </w:r>
      <w:r>
        <w:tab/>
        <w:t xml:space="preserve">VŠEOBECNÉ INFORMÁCIE </w:t>
      </w:r>
    </w:p>
    <w:p w14:paraId="6870DAFB" w14:textId="77777777" w:rsidR="009018F4" w:rsidRDefault="00303284">
      <w:pPr>
        <w:tabs>
          <w:tab w:val="center" w:pos="427"/>
          <w:tab w:val="center" w:pos="2094"/>
        </w:tabs>
        <w:spacing w:after="187" w:line="265" w:lineRule="auto"/>
        <w:ind w:left="0" w:firstLine="0"/>
        <w:jc w:val="left"/>
      </w:pPr>
      <w:r>
        <w:rPr>
          <w:rFonts w:ascii="Calibri" w:eastAsia="Calibri" w:hAnsi="Calibri" w:cs="Calibri"/>
          <w:sz w:val="22"/>
        </w:rPr>
        <w:tab/>
      </w:r>
      <w:r>
        <w:rPr>
          <w:b/>
        </w:rPr>
        <w:t>1.</w:t>
      </w:r>
      <w:r>
        <w:rPr>
          <w:b/>
        </w:rPr>
        <w:tab/>
        <w:t xml:space="preserve">Obchodné meno a sídlo spoločnosti: </w:t>
      </w:r>
    </w:p>
    <w:p w14:paraId="4C8DB7B5" w14:textId="77777777" w:rsidR="009018F4" w:rsidRDefault="00303284">
      <w:pPr>
        <w:spacing w:after="8"/>
        <w:ind w:right="10"/>
      </w:pPr>
      <w:r>
        <w:t>ARC  International, s.r.o.</w:t>
      </w:r>
    </w:p>
    <w:p w14:paraId="73CD8380" w14:textId="77777777" w:rsidR="009018F4" w:rsidRDefault="00303284">
      <w:pPr>
        <w:spacing w:after="8"/>
        <w:ind w:right="10"/>
      </w:pPr>
      <w:proofErr w:type="spellStart"/>
      <w:r>
        <w:t>Výpalisko</w:t>
      </w:r>
      <w:proofErr w:type="spellEnd"/>
      <w:r>
        <w:t xml:space="preserve"> 65</w:t>
      </w:r>
    </w:p>
    <w:p w14:paraId="2E3AC328" w14:textId="77777777" w:rsidR="009018F4" w:rsidRDefault="00303284">
      <w:pPr>
        <w:spacing w:after="8"/>
        <w:ind w:right="10"/>
      </w:pPr>
      <w:r>
        <w:t>940 82  Nové Zámky</w:t>
      </w:r>
    </w:p>
    <w:p w14:paraId="1F5DA089" w14:textId="77777777" w:rsidR="009018F4" w:rsidRDefault="00303284">
      <w:pPr>
        <w:spacing w:after="8"/>
        <w:ind w:right="10"/>
      </w:pPr>
      <w:r>
        <w:t>Spoločnosť ARC International, s.r.o. (ďalej len Spoločnosť) bola zapísaná do obchodného registra 19.12.2008</w:t>
      </w:r>
    </w:p>
    <w:p w14:paraId="65E47ACA" w14:textId="461D33EB" w:rsidR="009018F4" w:rsidRDefault="00417E64">
      <w:pPr>
        <w:ind w:left="693" w:right="3772" w:hanging="708"/>
      </w:pPr>
      <w:r>
        <w:t xml:space="preserve">                </w:t>
      </w:r>
      <w:r w:rsidR="00303284">
        <w:t xml:space="preserve">(Obchodný  register Okresného súdu v Nitre, oddiel s.r.o., vložka 23717/N). </w:t>
      </w:r>
    </w:p>
    <w:p w14:paraId="09477B1E" w14:textId="77777777" w:rsidR="009018F4" w:rsidRDefault="00303284">
      <w:pPr>
        <w:spacing w:after="187" w:line="265" w:lineRule="auto"/>
        <w:ind w:left="10"/>
        <w:jc w:val="left"/>
      </w:pPr>
      <w:r>
        <w:rPr>
          <w:b/>
        </w:rPr>
        <w:t xml:space="preserve">               Hlavnými činnosťami Spoločnosti sú: </w:t>
      </w:r>
    </w:p>
    <w:p w14:paraId="164AD850" w14:textId="77777777" w:rsidR="009018F4" w:rsidRDefault="00303284">
      <w:pPr>
        <w:ind w:right="10"/>
      </w:pPr>
      <w:r>
        <w:t>– nešpecializovaný veľkoobchod.</w:t>
      </w:r>
    </w:p>
    <w:p w14:paraId="50592132" w14:textId="77777777" w:rsidR="009018F4" w:rsidRDefault="00303284">
      <w:pPr>
        <w:pStyle w:val="Nadpis2"/>
        <w:tabs>
          <w:tab w:val="center" w:pos="427"/>
          <w:tab w:val="center" w:pos="3500"/>
        </w:tabs>
        <w:ind w:left="0" w:firstLine="0"/>
      </w:pPr>
      <w:r>
        <w:rPr>
          <w:rFonts w:ascii="Calibri" w:eastAsia="Calibri" w:hAnsi="Calibri" w:cs="Calibri"/>
          <w:b w:val="0"/>
          <w:sz w:val="22"/>
        </w:rPr>
        <w:tab/>
      </w:r>
      <w:r>
        <w:t>2.</w:t>
      </w:r>
      <w:r>
        <w:tab/>
        <w:t xml:space="preserve">Dátum schválenia účtovnej závierky za predchádzajúce účtovné obdobie </w:t>
      </w:r>
    </w:p>
    <w:p w14:paraId="065B547C" w14:textId="4A8601A0" w:rsidR="009018F4" w:rsidRDefault="00303284">
      <w:pPr>
        <w:ind w:left="-5" w:right="10"/>
      </w:pPr>
      <w:r>
        <w:t xml:space="preserve">Účtovná </w:t>
      </w:r>
      <w:r w:rsidRPr="007E3F08">
        <w:t>závierka Spol</w:t>
      </w:r>
      <w:r w:rsidR="00377A0E" w:rsidRPr="007E3F08">
        <w:t>očnosti k 31. decembru 202</w:t>
      </w:r>
      <w:r w:rsidR="00526E5C" w:rsidRPr="007E3F08">
        <w:t>4</w:t>
      </w:r>
      <w:r w:rsidRPr="007E3F08">
        <w:t>, za predchádzajúce účtovné obdobie, bola schválená va</w:t>
      </w:r>
      <w:r w:rsidR="00F75203" w:rsidRPr="007E3F08">
        <w:t xml:space="preserve">lným zhromaždením Spoločnosti </w:t>
      </w:r>
      <w:r w:rsidR="007E3F08" w:rsidRPr="007E3F08">
        <w:t>30</w:t>
      </w:r>
      <w:r w:rsidRPr="007E3F08">
        <w:t>.</w:t>
      </w:r>
      <w:r w:rsidR="007E3F08" w:rsidRPr="007E3F08">
        <w:t xml:space="preserve"> decembra</w:t>
      </w:r>
      <w:r w:rsidRPr="007E3F08">
        <w:t xml:space="preserve"> 202</w:t>
      </w:r>
      <w:r w:rsidR="007E3F08" w:rsidRPr="007E3F08">
        <w:t>5</w:t>
      </w:r>
      <w:r w:rsidRPr="007E3F08">
        <w:t>.</w:t>
      </w:r>
      <w:r>
        <w:t xml:space="preserve"> </w:t>
      </w:r>
    </w:p>
    <w:p w14:paraId="78C4B9F0" w14:textId="77777777" w:rsidR="009018F4" w:rsidRDefault="00303284">
      <w:pPr>
        <w:pStyle w:val="Nadpis2"/>
        <w:tabs>
          <w:tab w:val="center" w:pos="427"/>
          <w:tab w:val="center" w:pos="2496"/>
        </w:tabs>
        <w:ind w:left="0" w:firstLine="0"/>
      </w:pPr>
      <w:r>
        <w:rPr>
          <w:rFonts w:ascii="Calibri" w:eastAsia="Calibri" w:hAnsi="Calibri" w:cs="Calibri"/>
          <w:b w:val="0"/>
          <w:sz w:val="22"/>
        </w:rPr>
        <w:tab/>
      </w:r>
      <w:r>
        <w:t>3.</w:t>
      </w:r>
      <w:r>
        <w:tab/>
        <w:t xml:space="preserve">Právny dôvod na zostavenie účtovnej závierky </w:t>
      </w:r>
    </w:p>
    <w:p w14:paraId="2E1E226D" w14:textId="02A88EF0" w:rsidR="009018F4" w:rsidRDefault="00303284">
      <w:pPr>
        <w:ind w:left="-5" w:right="10"/>
      </w:pPr>
      <w:r>
        <w:t>Účtovná závierka Spoločnosti k 31. decembru 202</w:t>
      </w:r>
      <w:r w:rsidR="00526E5C">
        <w:t>5</w:t>
      </w:r>
      <w:r>
        <w:t xml:space="preserve"> je zostavená ako riadna účtovná závierka podľa § 17 ods. 6 zákona NR SR č. 431/2002 Z. z. o účtovníctve (ďalej „zákon o účtovníctve“) za účtovné obdobie od 1. januára 202</w:t>
      </w:r>
      <w:r w:rsidR="00526E5C">
        <w:t>5</w:t>
      </w:r>
      <w:r w:rsidR="005E4A32">
        <w:t xml:space="preserve"> do 31. decembra 20</w:t>
      </w:r>
      <w:r w:rsidR="00526E5C">
        <w:t>25</w:t>
      </w:r>
      <w:r>
        <w:t xml:space="preserve">. </w:t>
      </w:r>
    </w:p>
    <w:p w14:paraId="5DD3B19B" w14:textId="77777777" w:rsidR="005E4A32" w:rsidRDefault="00303284">
      <w:pPr>
        <w:spacing w:after="160" w:line="298" w:lineRule="auto"/>
        <w:ind w:left="-5" w:right="10"/>
      </w:pPr>
      <w:r>
        <w:t xml:space="preserve">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 </w:t>
      </w:r>
    </w:p>
    <w:p w14:paraId="551B7B59" w14:textId="1D5175E8" w:rsidR="009018F4" w:rsidRDefault="00303284">
      <w:pPr>
        <w:spacing w:after="160" w:line="298" w:lineRule="auto"/>
        <w:ind w:left="-5" w:right="10"/>
      </w:pPr>
      <w:r>
        <w:rPr>
          <w:b/>
        </w:rPr>
        <w:t xml:space="preserve">4. Informácie o skupine </w:t>
      </w:r>
    </w:p>
    <w:p w14:paraId="1A57F7AD" w14:textId="77777777" w:rsidR="009018F4" w:rsidRDefault="00303284">
      <w:pPr>
        <w:ind w:left="-5" w:right="10"/>
      </w:pPr>
      <w:r>
        <w:t>Nie</w:t>
      </w:r>
    </w:p>
    <w:p w14:paraId="3BC5625E" w14:textId="77777777" w:rsidR="009018F4" w:rsidRDefault="00303284">
      <w:pPr>
        <w:numPr>
          <w:ilvl w:val="0"/>
          <w:numId w:val="1"/>
        </w:numPr>
        <w:spacing w:after="187" w:line="265" w:lineRule="auto"/>
        <w:ind w:hanging="360"/>
        <w:jc w:val="left"/>
      </w:pPr>
      <w:r>
        <w:rPr>
          <w:b/>
        </w:rPr>
        <w:t xml:space="preserve">Priemerný prepočítaný počet zamestnancov </w:t>
      </w:r>
    </w:p>
    <w:p w14:paraId="1E5B84AC" w14:textId="1A9E9B6E" w:rsidR="009018F4" w:rsidRDefault="00303284">
      <w:pPr>
        <w:ind w:left="-5" w:right="10"/>
      </w:pPr>
      <w:r>
        <w:t xml:space="preserve">Priemerný prepočítaný počet zamestnancov Spoločnosti v účtovnom období </w:t>
      </w:r>
      <w:r w:rsidRPr="00A60214">
        <w:t>202</w:t>
      </w:r>
      <w:r w:rsidR="00526E5C">
        <w:t>5</w:t>
      </w:r>
      <w:r w:rsidRPr="00A60214">
        <w:t xml:space="preserve"> bol  </w:t>
      </w:r>
      <w:r w:rsidR="00F75203" w:rsidRPr="003F66E0">
        <w:t>10</w:t>
      </w:r>
      <w:r w:rsidR="00F75203">
        <w:t xml:space="preserve"> </w:t>
      </w:r>
      <w:r w:rsidRPr="00A60214">
        <w:t>(v účtovnom období 202</w:t>
      </w:r>
      <w:r w:rsidR="00526E5C">
        <w:t>4</w:t>
      </w:r>
      <w:r w:rsidRPr="00A60214">
        <w:t xml:space="preserve"> bol </w:t>
      </w:r>
      <w:r w:rsidR="00F75203">
        <w:t>1</w:t>
      </w:r>
      <w:r w:rsidR="00526E5C">
        <w:t>0</w:t>
      </w:r>
      <w:r w:rsidRPr="00A60214">
        <w:t>).</w:t>
      </w:r>
      <w:r>
        <w:t xml:space="preserve"> </w:t>
      </w:r>
    </w:p>
    <w:p w14:paraId="37FD69C4" w14:textId="77777777" w:rsidR="009018F4" w:rsidRDefault="00303284">
      <w:pPr>
        <w:numPr>
          <w:ilvl w:val="0"/>
          <w:numId w:val="1"/>
        </w:numPr>
        <w:spacing w:after="187" w:line="265" w:lineRule="auto"/>
        <w:ind w:hanging="360"/>
        <w:jc w:val="left"/>
      </w:pPr>
      <w:r>
        <w:rPr>
          <w:b/>
        </w:rPr>
        <w:t xml:space="preserve">Zverejnenie účtovnej závierky za predchádzajúce účtovné obdobie </w:t>
      </w:r>
    </w:p>
    <w:p w14:paraId="0FCF4F49" w14:textId="2C7C3474" w:rsidR="009018F4" w:rsidRDefault="00303284">
      <w:pPr>
        <w:ind w:left="-5" w:right="10"/>
      </w:pPr>
      <w:r w:rsidRPr="007E3F08">
        <w:t>Účtovná závierka Spoločnosti k 31. decembru 202</w:t>
      </w:r>
      <w:r w:rsidR="00526E5C" w:rsidRPr="007E3F08">
        <w:t>5</w:t>
      </w:r>
      <w:r w:rsidRPr="007E3F08">
        <w:t xml:space="preserve"> bola uložená d</w:t>
      </w:r>
      <w:r w:rsidR="00F75203" w:rsidRPr="007E3F08">
        <w:t xml:space="preserve">o registra účtovných závierok </w:t>
      </w:r>
      <w:r w:rsidR="00526E5C" w:rsidRPr="007E3F08">
        <w:t>30</w:t>
      </w:r>
      <w:r w:rsidRPr="007E3F08">
        <w:t>.</w:t>
      </w:r>
      <w:r w:rsidR="00526E5C" w:rsidRPr="007E3F08">
        <w:t xml:space="preserve"> júna</w:t>
      </w:r>
      <w:r w:rsidR="00F75203" w:rsidRPr="007E3F08">
        <w:t xml:space="preserve"> </w:t>
      </w:r>
      <w:r w:rsidRPr="007E3F08">
        <w:t>2</w:t>
      </w:r>
      <w:r w:rsidR="00F75203" w:rsidRPr="007E3F08">
        <w:t>02</w:t>
      </w:r>
      <w:r w:rsidR="00526E5C" w:rsidRPr="007E3F08">
        <w:t>6</w:t>
      </w:r>
      <w:r w:rsidRPr="007E3F08">
        <w:t>.</w:t>
      </w:r>
      <w:r>
        <w:t xml:space="preserve"> </w:t>
      </w:r>
    </w:p>
    <w:p w14:paraId="1F215726" w14:textId="77777777" w:rsidR="009018F4" w:rsidRDefault="00303284">
      <w:pPr>
        <w:numPr>
          <w:ilvl w:val="0"/>
          <w:numId w:val="1"/>
        </w:numPr>
        <w:spacing w:after="187" w:line="265" w:lineRule="auto"/>
        <w:ind w:hanging="360"/>
        <w:jc w:val="left"/>
      </w:pPr>
      <w:r>
        <w:rPr>
          <w:b/>
        </w:rPr>
        <w:t xml:space="preserve">Schválenie audítora </w:t>
      </w:r>
    </w:p>
    <w:p w14:paraId="5D19060C" w14:textId="77777777" w:rsidR="009018F4" w:rsidRDefault="00303284">
      <w:pPr>
        <w:spacing w:after="403"/>
        <w:ind w:left="-5" w:right="10"/>
      </w:pPr>
      <w:r>
        <w:t>Nie</w:t>
      </w:r>
    </w:p>
    <w:p w14:paraId="2409F1DF" w14:textId="77777777" w:rsidR="009018F4" w:rsidRDefault="00303284">
      <w:pPr>
        <w:pStyle w:val="Nadpis1"/>
        <w:tabs>
          <w:tab w:val="center" w:pos="2713"/>
        </w:tabs>
        <w:spacing w:after="427"/>
        <w:ind w:left="0" w:firstLine="0"/>
      </w:pPr>
      <w:r>
        <w:t>B.</w:t>
      </w:r>
      <w:r>
        <w:tab/>
        <w:t xml:space="preserve">INFORMÁCIE O ORGÁNOCH ÚČTOVNEJ JEDNOTKY </w:t>
      </w:r>
    </w:p>
    <w:p w14:paraId="2C90C6FD" w14:textId="77777777" w:rsidR="009018F4" w:rsidRDefault="00303284">
      <w:pPr>
        <w:tabs>
          <w:tab w:val="center" w:pos="1137"/>
          <w:tab w:val="center" w:pos="2399"/>
        </w:tabs>
        <w:spacing w:after="264"/>
        <w:ind w:left="0" w:firstLine="0"/>
        <w:jc w:val="left"/>
      </w:pPr>
      <w:r>
        <w:rPr>
          <w:rFonts w:ascii="Calibri" w:eastAsia="Calibri" w:hAnsi="Calibri" w:cs="Calibri"/>
          <w:sz w:val="22"/>
        </w:rPr>
        <w:tab/>
      </w:r>
      <w:r>
        <w:t>Mgr. Roman Tlčina</w:t>
      </w:r>
      <w:r>
        <w:tab/>
        <w:t xml:space="preserve">konateľ </w:t>
      </w:r>
    </w:p>
    <w:p w14:paraId="492E9C9F" w14:textId="012615C5" w:rsidR="009018F4" w:rsidRDefault="00303284">
      <w:pPr>
        <w:ind w:left="-5" w:right="10"/>
      </w:pPr>
      <w:r>
        <w:t>Členom štatutárneho orgánu, ani členom dozorných orgánov neboli v roku 202</w:t>
      </w:r>
      <w:r w:rsidR="00F75203">
        <w:t>4</w:t>
      </w:r>
      <w:r>
        <w:t xml:space="preserve"> poskytnuté žiadne pôžičky, záruky alebo iné formy zabezpečenia, ani finančné prostriedky alebo iné plnenia na súkromné účely členov, ktoré sa vyúčtovávajú.</w:t>
      </w:r>
    </w:p>
    <w:p w14:paraId="5079B5F0" w14:textId="77777777" w:rsidR="00232089" w:rsidRDefault="00232089">
      <w:pPr>
        <w:ind w:left="-5" w:right="10"/>
      </w:pPr>
    </w:p>
    <w:p w14:paraId="6D020F46" w14:textId="77777777" w:rsidR="00377A0E" w:rsidRDefault="00377A0E">
      <w:pPr>
        <w:pStyle w:val="Nadpis2"/>
        <w:tabs>
          <w:tab w:val="center" w:pos="2918"/>
        </w:tabs>
        <w:spacing w:after="432"/>
        <w:ind w:left="0" w:firstLine="0"/>
      </w:pPr>
    </w:p>
    <w:p w14:paraId="1C3B48E5" w14:textId="77777777" w:rsidR="009018F4" w:rsidRDefault="00303284">
      <w:pPr>
        <w:pStyle w:val="Nadpis2"/>
        <w:tabs>
          <w:tab w:val="center" w:pos="2918"/>
        </w:tabs>
        <w:spacing w:after="432"/>
        <w:ind w:left="0" w:firstLine="0"/>
      </w:pPr>
      <w:r>
        <w:t>C.</w:t>
      </w:r>
      <w:r>
        <w:tab/>
        <w:t xml:space="preserve">INFORMÁCIE O SPOLOČNÍKOCH ÚČTOVNEJ JEDNOTKY </w:t>
      </w:r>
    </w:p>
    <w:p w14:paraId="4C1BED47" w14:textId="331DDFD1" w:rsidR="00417E64" w:rsidRDefault="00377A0E" w:rsidP="00417E64">
      <w:pPr>
        <w:spacing w:after="262"/>
        <w:ind w:left="-5" w:right="10"/>
      </w:pPr>
      <w:r>
        <w:t>K 31. decembru 202</w:t>
      </w:r>
      <w:r w:rsidR="00EF38B3">
        <w:t>5</w:t>
      </w:r>
      <w:r w:rsidR="00417E64">
        <w:t xml:space="preserve"> štruktúra spoločníkov je takáto</w:t>
      </w:r>
      <w:r w:rsidR="00417E64">
        <w:rPr>
          <w:sz w:val="20"/>
        </w:rPr>
        <w:t xml:space="preserve">: </w:t>
      </w:r>
    </w:p>
    <w:p w14:paraId="666A9F19" w14:textId="77777777" w:rsidR="00417E64" w:rsidRDefault="00417E64" w:rsidP="00417E64">
      <w:pPr>
        <w:spacing w:after="0" w:line="330" w:lineRule="auto"/>
        <w:ind w:left="6515" w:right="462" w:hanging="6514"/>
        <w:jc w:val="left"/>
        <w:rPr>
          <w:sz w:val="19"/>
        </w:rPr>
      </w:pPr>
      <w:r>
        <w:rPr>
          <w:sz w:val="19"/>
        </w:rPr>
        <w:t>Spoločník, akcionár               Výška podielu na základnom imaní          Podiel na</w:t>
      </w:r>
      <w:r>
        <w:rPr>
          <w:sz w:val="19"/>
        </w:rPr>
        <w:tab/>
        <w:t xml:space="preserve">Iný podiel na </w:t>
      </w:r>
    </w:p>
    <w:p w14:paraId="236667E9" w14:textId="77777777" w:rsidR="00417E64" w:rsidRDefault="00417E64" w:rsidP="00417E64">
      <w:pPr>
        <w:spacing w:after="0" w:line="330" w:lineRule="auto"/>
        <w:ind w:left="6515" w:right="462" w:hanging="6514"/>
        <w:jc w:val="left"/>
        <w:rPr>
          <w:sz w:val="19"/>
        </w:rPr>
      </w:pPr>
      <w:r>
        <w:rPr>
          <w:sz w:val="19"/>
        </w:rPr>
        <w:t xml:space="preserve">                                                                                                                hlasovacích</w:t>
      </w:r>
      <w:r>
        <w:rPr>
          <w:sz w:val="19"/>
        </w:rPr>
        <w:tab/>
        <w:t xml:space="preserve">  ostatných </w:t>
      </w:r>
    </w:p>
    <w:p w14:paraId="2AAD29B7" w14:textId="77777777" w:rsidR="00417E64" w:rsidRDefault="00417E64" w:rsidP="00417E64">
      <w:pPr>
        <w:spacing w:after="0" w:line="330" w:lineRule="auto"/>
        <w:ind w:left="6515" w:right="462" w:hanging="6514"/>
        <w:jc w:val="left"/>
        <w:rPr>
          <w:sz w:val="19"/>
        </w:rPr>
      </w:pPr>
      <w:r>
        <w:rPr>
          <w:sz w:val="19"/>
        </w:rPr>
        <w:t xml:space="preserve">                                                                                                                   právach</w:t>
      </w:r>
      <w:r>
        <w:rPr>
          <w:sz w:val="19"/>
        </w:rPr>
        <w:tab/>
        <w:t xml:space="preserve">položkách VI </w:t>
      </w:r>
    </w:p>
    <w:p w14:paraId="502623AD" w14:textId="77777777" w:rsidR="00417E64" w:rsidRDefault="00417E64" w:rsidP="00417E64">
      <w:pPr>
        <w:spacing w:after="0" w:line="330" w:lineRule="auto"/>
        <w:ind w:left="6515" w:right="462" w:hanging="6514"/>
        <w:jc w:val="left"/>
      </w:pPr>
      <w:r>
        <w:rPr>
          <w:sz w:val="19"/>
        </w:rPr>
        <w:t xml:space="preserve">                                                                                                                                            ako na ZI</w:t>
      </w:r>
    </w:p>
    <w:p w14:paraId="623387A6" w14:textId="77777777" w:rsidR="00417E64" w:rsidRDefault="00417E64" w:rsidP="00417E64">
      <w:pPr>
        <w:spacing w:after="0" w:line="259" w:lineRule="auto"/>
        <w:ind w:left="1354" w:right="942" w:firstLine="2700"/>
        <w:jc w:val="left"/>
        <w:rPr>
          <w:sz w:val="19"/>
        </w:rPr>
      </w:pPr>
      <w:r>
        <w:rPr>
          <w:sz w:val="19"/>
        </w:rPr>
        <w:t>absolútne</w:t>
      </w:r>
      <w:r>
        <w:rPr>
          <w:sz w:val="19"/>
        </w:rPr>
        <w:tab/>
        <w:t xml:space="preserve">    v %</w:t>
      </w:r>
      <w:r>
        <w:rPr>
          <w:sz w:val="19"/>
        </w:rPr>
        <w:tab/>
        <w:t xml:space="preserve">        v %</w:t>
      </w:r>
      <w:r>
        <w:rPr>
          <w:sz w:val="19"/>
        </w:rPr>
        <w:tab/>
        <w:t xml:space="preserve">         v % </w:t>
      </w:r>
    </w:p>
    <w:p w14:paraId="6DE7E968" w14:textId="77777777" w:rsidR="00417E64" w:rsidRDefault="00417E64" w:rsidP="00417E64">
      <w:pPr>
        <w:spacing w:after="0" w:line="259" w:lineRule="auto"/>
        <w:ind w:right="942"/>
        <w:jc w:val="left"/>
      </w:pPr>
      <w:r>
        <w:rPr>
          <w:sz w:val="19"/>
        </w:rPr>
        <w:t>a</w:t>
      </w:r>
      <w:r>
        <w:rPr>
          <w:sz w:val="19"/>
        </w:rPr>
        <w:tab/>
        <w:t xml:space="preserve">        </w:t>
      </w:r>
      <w:r>
        <w:rPr>
          <w:sz w:val="19"/>
        </w:rPr>
        <w:tab/>
        <w:t xml:space="preserve">                                                 b                 c</w:t>
      </w:r>
      <w:r>
        <w:rPr>
          <w:sz w:val="19"/>
        </w:rPr>
        <w:tab/>
        <w:t xml:space="preserve">           d</w:t>
      </w:r>
      <w:r>
        <w:rPr>
          <w:sz w:val="19"/>
        </w:rPr>
        <w:tab/>
        <w:t xml:space="preserve">         e</w:t>
      </w:r>
    </w:p>
    <w:tbl>
      <w:tblPr>
        <w:tblStyle w:val="TableGrid"/>
        <w:tblW w:w="8454" w:type="dxa"/>
        <w:tblInd w:w="-2" w:type="dxa"/>
        <w:tblLook w:val="04A0" w:firstRow="1" w:lastRow="0" w:firstColumn="1" w:lastColumn="0" w:noHBand="0" w:noVBand="1"/>
      </w:tblPr>
      <w:tblGrid>
        <w:gridCol w:w="1955"/>
        <w:gridCol w:w="7109"/>
      </w:tblGrid>
      <w:tr w:rsidR="00417E64" w14:paraId="7342362A" w14:textId="77777777" w:rsidTr="00341AD8">
        <w:trPr>
          <w:trHeight w:val="899"/>
        </w:trPr>
        <w:tc>
          <w:tcPr>
            <w:tcW w:w="2992" w:type="dxa"/>
            <w:tcBorders>
              <w:top w:val="nil"/>
              <w:left w:val="nil"/>
              <w:bottom w:val="nil"/>
              <w:right w:val="nil"/>
            </w:tcBorders>
          </w:tcPr>
          <w:p w14:paraId="74F22F84" w14:textId="77777777" w:rsidR="00417E64" w:rsidRDefault="00417E64" w:rsidP="00341AD8">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4E24E830" wp14:editId="78EC5346">
                      <wp:extent cx="1765313" cy="374003"/>
                      <wp:effectExtent l="0" t="0" r="0" b="0"/>
                      <wp:docPr id="8413" name="Group 8413"/>
                      <wp:cNvGraphicFramePr/>
                      <a:graphic xmlns:a="http://schemas.openxmlformats.org/drawingml/2006/main">
                        <a:graphicData uri="http://schemas.microsoft.com/office/word/2010/wordprocessingGroup">
                          <wpg:wgp>
                            <wpg:cNvGrpSpPr/>
                            <wpg:grpSpPr>
                              <a:xfrm>
                                <a:off x="0" y="0"/>
                                <a:ext cx="1765313" cy="374003"/>
                                <a:chOff x="0" y="0"/>
                                <a:chExt cx="1765313" cy="374003"/>
                              </a:xfrm>
                            </wpg:grpSpPr>
                            <wps:wsp>
                              <wps:cNvPr id="79" name="Shape 79"/>
                              <wps:cNvSpPr/>
                              <wps:spPr>
                                <a:xfrm>
                                  <a:off x="0" y="0"/>
                                  <a:ext cx="1765313" cy="0"/>
                                </a:xfrm>
                                <a:custGeom>
                                  <a:avLst/>
                                  <a:gdLst/>
                                  <a:ahLst/>
                                  <a:cxnLst/>
                                  <a:rect l="0" t="0" r="0" b="0"/>
                                  <a:pathLst>
                                    <a:path w="1765313">
                                      <a:moveTo>
                                        <a:pt x="0" y="0"/>
                                      </a:moveTo>
                                      <a:lnTo>
                                        <a:pt x="1765313" y="0"/>
                                      </a:lnTo>
                                    </a:path>
                                  </a:pathLst>
                                </a:custGeom>
                                <a:noFill/>
                                <a:ln w="22812" cap="flat" cmpd="sng" algn="ctr">
                                  <a:solidFill>
                                    <a:srgbClr val="000000"/>
                                  </a:solidFill>
                                  <a:prstDash val="solid"/>
                                  <a:round/>
                                </a:ln>
                                <a:effectLst/>
                              </wps:spPr>
                              <wps:bodyPr/>
                            </wps:wsp>
                            <wps:wsp>
                              <wps:cNvPr id="81" name="Shape 81"/>
                              <wps:cNvSpPr/>
                              <wps:spPr>
                                <a:xfrm>
                                  <a:off x="0" y="186995"/>
                                  <a:ext cx="1765313" cy="0"/>
                                </a:xfrm>
                                <a:custGeom>
                                  <a:avLst/>
                                  <a:gdLst/>
                                  <a:ahLst/>
                                  <a:cxnLst/>
                                  <a:rect l="0" t="0" r="0" b="0"/>
                                  <a:pathLst>
                                    <a:path w="1765313">
                                      <a:moveTo>
                                        <a:pt x="0" y="0"/>
                                      </a:moveTo>
                                      <a:lnTo>
                                        <a:pt x="1765313" y="0"/>
                                      </a:lnTo>
                                    </a:path>
                                  </a:pathLst>
                                </a:custGeom>
                                <a:noFill/>
                                <a:ln w="9837" cap="flat" cmpd="sng" algn="ctr">
                                  <a:solidFill>
                                    <a:srgbClr val="000000"/>
                                  </a:solidFill>
                                  <a:prstDash val="solid"/>
                                  <a:round/>
                                </a:ln>
                                <a:effectLst/>
                              </wps:spPr>
                              <wps:bodyPr/>
                            </wps:wsp>
                            <wps:wsp>
                              <wps:cNvPr id="83" name="Shape 83"/>
                              <wps:cNvSpPr/>
                              <wps:spPr>
                                <a:xfrm>
                                  <a:off x="0" y="374003"/>
                                  <a:ext cx="1765313" cy="0"/>
                                </a:xfrm>
                                <a:custGeom>
                                  <a:avLst/>
                                  <a:gdLst/>
                                  <a:ahLst/>
                                  <a:cxnLst/>
                                  <a:rect l="0" t="0" r="0" b="0"/>
                                  <a:pathLst>
                                    <a:path w="1765313">
                                      <a:moveTo>
                                        <a:pt x="0" y="0"/>
                                      </a:moveTo>
                                      <a:lnTo>
                                        <a:pt x="1765313" y="0"/>
                                      </a:lnTo>
                                    </a:path>
                                  </a:pathLst>
                                </a:custGeom>
                                <a:noFill/>
                                <a:ln w="9837" cap="flat" cmpd="sng" algn="ctr">
                                  <a:solidFill>
                                    <a:srgbClr val="000000"/>
                                  </a:solidFill>
                                  <a:prstDash val="solid"/>
                                  <a:round/>
                                </a:ln>
                                <a:effectLst/>
                              </wps:spPr>
                              <wps:bodyPr/>
                            </wps:wsp>
                            <wps:wsp>
                              <wps:cNvPr id="105" name="Rectangle 105"/>
                              <wps:cNvSpPr/>
                              <wps:spPr>
                                <a:xfrm>
                                  <a:off x="11519" y="39632"/>
                                  <a:ext cx="1113198" cy="174129"/>
                                </a:xfrm>
                                <a:prstGeom prst="rect">
                                  <a:avLst/>
                                </a:prstGeom>
                                <a:ln>
                                  <a:noFill/>
                                </a:ln>
                              </wps:spPr>
                              <wps:txbx>
                                <w:txbxContent>
                                  <w:p w14:paraId="5B04396D" w14:textId="77777777" w:rsidR="00417E64" w:rsidRDefault="00417E64" w:rsidP="00417E64">
                                    <w:pPr>
                                      <w:spacing w:after="160" w:line="259" w:lineRule="auto"/>
                                      <w:ind w:left="0" w:firstLine="0"/>
                                      <w:jc w:val="left"/>
                                    </w:pPr>
                                    <w:r>
                                      <w:rPr>
                                        <w:sz w:val="19"/>
                                      </w:rPr>
                                      <w:t>Mgr. Roman Tlčina</w:t>
                                    </w:r>
                                  </w:p>
                                </w:txbxContent>
                              </wps:txbx>
                              <wps:bodyPr horzOverflow="overflow" vert="horz" lIns="0" tIns="0" rIns="0" bIns="0" rtlCol="0">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24E830" id="Group 8413" o:spid="_x0000_s1026" style="width:139pt;height:29.45pt;mso-position-horizontal-relative:char;mso-position-vertical-relative:line" coordsize="17653,3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">
                      <v:shape id="Shape 79" o:spid="_x0000_s1027" style="position:absolute;width:17653;height:0;visibility:visible;mso-wrap-style:square;v-text-anchor:top" coordsize="1765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" path="m,l1765313,e" filled="f" strokeweight=".63367mm">
                        <v:path arrowok="t" textboxrect="0,0,1765313,0"/>
                      </v:shape>
                      <v:shape id="Shape 81" o:spid="_x0000_s1028" style="position:absolute;top:1869;width:17653;height:0;visibility:visible;mso-wrap-style:square;v-text-anchor:top" coordsize="1765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" path="m,l1765313,e" filled="f" strokeweight=".27325mm">
                        <v:path arrowok="t" textboxrect="0,0,1765313,0"/>
                      </v:shape>
                      <v:shape id="Shape 83" o:spid="_x0000_s1029" style="position:absolute;top:3740;width:17653;height:0;visibility:visible;mso-wrap-style:square;v-text-anchor:top" coordsize="1765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" path="m,l1765313,e" filled="f" strokeweight=".27325mm">
                        <v:path arrowok="t" textboxrect="0,0,1765313,0"/>
                      </v:shape>
                      <v:rect id="Rectangle 105" o:spid="_x0000_s1030" style="position:absolute;left:115;top:396;width:11132;height:1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5B04396D" w14:textId="77777777" w:rsidR="00417E64" w:rsidRDefault="00417E64" w:rsidP="00417E64">
                              <w:pPr>
                                <w:spacing w:after="160" w:line="259" w:lineRule="auto"/>
                                <w:ind w:left="0" w:firstLine="0"/>
                                <w:jc w:val="left"/>
                              </w:pPr>
                              <w:r>
                                <w:rPr>
                                  <w:sz w:val="19"/>
                                </w:rPr>
                                <w:t>Mgr. Roman Tlčina</w:t>
                              </w:r>
                            </w:p>
                          </w:txbxContent>
                        </v:textbox>
                      </v:rect>
                      <w10:anchorlock/>
                    </v:group>
                  </w:pict>
                </mc:Fallback>
              </mc:AlternateContent>
            </w:r>
          </w:p>
        </w:tc>
        <w:tc>
          <w:tcPr>
            <w:tcW w:w="5462" w:type="dxa"/>
            <w:tcBorders>
              <w:top w:val="nil"/>
              <w:left w:val="nil"/>
              <w:bottom w:val="nil"/>
              <w:right w:val="nil"/>
            </w:tcBorders>
          </w:tcPr>
          <w:p w14:paraId="0A15DB29" w14:textId="77777777" w:rsidR="00417E64" w:rsidRDefault="00417E64" w:rsidP="00341AD8">
            <w:pPr>
              <w:spacing w:after="0" w:line="259" w:lineRule="auto"/>
              <w:ind w:left="-4410" w:right="9871" w:firstLine="0"/>
              <w:jc w:val="left"/>
            </w:pPr>
          </w:p>
          <w:tbl>
            <w:tblPr>
              <w:tblStyle w:val="TableGrid"/>
              <w:tblW w:w="5250" w:type="dxa"/>
              <w:tblInd w:w="212" w:type="dxa"/>
              <w:tblCellMar>
                <w:top w:w="59" w:type="dxa"/>
                <w:right w:w="115" w:type="dxa"/>
              </w:tblCellMar>
              <w:tblLook w:val="04A0" w:firstRow="1" w:lastRow="0" w:firstColumn="1" w:lastColumn="0" w:noHBand="0" w:noVBand="1"/>
            </w:tblPr>
            <w:tblGrid>
              <w:gridCol w:w="2970"/>
              <w:gridCol w:w="928"/>
              <w:gridCol w:w="1352"/>
            </w:tblGrid>
            <w:tr w:rsidR="00417E64" w14:paraId="63A5A28E" w14:textId="77777777" w:rsidTr="00341AD8">
              <w:trPr>
                <w:trHeight w:val="294"/>
              </w:trPr>
              <w:tc>
                <w:tcPr>
                  <w:tcW w:w="2971" w:type="dxa"/>
                  <w:tcBorders>
                    <w:top w:val="single" w:sz="14" w:space="0" w:color="000000"/>
                    <w:left w:val="nil"/>
                    <w:bottom w:val="single" w:sz="6" w:space="0" w:color="000000"/>
                    <w:right w:val="nil"/>
                  </w:tcBorders>
                </w:tcPr>
                <w:p w14:paraId="03855F48" w14:textId="77777777" w:rsidR="00417E64" w:rsidRDefault="00417E64" w:rsidP="00341AD8">
                  <w:pPr>
                    <w:spacing w:after="0" w:line="259" w:lineRule="auto"/>
                    <w:ind w:left="1438" w:firstLine="0"/>
                    <w:jc w:val="center"/>
                  </w:pPr>
                  <w:r>
                    <w:rPr>
                      <w:sz w:val="19"/>
                    </w:rPr>
                    <w:t>5000</w:t>
                  </w:r>
                </w:p>
              </w:tc>
              <w:tc>
                <w:tcPr>
                  <w:tcW w:w="928" w:type="dxa"/>
                  <w:tcBorders>
                    <w:top w:val="single" w:sz="14" w:space="0" w:color="000000"/>
                    <w:left w:val="nil"/>
                    <w:bottom w:val="single" w:sz="6" w:space="0" w:color="000000"/>
                    <w:right w:val="nil"/>
                  </w:tcBorders>
                </w:tcPr>
                <w:p w14:paraId="2EA50727" w14:textId="77777777" w:rsidR="00417E64" w:rsidRDefault="00417E64" w:rsidP="00341AD8">
                  <w:pPr>
                    <w:spacing w:after="0" w:line="259" w:lineRule="auto"/>
                    <w:ind w:left="0" w:firstLine="0"/>
                    <w:jc w:val="left"/>
                  </w:pPr>
                  <w:r>
                    <w:rPr>
                      <w:sz w:val="19"/>
                    </w:rPr>
                    <w:t>100</w:t>
                  </w:r>
                </w:p>
              </w:tc>
              <w:tc>
                <w:tcPr>
                  <w:tcW w:w="1352" w:type="dxa"/>
                  <w:tcBorders>
                    <w:top w:val="single" w:sz="14" w:space="0" w:color="000000"/>
                    <w:left w:val="nil"/>
                    <w:bottom w:val="single" w:sz="6" w:space="0" w:color="000000"/>
                    <w:right w:val="nil"/>
                  </w:tcBorders>
                </w:tcPr>
                <w:p w14:paraId="0C102D47" w14:textId="77777777" w:rsidR="00417E64" w:rsidRDefault="00417E64" w:rsidP="00341AD8">
                  <w:pPr>
                    <w:spacing w:after="0" w:line="259" w:lineRule="auto"/>
                    <w:ind w:left="0" w:firstLine="0"/>
                    <w:jc w:val="left"/>
                  </w:pPr>
                  <w:r>
                    <w:rPr>
                      <w:sz w:val="19"/>
                    </w:rPr>
                    <w:t>100          -</w:t>
                  </w:r>
                </w:p>
              </w:tc>
            </w:tr>
            <w:tr w:rsidR="00417E64" w14:paraId="0AAB0595" w14:textId="77777777" w:rsidTr="00341AD8">
              <w:trPr>
                <w:trHeight w:val="295"/>
              </w:trPr>
              <w:tc>
                <w:tcPr>
                  <w:tcW w:w="2971" w:type="dxa"/>
                  <w:tcBorders>
                    <w:top w:val="single" w:sz="6" w:space="0" w:color="000000"/>
                    <w:left w:val="nil"/>
                    <w:bottom w:val="single" w:sz="6" w:space="0" w:color="000000"/>
                    <w:right w:val="nil"/>
                  </w:tcBorders>
                </w:tcPr>
                <w:p w14:paraId="645A1067" w14:textId="77777777" w:rsidR="00417E64" w:rsidRDefault="00417E64" w:rsidP="00341AD8">
                  <w:pPr>
                    <w:spacing w:after="160" w:line="259" w:lineRule="auto"/>
                    <w:ind w:left="0" w:firstLine="0"/>
                    <w:jc w:val="left"/>
                  </w:pPr>
                </w:p>
              </w:tc>
              <w:tc>
                <w:tcPr>
                  <w:tcW w:w="928" w:type="dxa"/>
                  <w:tcBorders>
                    <w:top w:val="single" w:sz="6" w:space="0" w:color="000000"/>
                    <w:left w:val="nil"/>
                    <w:bottom w:val="single" w:sz="6" w:space="0" w:color="000000"/>
                    <w:right w:val="nil"/>
                  </w:tcBorders>
                </w:tcPr>
                <w:p w14:paraId="6E34320E" w14:textId="77777777" w:rsidR="00417E64" w:rsidRDefault="00417E64" w:rsidP="00341AD8">
                  <w:pPr>
                    <w:spacing w:after="160" w:line="259" w:lineRule="auto"/>
                    <w:ind w:left="0" w:firstLine="0"/>
                    <w:jc w:val="left"/>
                  </w:pPr>
                </w:p>
              </w:tc>
              <w:tc>
                <w:tcPr>
                  <w:tcW w:w="1352" w:type="dxa"/>
                  <w:tcBorders>
                    <w:top w:val="single" w:sz="6" w:space="0" w:color="000000"/>
                    <w:left w:val="nil"/>
                    <w:bottom w:val="single" w:sz="6" w:space="0" w:color="000000"/>
                    <w:right w:val="nil"/>
                  </w:tcBorders>
                </w:tcPr>
                <w:p w14:paraId="63713FD7" w14:textId="77777777" w:rsidR="00417E64" w:rsidRDefault="00417E64" w:rsidP="00341AD8">
                  <w:pPr>
                    <w:spacing w:after="0" w:line="259" w:lineRule="auto"/>
                    <w:ind w:left="388" w:firstLine="0"/>
                    <w:jc w:val="center"/>
                  </w:pPr>
                </w:p>
              </w:tc>
            </w:tr>
            <w:tr w:rsidR="00417E64" w14:paraId="252E6A30" w14:textId="77777777" w:rsidTr="00341AD8">
              <w:trPr>
                <w:trHeight w:val="310"/>
              </w:trPr>
              <w:tc>
                <w:tcPr>
                  <w:tcW w:w="2971" w:type="dxa"/>
                  <w:tcBorders>
                    <w:top w:val="single" w:sz="6" w:space="0" w:color="000000"/>
                    <w:left w:val="nil"/>
                    <w:bottom w:val="double" w:sz="6" w:space="0" w:color="000000"/>
                    <w:right w:val="nil"/>
                  </w:tcBorders>
                </w:tcPr>
                <w:p w14:paraId="5E01DCE0" w14:textId="77777777" w:rsidR="00417E64" w:rsidRDefault="00417E64" w:rsidP="00341AD8">
                  <w:pPr>
                    <w:spacing w:after="0" w:line="259" w:lineRule="auto"/>
                    <w:ind w:left="1268" w:firstLine="0"/>
                    <w:jc w:val="center"/>
                  </w:pPr>
                  <w:r>
                    <w:rPr>
                      <w:sz w:val="19"/>
                    </w:rPr>
                    <w:t xml:space="preserve"> 5 000 </w:t>
                  </w:r>
                </w:p>
              </w:tc>
              <w:tc>
                <w:tcPr>
                  <w:tcW w:w="928" w:type="dxa"/>
                  <w:tcBorders>
                    <w:top w:val="single" w:sz="6" w:space="0" w:color="000000"/>
                    <w:left w:val="nil"/>
                    <w:bottom w:val="double" w:sz="6" w:space="0" w:color="000000"/>
                    <w:right w:val="nil"/>
                  </w:tcBorders>
                </w:tcPr>
                <w:p w14:paraId="08835C9D" w14:textId="77777777" w:rsidR="00417E64" w:rsidRDefault="00417E64" w:rsidP="00341AD8">
                  <w:pPr>
                    <w:spacing w:after="0" w:line="259" w:lineRule="auto"/>
                    <w:ind w:left="0" w:firstLine="0"/>
                    <w:jc w:val="left"/>
                  </w:pPr>
                  <w:r>
                    <w:rPr>
                      <w:sz w:val="19"/>
                    </w:rPr>
                    <w:t>100</w:t>
                  </w:r>
                </w:p>
              </w:tc>
              <w:tc>
                <w:tcPr>
                  <w:tcW w:w="1352" w:type="dxa"/>
                  <w:tcBorders>
                    <w:top w:val="single" w:sz="6" w:space="0" w:color="000000"/>
                    <w:left w:val="nil"/>
                    <w:bottom w:val="double" w:sz="6" w:space="0" w:color="000000"/>
                    <w:right w:val="nil"/>
                  </w:tcBorders>
                </w:tcPr>
                <w:p w14:paraId="3284A158" w14:textId="77777777" w:rsidR="00417E64" w:rsidRDefault="00417E64" w:rsidP="00341AD8">
                  <w:pPr>
                    <w:tabs>
                      <w:tab w:val="center" w:pos="812"/>
                    </w:tabs>
                    <w:spacing w:after="0" w:line="259" w:lineRule="auto"/>
                    <w:ind w:left="0" w:firstLine="0"/>
                    <w:jc w:val="left"/>
                  </w:pPr>
                  <w:r>
                    <w:rPr>
                      <w:sz w:val="19"/>
                    </w:rPr>
                    <w:t>100</w:t>
                  </w:r>
                  <w:r>
                    <w:rPr>
                      <w:sz w:val="19"/>
                    </w:rPr>
                    <w:tab/>
                    <w:t>-</w:t>
                  </w:r>
                </w:p>
              </w:tc>
            </w:tr>
          </w:tbl>
          <w:p w14:paraId="00AC7647" w14:textId="77777777" w:rsidR="00417E64" w:rsidRDefault="00417E64" w:rsidP="00341AD8">
            <w:pPr>
              <w:spacing w:after="160" w:line="259" w:lineRule="auto"/>
              <w:ind w:left="0" w:firstLine="0"/>
              <w:jc w:val="left"/>
            </w:pPr>
          </w:p>
        </w:tc>
      </w:tr>
    </w:tbl>
    <w:p w14:paraId="613B76B7" w14:textId="77777777" w:rsidR="00417E64" w:rsidRDefault="00417E64" w:rsidP="00417E64"/>
    <w:p w14:paraId="0CAA86D1" w14:textId="77777777" w:rsidR="00417E64" w:rsidRDefault="00417E64">
      <w:pPr>
        <w:tabs>
          <w:tab w:val="center" w:pos="2241"/>
        </w:tabs>
        <w:spacing w:after="187" w:line="265" w:lineRule="auto"/>
        <w:ind w:left="0" w:firstLine="0"/>
        <w:jc w:val="left"/>
        <w:rPr>
          <w:b/>
        </w:rPr>
      </w:pPr>
    </w:p>
    <w:p w14:paraId="12577188" w14:textId="41F26F74" w:rsidR="009018F4" w:rsidRDefault="00303284">
      <w:pPr>
        <w:tabs>
          <w:tab w:val="center" w:pos="2241"/>
        </w:tabs>
        <w:spacing w:after="187" w:line="265" w:lineRule="auto"/>
        <w:ind w:left="0" w:firstLine="0"/>
        <w:jc w:val="left"/>
      </w:pPr>
      <w:r>
        <w:rPr>
          <w:b/>
        </w:rPr>
        <w:t>D.</w:t>
      </w:r>
      <w:r>
        <w:rPr>
          <w:b/>
        </w:rPr>
        <w:tab/>
        <w:t xml:space="preserve">INFORMÁCIE O PRIJATÝCH POSTUPOCH </w:t>
      </w:r>
    </w:p>
    <w:p w14:paraId="3FAB34C4" w14:textId="77777777" w:rsidR="009018F4" w:rsidRDefault="00303284">
      <w:pPr>
        <w:pStyle w:val="Nadpis2"/>
        <w:tabs>
          <w:tab w:val="center" w:pos="427"/>
          <w:tab w:val="center" w:pos="2443"/>
        </w:tabs>
        <w:spacing w:after="397"/>
        <w:ind w:left="0" w:firstLine="0"/>
      </w:pPr>
      <w:r>
        <w:rPr>
          <w:rFonts w:ascii="Calibri" w:eastAsia="Calibri" w:hAnsi="Calibri" w:cs="Calibri"/>
          <w:b w:val="0"/>
          <w:sz w:val="22"/>
        </w:rPr>
        <w:tab/>
      </w:r>
      <w:r>
        <w:t>1.</w:t>
      </w:r>
      <w:r>
        <w:tab/>
        <w:t xml:space="preserve">Východiská pre zostavenie účtovnej závierky </w:t>
      </w:r>
    </w:p>
    <w:p w14:paraId="26140C2F" w14:textId="77777777" w:rsidR="009018F4" w:rsidRDefault="00303284">
      <w:pPr>
        <w:ind w:left="-5" w:right="10"/>
      </w:pPr>
      <w:r>
        <w:t>Účtovná závierka bola zostavená za predpokladu, že Spoločnosť bude nepretržite pokračovať vo svojej činnosti (</w:t>
      </w:r>
      <w:proofErr w:type="spellStart"/>
      <w:r>
        <w:t>going</w:t>
      </w:r>
      <w:proofErr w:type="spellEnd"/>
      <w:r>
        <w:t xml:space="preserve"> </w:t>
      </w:r>
      <w:proofErr w:type="spellStart"/>
      <w:r>
        <w:t>concern</w:t>
      </w:r>
      <w:proofErr w:type="spellEnd"/>
      <w:r>
        <w:t xml:space="preserve">). Účtovné metódy a všeobecné účtovné zásady boli účtovnou jednotkou konzistentne aplikované. </w:t>
      </w:r>
    </w:p>
    <w:p w14:paraId="6A243DC4" w14:textId="77777777" w:rsidR="009018F4" w:rsidRDefault="00303284">
      <w:pPr>
        <w:pStyle w:val="Nadpis2"/>
        <w:tabs>
          <w:tab w:val="center" w:pos="427"/>
          <w:tab w:val="center" w:pos="1797"/>
        </w:tabs>
        <w:spacing w:after="397"/>
        <w:ind w:left="0" w:firstLine="0"/>
      </w:pPr>
      <w:r>
        <w:rPr>
          <w:rFonts w:ascii="Calibri" w:eastAsia="Calibri" w:hAnsi="Calibri" w:cs="Calibri"/>
          <w:b w:val="0"/>
          <w:sz w:val="22"/>
        </w:rPr>
        <w:tab/>
      </w:r>
      <w:r>
        <w:t>2.</w:t>
      </w:r>
      <w:r>
        <w:tab/>
        <w:t xml:space="preserve">Použitie odhadov a úsudkov </w:t>
      </w:r>
    </w:p>
    <w:p w14:paraId="0B62681D" w14:textId="77777777" w:rsidR="009018F4" w:rsidRDefault="00303284">
      <w:pPr>
        <w:ind w:left="-5" w:right="10"/>
      </w:pPr>
      <w:r>
        <w:t xml:space="preserve">Zostavenie účtovnej závierky si vyžaduje, aby manažment Spoločnosti urobil úsudky, odhady a predpoklady, ktoré ovplyvňujú aplikáciu účtovných metód a účtovných zásad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preto môžu líšiť od odhadov. </w:t>
      </w:r>
    </w:p>
    <w:p w14:paraId="5940E731" w14:textId="77777777" w:rsidR="009018F4" w:rsidRDefault="00303284">
      <w:pPr>
        <w:ind w:left="-5" w:right="10"/>
      </w:pPr>
      <w:r>
        <w:t xml:space="preserve">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 </w:t>
      </w:r>
    </w:p>
    <w:p w14:paraId="29F227A8" w14:textId="77777777" w:rsidR="009018F4" w:rsidRDefault="00303284">
      <w:pPr>
        <w:pStyle w:val="Nadpis2"/>
        <w:spacing w:after="0" w:line="259" w:lineRule="auto"/>
        <w:ind w:left="-5"/>
      </w:pPr>
      <w:r>
        <w:rPr>
          <w:i/>
        </w:rPr>
        <w:t xml:space="preserve">Neistoty v odhadoch a predpokladoch </w:t>
      </w:r>
    </w:p>
    <w:p w14:paraId="49E81E3D" w14:textId="77777777" w:rsidR="009018F4" w:rsidRDefault="00303284">
      <w:pPr>
        <w:spacing w:after="441"/>
        <w:ind w:left="-5" w:right="10"/>
      </w:pPr>
      <w:r>
        <w:t xml:space="preserve">Spoločnosť neidentifikovala takú neistotu v odhadoch a predpokladoch, pri ktorej by existovalo signifikantné riziko, že by mohla viesť k ich významnej úprave v nasledujúcom účtovnom období. </w:t>
      </w:r>
    </w:p>
    <w:p w14:paraId="68DCEB91" w14:textId="77777777" w:rsidR="009018F4" w:rsidRDefault="00303284">
      <w:pPr>
        <w:pStyle w:val="Nadpis3"/>
        <w:tabs>
          <w:tab w:val="center" w:pos="427"/>
          <w:tab w:val="center" w:pos="2945"/>
        </w:tabs>
        <w:spacing w:after="397"/>
        <w:ind w:left="0" w:firstLine="0"/>
      </w:pPr>
      <w:r>
        <w:rPr>
          <w:rFonts w:ascii="Calibri" w:eastAsia="Calibri" w:hAnsi="Calibri" w:cs="Calibri"/>
          <w:b w:val="0"/>
          <w:sz w:val="22"/>
        </w:rPr>
        <w:tab/>
      </w:r>
      <w:r>
        <w:t>3.</w:t>
      </w:r>
      <w:r>
        <w:tab/>
        <w:t xml:space="preserve">Dlhodobý nehmotný majetok a dlhodobý hmotný majetok </w:t>
      </w:r>
    </w:p>
    <w:p w14:paraId="7E45F89B" w14:textId="77777777" w:rsidR="009018F4" w:rsidRDefault="00303284">
      <w:pPr>
        <w:ind w:left="-5" w:right="10"/>
      </w:pPr>
      <w:r>
        <w:t xml:space="preserve">Dlhodobý majetok nakupovaný sa oceňuje obstarávacou cenou, ktorá zahŕňa cenu obstarania a náklady súvisiace s obstaraním (clo, prepravu, montáž, poistné a pod.), zníženú o dobropisy, skontá, rabaty, zľavy z ceny, bonusy a pod. Súčasťou obstarávacej ceny dlhodobého majetku nie sú úroky z úverov, ktoré vznikli do momentu uvedenia dlhodobého majetku do používania. </w:t>
      </w:r>
    </w:p>
    <w:p w14:paraId="0310D776" w14:textId="77777777" w:rsidR="00377A0E" w:rsidRDefault="00377A0E">
      <w:pPr>
        <w:ind w:left="-5" w:right="10"/>
      </w:pPr>
    </w:p>
    <w:p w14:paraId="3826740D" w14:textId="77777777" w:rsidR="00377A0E" w:rsidRDefault="00377A0E">
      <w:pPr>
        <w:ind w:left="-5" w:right="10"/>
      </w:pPr>
    </w:p>
    <w:p w14:paraId="5D5F57D4" w14:textId="77777777" w:rsidR="009018F4" w:rsidRDefault="00303284">
      <w:pPr>
        <w:ind w:left="-5" w:right="10"/>
      </w:pPr>
      <w:r>
        <w:t xml:space="preserve">Dlhodobý majetok vytvorený vlastnou činnosťou sa oceňuje vlastnými nákladmi. Vlastnými nákladmi sú všetky priame náklady vynaložené na výrobu alebo inú činnosť a nepriame náklady, ktoré sa vzťahujú na výrobu alebo inú činnosť. Dlhodobý majetok nadobudnutý bezodplatne od spoločníkov sa účtuje bez vplyvu na výsledok hospodárenia priamo do vlastného imania na účet 413 – Ostatné kapitálové fondy, v ocenení reprodukčnou obstarávacou cenou. </w:t>
      </w:r>
    </w:p>
    <w:p w14:paraId="2DB9543B" w14:textId="77777777" w:rsidR="009018F4" w:rsidRDefault="00303284">
      <w:pPr>
        <w:ind w:left="-5" w:right="10"/>
      </w:pPr>
      <w:r>
        <w:t xml:space="preserve">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 </w:t>
      </w:r>
    </w:p>
    <w:p w14:paraId="39E12AB5" w14:textId="77777777" w:rsidR="009018F4" w:rsidRDefault="00303284">
      <w:pPr>
        <w:spacing w:after="6"/>
        <w:ind w:left="-5" w:right="10"/>
      </w:pPr>
      <w:r>
        <w:t xml:space="preserve">Náklady na výskum sa neaktivujú a účtujú sa do nákladov v účtovných obdobiach, v ktorých vznikli. Dlhodobý nehmotný majetok vytvorený vývojom alebo v priebehu jeho vývoja sa aktivuje, ak je možné preukázať: a) možnosť jeho technického dokončenia tak, že ho bude možné použiť alebo predať, </w:t>
      </w:r>
    </w:p>
    <w:p w14:paraId="0E304257" w14:textId="77777777" w:rsidR="009018F4" w:rsidRDefault="00303284">
      <w:pPr>
        <w:numPr>
          <w:ilvl w:val="0"/>
          <w:numId w:val="2"/>
        </w:numPr>
        <w:spacing w:after="8"/>
        <w:ind w:right="10" w:hanging="194"/>
      </w:pPr>
      <w:r>
        <w:t xml:space="preserve">zámer jeho dokončenia, používania alebo predaja, </w:t>
      </w:r>
    </w:p>
    <w:p w14:paraId="6C6DBC40" w14:textId="77777777" w:rsidR="009018F4" w:rsidRDefault="00303284">
      <w:pPr>
        <w:numPr>
          <w:ilvl w:val="0"/>
          <w:numId w:val="2"/>
        </w:numPr>
        <w:spacing w:after="8"/>
        <w:ind w:right="10" w:hanging="194"/>
      </w:pPr>
      <w:r>
        <w:t xml:space="preserve">schopnosť účtovnej jednotky jeho používania a predaja, </w:t>
      </w:r>
    </w:p>
    <w:p w14:paraId="48DBC961" w14:textId="77777777" w:rsidR="009018F4" w:rsidRDefault="00303284">
      <w:pPr>
        <w:numPr>
          <w:ilvl w:val="0"/>
          <w:numId w:val="2"/>
        </w:numPr>
        <w:spacing w:after="6"/>
        <w:ind w:right="10" w:hanging="194"/>
      </w:pPr>
      <w:r>
        <w:t xml:space="preserve">spôsob vytvárania budúcich ekonomických úžitkov a existenciu trhu pre výstupy dlhodobého nehmotného majetku </w:t>
      </w:r>
      <w:proofErr w:type="spellStart"/>
      <w:r>
        <w:t>alebopre</w:t>
      </w:r>
      <w:proofErr w:type="spellEnd"/>
      <w:r>
        <w:t xml:space="preserve"> dlhodobý nehmotný majetok sám o sebe, alebo, ak bude používaný vo vnútri účtovnej jednotky jeho použiteľnosť, </w:t>
      </w:r>
    </w:p>
    <w:p w14:paraId="32C957E5" w14:textId="77777777" w:rsidR="009018F4" w:rsidRDefault="00303284">
      <w:pPr>
        <w:numPr>
          <w:ilvl w:val="0"/>
          <w:numId w:val="2"/>
        </w:numPr>
        <w:spacing w:after="6"/>
        <w:ind w:right="10" w:hanging="194"/>
      </w:pPr>
      <w:r>
        <w:t xml:space="preserve">dostupnosť zodpovedajúcich technických zdrojov, finančných zdrojov a ostatných zdrojov pre dokončenie jeho </w:t>
      </w:r>
      <w:proofErr w:type="spellStart"/>
      <w:r>
        <w:t>vývoja,použitie</w:t>
      </w:r>
      <w:proofErr w:type="spellEnd"/>
      <w:r>
        <w:t xml:space="preserve"> alebo predaj, </w:t>
      </w:r>
    </w:p>
    <w:p w14:paraId="713DB4DF" w14:textId="77777777" w:rsidR="009018F4" w:rsidRDefault="00303284">
      <w:pPr>
        <w:numPr>
          <w:ilvl w:val="0"/>
          <w:numId w:val="2"/>
        </w:numPr>
        <w:ind w:right="10" w:hanging="194"/>
      </w:pPr>
      <w:r>
        <w:t xml:space="preserve">spoľahlivé ocenenie nákladov súvisiacich s jeho obstaraním v priebehu vývoja. </w:t>
      </w:r>
    </w:p>
    <w:p w14:paraId="6750B031" w14:textId="77777777" w:rsidR="009018F4" w:rsidRDefault="00303284">
      <w:pPr>
        <w:spacing w:after="0"/>
        <w:ind w:left="-5" w:right="10"/>
      </w:pPr>
      <w:r>
        <w:t xml:space="preserve">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 </w:t>
      </w:r>
    </w:p>
    <w:p w14:paraId="1D843845" w14:textId="77777777" w:rsidR="009018F4" w:rsidRDefault="00303284">
      <w:pPr>
        <w:spacing w:after="0"/>
        <w:ind w:left="-5" w:right="10"/>
      </w:pPr>
      <w:r>
        <w:t xml:space="preserve">Odpisy dlhodobého nehmotného majetku sú stanovené vychádzajúc z predpokladanej doby jeho používania a predpokladaného priebehu jeho opotrebenia. </w:t>
      </w:r>
    </w:p>
    <w:p w14:paraId="746F7B31" w14:textId="77777777" w:rsidR="009018F4" w:rsidRDefault="00303284">
      <w:pPr>
        <w:spacing w:after="406"/>
        <w:ind w:left="-5" w:right="10"/>
      </w:pPr>
      <w:r>
        <w:t xml:space="preserve">Odpisovať sa začína prvým dňom mesiaca nasledujúceho po uvedení dlhodobého majetku do používania. Drobný dlhodobý nehmotný majetok, ktorého obstarávacia cena (resp. vlastné náklady) je 2 400 EUR a nižšia, sa považuje za náklad a účtuje sa na účet 518 – Ostatné služby. </w:t>
      </w:r>
    </w:p>
    <w:tbl>
      <w:tblPr>
        <w:tblStyle w:val="TableGrid"/>
        <w:tblpPr w:vertAnchor="text" w:tblpX="18" w:tblpY="419"/>
        <w:tblOverlap w:val="never"/>
        <w:tblW w:w="8151" w:type="dxa"/>
        <w:tblInd w:w="0" w:type="dxa"/>
        <w:tblLook w:val="04A0" w:firstRow="1" w:lastRow="0" w:firstColumn="1" w:lastColumn="0" w:noHBand="0" w:noVBand="1"/>
      </w:tblPr>
      <w:tblGrid>
        <w:gridCol w:w="3898"/>
        <w:gridCol w:w="1338"/>
        <w:gridCol w:w="1790"/>
        <w:gridCol w:w="1125"/>
      </w:tblGrid>
      <w:tr w:rsidR="009018F4" w14:paraId="3753D9DF" w14:textId="77777777">
        <w:trPr>
          <w:trHeight w:val="209"/>
        </w:trPr>
        <w:tc>
          <w:tcPr>
            <w:tcW w:w="3898" w:type="dxa"/>
            <w:tcBorders>
              <w:top w:val="nil"/>
              <w:left w:val="nil"/>
              <w:bottom w:val="nil"/>
              <w:right w:val="nil"/>
            </w:tcBorders>
          </w:tcPr>
          <w:p w14:paraId="73D5F59E" w14:textId="77777777" w:rsidR="009018F4" w:rsidRDefault="009018F4">
            <w:pPr>
              <w:spacing w:after="160" w:line="259" w:lineRule="auto"/>
              <w:ind w:left="0" w:firstLine="0"/>
              <w:jc w:val="left"/>
            </w:pPr>
          </w:p>
        </w:tc>
        <w:tc>
          <w:tcPr>
            <w:tcW w:w="1338" w:type="dxa"/>
            <w:tcBorders>
              <w:top w:val="nil"/>
              <w:left w:val="nil"/>
              <w:bottom w:val="nil"/>
              <w:right w:val="nil"/>
            </w:tcBorders>
          </w:tcPr>
          <w:p w14:paraId="723CA11C" w14:textId="77777777" w:rsidR="009018F4" w:rsidRDefault="00303284">
            <w:pPr>
              <w:spacing w:after="0" w:line="259" w:lineRule="auto"/>
              <w:ind w:left="0" w:firstLine="0"/>
              <w:jc w:val="left"/>
            </w:pPr>
            <w:r>
              <w:rPr>
                <w:sz w:val="17"/>
              </w:rPr>
              <w:t xml:space="preserve">Predpokladaná </w:t>
            </w:r>
          </w:p>
        </w:tc>
        <w:tc>
          <w:tcPr>
            <w:tcW w:w="1790" w:type="dxa"/>
            <w:tcBorders>
              <w:top w:val="nil"/>
              <w:left w:val="nil"/>
              <w:bottom w:val="nil"/>
              <w:right w:val="nil"/>
            </w:tcBorders>
          </w:tcPr>
          <w:p w14:paraId="1AFDB2F9" w14:textId="77777777" w:rsidR="009018F4" w:rsidRDefault="00303284">
            <w:pPr>
              <w:spacing w:after="0" w:line="259" w:lineRule="auto"/>
              <w:ind w:left="378" w:firstLine="0"/>
              <w:jc w:val="left"/>
            </w:pPr>
            <w:r>
              <w:rPr>
                <w:sz w:val="17"/>
              </w:rPr>
              <w:t>Metóda</w:t>
            </w:r>
          </w:p>
        </w:tc>
        <w:tc>
          <w:tcPr>
            <w:tcW w:w="1125" w:type="dxa"/>
            <w:tcBorders>
              <w:top w:val="nil"/>
              <w:left w:val="nil"/>
              <w:bottom w:val="nil"/>
              <w:right w:val="nil"/>
            </w:tcBorders>
          </w:tcPr>
          <w:p w14:paraId="11C7C16B" w14:textId="77777777" w:rsidR="009018F4" w:rsidRDefault="00303284">
            <w:pPr>
              <w:spacing w:after="0" w:line="259" w:lineRule="auto"/>
              <w:ind w:left="0" w:firstLine="0"/>
            </w:pPr>
            <w:r>
              <w:rPr>
                <w:sz w:val="17"/>
              </w:rPr>
              <w:t>Ročná odpisová</w:t>
            </w:r>
          </w:p>
        </w:tc>
      </w:tr>
      <w:tr w:rsidR="009018F4" w14:paraId="77E35CBE" w14:textId="77777777">
        <w:trPr>
          <w:trHeight w:val="453"/>
        </w:trPr>
        <w:tc>
          <w:tcPr>
            <w:tcW w:w="3898" w:type="dxa"/>
            <w:tcBorders>
              <w:top w:val="nil"/>
              <w:left w:val="nil"/>
              <w:bottom w:val="nil"/>
              <w:right w:val="nil"/>
            </w:tcBorders>
          </w:tcPr>
          <w:p w14:paraId="26DA1C1A" w14:textId="77777777" w:rsidR="009018F4" w:rsidRDefault="009018F4">
            <w:pPr>
              <w:spacing w:after="160" w:line="259" w:lineRule="auto"/>
              <w:ind w:left="0" w:firstLine="0"/>
              <w:jc w:val="left"/>
            </w:pPr>
          </w:p>
        </w:tc>
        <w:tc>
          <w:tcPr>
            <w:tcW w:w="1338" w:type="dxa"/>
            <w:tcBorders>
              <w:top w:val="nil"/>
              <w:left w:val="nil"/>
              <w:bottom w:val="nil"/>
              <w:right w:val="nil"/>
            </w:tcBorders>
          </w:tcPr>
          <w:p w14:paraId="1874CDFD" w14:textId="77777777" w:rsidR="009018F4" w:rsidRDefault="00303284">
            <w:pPr>
              <w:spacing w:after="0" w:line="259" w:lineRule="auto"/>
              <w:ind w:left="29" w:right="286" w:firstLine="0"/>
              <w:jc w:val="center"/>
            </w:pPr>
            <w:r>
              <w:rPr>
                <w:sz w:val="17"/>
              </w:rPr>
              <w:t>doba použitia v rokoch</w:t>
            </w:r>
          </w:p>
        </w:tc>
        <w:tc>
          <w:tcPr>
            <w:tcW w:w="1790" w:type="dxa"/>
            <w:tcBorders>
              <w:top w:val="nil"/>
              <w:left w:val="nil"/>
              <w:bottom w:val="nil"/>
              <w:right w:val="nil"/>
            </w:tcBorders>
          </w:tcPr>
          <w:p w14:paraId="540F33C2" w14:textId="77777777" w:rsidR="009018F4" w:rsidRDefault="00303284">
            <w:pPr>
              <w:spacing w:after="0" w:line="259" w:lineRule="auto"/>
              <w:ind w:left="222" w:firstLine="0"/>
              <w:jc w:val="left"/>
            </w:pPr>
            <w:r>
              <w:rPr>
                <w:sz w:val="17"/>
              </w:rPr>
              <w:t>odpisovania</w:t>
            </w:r>
          </w:p>
        </w:tc>
        <w:tc>
          <w:tcPr>
            <w:tcW w:w="1125" w:type="dxa"/>
            <w:tcBorders>
              <w:top w:val="nil"/>
              <w:left w:val="nil"/>
              <w:bottom w:val="nil"/>
              <w:right w:val="nil"/>
            </w:tcBorders>
          </w:tcPr>
          <w:p w14:paraId="664172F0" w14:textId="77777777" w:rsidR="009018F4" w:rsidRDefault="00303284">
            <w:pPr>
              <w:spacing w:after="0" w:line="259" w:lineRule="auto"/>
              <w:ind w:left="0" w:right="6" w:firstLine="0"/>
              <w:jc w:val="center"/>
            </w:pPr>
            <w:r>
              <w:rPr>
                <w:sz w:val="17"/>
              </w:rPr>
              <w:t>sadzba v %</w:t>
            </w:r>
          </w:p>
        </w:tc>
      </w:tr>
      <w:tr w:rsidR="009018F4" w14:paraId="63965A75" w14:textId="77777777">
        <w:trPr>
          <w:trHeight w:val="227"/>
        </w:trPr>
        <w:tc>
          <w:tcPr>
            <w:tcW w:w="3898" w:type="dxa"/>
            <w:tcBorders>
              <w:top w:val="nil"/>
              <w:left w:val="nil"/>
              <w:bottom w:val="nil"/>
              <w:right w:val="nil"/>
            </w:tcBorders>
          </w:tcPr>
          <w:p w14:paraId="6869D304" w14:textId="77777777" w:rsidR="009018F4" w:rsidRDefault="00303284">
            <w:pPr>
              <w:spacing w:after="0" w:line="259" w:lineRule="auto"/>
              <w:ind w:left="0" w:firstLine="0"/>
              <w:jc w:val="left"/>
            </w:pPr>
            <w:r>
              <w:rPr>
                <w:sz w:val="17"/>
              </w:rPr>
              <w:t>Aktivované náklady na vývoj</w:t>
            </w:r>
          </w:p>
        </w:tc>
        <w:tc>
          <w:tcPr>
            <w:tcW w:w="1338" w:type="dxa"/>
            <w:tcBorders>
              <w:top w:val="nil"/>
              <w:left w:val="nil"/>
              <w:bottom w:val="nil"/>
              <w:right w:val="nil"/>
            </w:tcBorders>
          </w:tcPr>
          <w:p w14:paraId="3ED1332B" w14:textId="77777777" w:rsidR="009018F4" w:rsidRDefault="00303284">
            <w:pPr>
              <w:spacing w:after="0" w:line="259" w:lineRule="auto"/>
              <w:ind w:left="494" w:firstLine="0"/>
              <w:jc w:val="left"/>
            </w:pPr>
            <w:r>
              <w:rPr>
                <w:sz w:val="17"/>
              </w:rPr>
              <w:t>5</w:t>
            </w:r>
          </w:p>
        </w:tc>
        <w:tc>
          <w:tcPr>
            <w:tcW w:w="1790" w:type="dxa"/>
            <w:tcBorders>
              <w:top w:val="nil"/>
              <w:left w:val="nil"/>
              <w:bottom w:val="nil"/>
              <w:right w:val="nil"/>
            </w:tcBorders>
          </w:tcPr>
          <w:p w14:paraId="7AA4D5FA" w14:textId="77777777" w:rsidR="009018F4" w:rsidRDefault="00303284">
            <w:pPr>
              <w:spacing w:after="0" w:line="259" w:lineRule="auto"/>
              <w:ind w:left="370" w:firstLine="0"/>
              <w:jc w:val="left"/>
            </w:pPr>
            <w:r>
              <w:rPr>
                <w:sz w:val="17"/>
              </w:rPr>
              <w:t>lineárna</w:t>
            </w:r>
          </w:p>
        </w:tc>
        <w:tc>
          <w:tcPr>
            <w:tcW w:w="1125" w:type="dxa"/>
            <w:tcBorders>
              <w:top w:val="nil"/>
              <w:left w:val="nil"/>
              <w:bottom w:val="nil"/>
              <w:right w:val="nil"/>
            </w:tcBorders>
          </w:tcPr>
          <w:p w14:paraId="20B1E477" w14:textId="77777777" w:rsidR="009018F4" w:rsidRDefault="00303284">
            <w:pPr>
              <w:spacing w:after="0" w:line="259" w:lineRule="auto"/>
              <w:ind w:left="0" w:right="4" w:firstLine="0"/>
              <w:jc w:val="center"/>
            </w:pPr>
            <w:r>
              <w:rPr>
                <w:sz w:val="17"/>
              </w:rPr>
              <w:t>20</w:t>
            </w:r>
          </w:p>
        </w:tc>
      </w:tr>
      <w:tr w:rsidR="009018F4" w14:paraId="77AEDD60" w14:textId="77777777">
        <w:trPr>
          <w:trHeight w:val="227"/>
        </w:trPr>
        <w:tc>
          <w:tcPr>
            <w:tcW w:w="3898" w:type="dxa"/>
            <w:tcBorders>
              <w:top w:val="nil"/>
              <w:left w:val="nil"/>
              <w:bottom w:val="nil"/>
              <w:right w:val="nil"/>
            </w:tcBorders>
          </w:tcPr>
          <w:p w14:paraId="1A19214F" w14:textId="77777777" w:rsidR="009018F4" w:rsidRDefault="00303284">
            <w:pPr>
              <w:spacing w:after="0" w:line="259" w:lineRule="auto"/>
              <w:ind w:left="0" w:firstLine="0"/>
              <w:jc w:val="left"/>
            </w:pPr>
            <w:r>
              <w:rPr>
                <w:sz w:val="17"/>
              </w:rPr>
              <w:t>Softvér</w:t>
            </w:r>
          </w:p>
        </w:tc>
        <w:tc>
          <w:tcPr>
            <w:tcW w:w="1338" w:type="dxa"/>
            <w:tcBorders>
              <w:top w:val="nil"/>
              <w:left w:val="nil"/>
              <w:bottom w:val="nil"/>
              <w:right w:val="nil"/>
            </w:tcBorders>
          </w:tcPr>
          <w:p w14:paraId="511F8F44" w14:textId="77777777" w:rsidR="009018F4" w:rsidRDefault="00303284">
            <w:pPr>
              <w:spacing w:after="0" w:line="259" w:lineRule="auto"/>
              <w:ind w:left="494" w:firstLine="0"/>
              <w:jc w:val="left"/>
            </w:pPr>
            <w:r>
              <w:rPr>
                <w:sz w:val="17"/>
              </w:rPr>
              <w:t>4</w:t>
            </w:r>
          </w:p>
        </w:tc>
        <w:tc>
          <w:tcPr>
            <w:tcW w:w="1790" w:type="dxa"/>
            <w:tcBorders>
              <w:top w:val="nil"/>
              <w:left w:val="nil"/>
              <w:bottom w:val="nil"/>
              <w:right w:val="nil"/>
            </w:tcBorders>
          </w:tcPr>
          <w:p w14:paraId="42C80D0D" w14:textId="77777777" w:rsidR="009018F4" w:rsidRDefault="00303284">
            <w:pPr>
              <w:spacing w:after="0" w:line="259" w:lineRule="auto"/>
              <w:ind w:left="370" w:firstLine="0"/>
              <w:jc w:val="left"/>
            </w:pPr>
            <w:r>
              <w:rPr>
                <w:sz w:val="17"/>
              </w:rPr>
              <w:t>lineárna</w:t>
            </w:r>
          </w:p>
        </w:tc>
        <w:tc>
          <w:tcPr>
            <w:tcW w:w="1125" w:type="dxa"/>
            <w:tcBorders>
              <w:top w:val="nil"/>
              <w:left w:val="nil"/>
              <w:bottom w:val="nil"/>
              <w:right w:val="nil"/>
            </w:tcBorders>
          </w:tcPr>
          <w:p w14:paraId="0FA99467" w14:textId="77777777" w:rsidR="009018F4" w:rsidRDefault="00303284">
            <w:pPr>
              <w:spacing w:after="0" w:line="259" w:lineRule="auto"/>
              <w:ind w:left="0" w:right="4" w:firstLine="0"/>
              <w:jc w:val="center"/>
            </w:pPr>
            <w:r>
              <w:rPr>
                <w:sz w:val="17"/>
              </w:rPr>
              <w:t>25</w:t>
            </w:r>
          </w:p>
        </w:tc>
      </w:tr>
      <w:tr w:rsidR="009018F4" w14:paraId="4914C1D6" w14:textId="77777777">
        <w:trPr>
          <w:trHeight w:val="227"/>
        </w:trPr>
        <w:tc>
          <w:tcPr>
            <w:tcW w:w="3898" w:type="dxa"/>
            <w:tcBorders>
              <w:top w:val="nil"/>
              <w:left w:val="nil"/>
              <w:bottom w:val="nil"/>
              <w:right w:val="nil"/>
            </w:tcBorders>
          </w:tcPr>
          <w:p w14:paraId="0A6FA14B" w14:textId="77777777" w:rsidR="009018F4" w:rsidRDefault="00303284">
            <w:pPr>
              <w:spacing w:after="0" w:line="259" w:lineRule="auto"/>
              <w:ind w:left="0" w:firstLine="0"/>
              <w:jc w:val="left"/>
            </w:pPr>
            <w:r>
              <w:rPr>
                <w:sz w:val="17"/>
              </w:rPr>
              <w:t>Oceniteľné práva</w:t>
            </w:r>
          </w:p>
        </w:tc>
        <w:tc>
          <w:tcPr>
            <w:tcW w:w="1338" w:type="dxa"/>
            <w:tcBorders>
              <w:top w:val="nil"/>
              <w:left w:val="nil"/>
              <w:bottom w:val="nil"/>
              <w:right w:val="nil"/>
            </w:tcBorders>
          </w:tcPr>
          <w:p w14:paraId="778B5FA2" w14:textId="77777777" w:rsidR="009018F4" w:rsidRDefault="00303284">
            <w:pPr>
              <w:spacing w:after="0" w:line="259" w:lineRule="auto"/>
              <w:ind w:left="494" w:firstLine="0"/>
              <w:jc w:val="left"/>
            </w:pPr>
            <w:r>
              <w:rPr>
                <w:sz w:val="17"/>
              </w:rPr>
              <w:t>8</w:t>
            </w:r>
          </w:p>
        </w:tc>
        <w:tc>
          <w:tcPr>
            <w:tcW w:w="1790" w:type="dxa"/>
            <w:tcBorders>
              <w:top w:val="nil"/>
              <w:left w:val="nil"/>
              <w:bottom w:val="nil"/>
              <w:right w:val="nil"/>
            </w:tcBorders>
          </w:tcPr>
          <w:p w14:paraId="38E0BC31" w14:textId="77777777" w:rsidR="009018F4" w:rsidRDefault="00303284">
            <w:pPr>
              <w:spacing w:after="0" w:line="259" w:lineRule="auto"/>
              <w:ind w:left="370" w:firstLine="0"/>
              <w:jc w:val="left"/>
            </w:pPr>
            <w:r>
              <w:rPr>
                <w:sz w:val="17"/>
              </w:rPr>
              <w:t>lineárna</w:t>
            </w:r>
          </w:p>
        </w:tc>
        <w:tc>
          <w:tcPr>
            <w:tcW w:w="1125" w:type="dxa"/>
            <w:tcBorders>
              <w:top w:val="nil"/>
              <w:left w:val="nil"/>
              <w:bottom w:val="nil"/>
              <w:right w:val="nil"/>
            </w:tcBorders>
          </w:tcPr>
          <w:p w14:paraId="20A084D6" w14:textId="77777777" w:rsidR="009018F4" w:rsidRDefault="00303284">
            <w:pPr>
              <w:spacing w:after="0" w:line="259" w:lineRule="auto"/>
              <w:ind w:left="0" w:right="2" w:firstLine="0"/>
              <w:jc w:val="center"/>
            </w:pPr>
            <w:r>
              <w:rPr>
                <w:sz w:val="17"/>
              </w:rPr>
              <w:t>12,5</w:t>
            </w:r>
          </w:p>
        </w:tc>
      </w:tr>
      <w:tr w:rsidR="009018F4" w14:paraId="5F909C16" w14:textId="77777777">
        <w:trPr>
          <w:trHeight w:val="209"/>
        </w:trPr>
        <w:tc>
          <w:tcPr>
            <w:tcW w:w="3898" w:type="dxa"/>
            <w:tcBorders>
              <w:top w:val="nil"/>
              <w:left w:val="nil"/>
              <w:bottom w:val="nil"/>
              <w:right w:val="nil"/>
            </w:tcBorders>
          </w:tcPr>
          <w:p w14:paraId="3C5CFC25" w14:textId="77777777" w:rsidR="009018F4" w:rsidRDefault="00303284">
            <w:pPr>
              <w:spacing w:after="0" w:line="259" w:lineRule="auto"/>
              <w:ind w:left="0" w:firstLine="0"/>
              <w:jc w:val="left"/>
            </w:pPr>
            <w:r>
              <w:rPr>
                <w:sz w:val="17"/>
              </w:rPr>
              <w:t>Drobný dlhodobý nehmotný majetok</w:t>
            </w:r>
          </w:p>
        </w:tc>
        <w:tc>
          <w:tcPr>
            <w:tcW w:w="1338" w:type="dxa"/>
            <w:tcBorders>
              <w:top w:val="nil"/>
              <w:left w:val="nil"/>
              <w:bottom w:val="nil"/>
              <w:right w:val="nil"/>
            </w:tcBorders>
          </w:tcPr>
          <w:p w14:paraId="5641E345" w14:textId="77777777" w:rsidR="009018F4" w:rsidRDefault="00303284">
            <w:pPr>
              <w:spacing w:after="0" w:line="259" w:lineRule="auto"/>
              <w:ind w:left="348" w:firstLine="0"/>
              <w:jc w:val="left"/>
            </w:pPr>
            <w:r>
              <w:rPr>
                <w:sz w:val="17"/>
              </w:rPr>
              <w:t>rôzna</w:t>
            </w:r>
          </w:p>
        </w:tc>
        <w:tc>
          <w:tcPr>
            <w:tcW w:w="1790" w:type="dxa"/>
            <w:tcBorders>
              <w:top w:val="nil"/>
              <w:left w:val="nil"/>
              <w:bottom w:val="nil"/>
              <w:right w:val="nil"/>
            </w:tcBorders>
          </w:tcPr>
          <w:p w14:paraId="38B8A103" w14:textId="77777777" w:rsidR="009018F4" w:rsidRDefault="00303284">
            <w:pPr>
              <w:spacing w:after="0" w:line="259" w:lineRule="auto"/>
              <w:ind w:left="0" w:firstLine="0"/>
              <w:jc w:val="left"/>
            </w:pPr>
            <w:proofErr w:type="spellStart"/>
            <w:r>
              <w:rPr>
                <w:sz w:val="17"/>
              </w:rPr>
              <w:t>jednorázový</w:t>
            </w:r>
            <w:proofErr w:type="spellEnd"/>
            <w:r>
              <w:rPr>
                <w:sz w:val="17"/>
              </w:rPr>
              <w:t xml:space="preserve"> odpis</w:t>
            </w:r>
          </w:p>
        </w:tc>
        <w:tc>
          <w:tcPr>
            <w:tcW w:w="1125" w:type="dxa"/>
            <w:tcBorders>
              <w:top w:val="nil"/>
              <w:left w:val="nil"/>
              <w:bottom w:val="nil"/>
              <w:right w:val="nil"/>
            </w:tcBorders>
          </w:tcPr>
          <w:p w14:paraId="1E05CCDA" w14:textId="77777777" w:rsidR="009018F4" w:rsidRDefault="00303284">
            <w:pPr>
              <w:spacing w:after="0" w:line="259" w:lineRule="auto"/>
              <w:ind w:left="0" w:right="3" w:firstLine="0"/>
              <w:jc w:val="center"/>
            </w:pPr>
            <w:r>
              <w:rPr>
                <w:sz w:val="17"/>
              </w:rPr>
              <w:t>100</w:t>
            </w:r>
          </w:p>
        </w:tc>
      </w:tr>
    </w:tbl>
    <w:p w14:paraId="49C0F07A" w14:textId="77777777" w:rsidR="009018F4" w:rsidRDefault="00303284">
      <w:pPr>
        <w:spacing w:after="1985"/>
        <w:ind w:left="-5" w:right="1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F12E953" wp14:editId="238DEB66">
                <wp:simplePos x="0" y="0"/>
                <wp:positionH relativeFrom="column">
                  <wp:posOffset>-1396</wp:posOffset>
                </wp:positionH>
                <wp:positionV relativeFrom="paragraph">
                  <wp:posOffset>694716</wp:posOffset>
                </wp:positionV>
                <wp:extent cx="5402529" cy="21039"/>
                <wp:effectExtent l="0" t="0" r="0" b="0"/>
                <wp:wrapSquare wrapText="bothSides"/>
                <wp:docPr id="7905" name="Group 7905"/>
                <wp:cNvGraphicFramePr/>
                <a:graphic xmlns:a="http://schemas.openxmlformats.org/drawingml/2006/main">
                  <a:graphicData uri="http://schemas.microsoft.com/office/word/2010/wordprocessingGroup">
                    <wpg:wgp>
                      <wpg:cNvGrpSpPr/>
                      <wpg:grpSpPr>
                        <a:xfrm>
                          <a:off x="0" y="0"/>
                          <a:ext cx="5402529" cy="21039"/>
                          <a:chOff x="0" y="0"/>
                          <a:chExt cx="5402529" cy="21039"/>
                        </a:xfrm>
                      </wpg:grpSpPr>
                      <wps:wsp>
                        <wps:cNvPr id="186" name="Shape 186"/>
                        <wps:cNvSpPr/>
                        <wps:spPr>
                          <a:xfrm>
                            <a:off x="0" y="0"/>
                            <a:ext cx="5402529" cy="0"/>
                          </a:xfrm>
                          <a:custGeom>
                            <a:avLst/>
                            <a:gdLst/>
                            <a:ahLst/>
                            <a:cxnLst/>
                            <a:rect l="0" t="0" r="0" b="0"/>
                            <a:pathLst>
                              <a:path w="5402529">
                                <a:moveTo>
                                  <a:pt x="0" y="0"/>
                                </a:moveTo>
                                <a:lnTo>
                                  <a:pt x="5402529" y="0"/>
                                </a:lnTo>
                              </a:path>
                            </a:pathLst>
                          </a:custGeom>
                          <a:ln w="21039"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7905" style="width:425.396pt;height:1.65659pt;position:absolute;mso-position-horizontal-relative:text;mso-position-horizontal:absolute;margin-left:-0.110001pt;mso-position-vertical-relative:text;margin-top:54.702pt;" coordsize="54025,210">
                <v:shape id="Shape 186" style="position:absolute;width:54025;height:0;left:0;top:0;" coordsize="5402529,0" path="m0,0l5402529,0">
                  <v:stroke weight="1.65659pt" endcap="flat" joinstyle="round" on="true" color="#000000"/>
                  <v:fill on="false" color="#000000" opacity="0"/>
                </v:shape>
                <w10:wrap type="square"/>
              </v:group>
            </w:pict>
          </mc:Fallback>
        </mc:AlternateContent>
      </w:r>
      <w:r>
        <w:t>Predpokladaná doba používania, metóda odpisovania a odpisová sadzba sú uvedené v nasledujúcej tabuľke:</w:t>
      </w:r>
    </w:p>
    <w:p w14:paraId="09D65529" w14:textId="77777777" w:rsidR="009018F4" w:rsidRDefault="00303284">
      <w:pPr>
        <w:spacing w:after="0" w:line="259" w:lineRule="auto"/>
        <w:ind w:left="0" w:right="209" w:firstLine="0"/>
        <w:jc w:val="right"/>
      </w:pPr>
      <w:r>
        <w:t xml:space="preserve"> </w:t>
      </w:r>
    </w:p>
    <w:p w14:paraId="7E8DBB64" w14:textId="77777777" w:rsidR="009018F4" w:rsidRDefault="00303284">
      <w:pPr>
        <w:ind w:left="-5" w:right="10"/>
      </w:pPr>
      <w:r>
        <w:t xml:space="preserve">Metódy odpisovania, doby použiteľnosti a zostatkové hodnoty sa prehodnocujú ku dňu, ku ktorému sa zostavuje účtovná závierka, a ak je to potrebné, urobia sa úpravy. </w:t>
      </w:r>
    </w:p>
    <w:p w14:paraId="1E5ADFB2" w14:textId="77777777" w:rsidR="009018F4" w:rsidRDefault="00303284">
      <w:pPr>
        <w:ind w:left="-5" w:right="10"/>
      </w:pPr>
      <w:r>
        <w:t xml:space="preserve">Odpisy dlhodobého hmotného majetku sú stanovené vychádzajúc z predpokladanej doby jeho používania a predpokladaného priebehu jeho opotrebenia. </w:t>
      </w:r>
    </w:p>
    <w:p w14:paraId="1F446697" w14:textId="77777777" w:rsidR="009018F4" w:rsidRDefault="00303284">
      <w:pPr>
        <w:ind w:left="-5" w:right="10"/>
      </w:pPr>
      <w:r>
        <w:t xml:space="preserve">Odpisovať sa začína prvým dňom mesiaca nasledujúceho po uvedení dlhodobého majetku do používania. Drobný dlhodobý hmotný majetok, ktorého obstarávacia cena (resp. vlastné náklady) je 1 700 EUR a nižšia, sa považuje za zásoby a účtuje sa do nákladov pri jeho vydaní do spotreby. </w:t>
      </w:r>
    </w:p>
    <w:p w14:paraId="1E2067CE" w14:textId="77777777" w:rsidR="009018F4" w:rsidRDefault="00303284">
      <w:pPr>
        <w:ind w:left="-5" w:right="10"/>
      </w:pPr>
      <w:r>
        <w:t xml:space="preserve">Pozemky sa neodpisujú. </w:t>
      </w:r>
    </w:p>
    <w:p w14:paraId="51DCB6C3" w14:textId="77777777" w:rsidR="00232089" w:rsidRDefault="00232089">
      <w:pPr>
        <w:ind w:left="-5" w:right="10"/>
      </w:pPr>
    </w:p>
    <w:p w14:paraId="1B5C3B52" w14:textId="77777777" w:rsidR="00232089" w:rsidRDefault="00232089">
      <w:pPr>
        <w:ind w:left="-5" w:right="10"/>
      </w:pPr>
    </w:p>
    <w:p w14:paraId="3C5C8285" w14:textId="77777777" w:rsidR="00232089" w:rsidRDefault="00232089">
      <w:pPr>
        <w:ind w:left="-5" w:right="10"/>
      </w:pPr>
    </w:p>
    <w:p w14:paraId="4407F7F7" w14:textId="77777777" w:rsidR="00232089" w:rsidRDefault="00232089">
      <w:pPr>
        <w:ind w:left="-5" w:right="10"/>
      </w:pPr>
    </w:p>
    <w:tbl>
      <w:tblPr>
        <w:tblStyle w:val="TableGrid"/>
        <w:tblpPr w:vertAnchor="text" w:tblpX="18" w:tblpY="464"/>
        <w:tblOverlap w:val="never"/>
        <w:tblW w:w="8277" w:type="dxa"/>
        <w:tblInd w:w="0" w:type="dxa"/>
        <w:tblLook w:val="04A0" w:firstRow="1" w:lastRow="0" w:firstColumn="1" w:lastColumn="0" w:noHBand="0" w:noVBand="1"/>
      </w:tblPr>
      <w:tblGrid>
        <w:gridCol w:w="3853"/>
        <w:gridCol w:w="1476"/>
        <w:gridCol w:w="1846"/>
        <w:gridCol w:w="1102"/>
      </w:tblGrid>
      <w:tr w:rsidR="009018F4" w14:paraId="197C7DDE" w14:textId="77777777">
        <w:trPr>
          <w:trHeight w:val="243"/>
        </w:trPr>
        <w:tc>
          <w:tcPr>
            <w:tcW w:w="3852" w:type="dxa"/>
            <w:tcBorders>
              <w:top w:val="nil"/>
              <w:left w:val="nil"/>
              <w:bottom w:val="nil"/>
              <w:right w:val="nil"/>
            </w:tcBorders>
          </w:tcPr>
          <w:p w14:paraId="5C3AFF1C" w14:textId="77777777" w:rsidR="009018F4" w:rsidRDefault="009018F4">
            <w:pPr>
              <w:spacing w:after="160" w:line="259" w:lineRule="auto"/>
              <w:ind w:left="0" w:firstLine="0"/>
              <w:jc w:val="left"/>
            </w:pPr>
          </w:p>
        </w:tc>
        <w:tc>
          <w:tcPr>
            <w:tcW w:w="1476" w:type="dxa"/>
            <w:tcBorders>
              <w:top w:val="nil"/>
              <w:left w:val="nil"/>
              <w:bottom w:val="nil"/>
              <w:right w:val="nil"/>
            </w:tcBorders>
          </w:tcPr>
          <w:p w14:paraId="5E59B4A1" w14:textId="77777777" w:rsidR="009018F4" w:rsidRDefault="00303284">
            <w:pPr>
              <w:spacing w:after="0" w:line="259" w:lineRule="auto"/>
              <w:ind w:left="0" w:firstLine="0"/>
              <w:jc w:val="left"/>
            </w:pPr>
            <w:r>
              <w:t xml:space="preserve">Predpokladaná </w:t>
            </w:r>
          </w:p>
        </w:tc>
        <w:tc>
          <w:tcPr>
            <w:tcW w:w="1846" w:type="dxa"/>
            <w:tcBorders>
              <w:top w:val="nil"/>
              <w:left w:val="nil"/>
              <w:bottom w:val="nil"/>
              <w:right w:val="nil"/>
            </w:tcBorders>
          </w:tcPr>
          <w:p w14:paraId="32736E10" w14:textId="77777777" w:rsidR="009018F4" w:rsidRDefault="00303284">
            <w:pPr>
              <w:spacing w:after="0" w:line="259" w:lineRule="auto"/>
              <w:ind w:left="368" w:firstLine="0"/>
              <w:jc w:val="left"/>
            </w:pPr>
            <w:r>
              <w:t>Metóda</w:t>
            </w:r>
          </w:p>
        </w:tc>
        <w:tc>
          <w:tcPr>
            <w:tcW w:w="1102" w:type="dxa"/>
            <w:tcBorders>
              <w:top w:val="nil"/>
              <w:left w:val="nil"/>
              <w:bottom w:val="nil"/>
              <w:right w:val="nil"/>
            </w:tcBorders>
          </w:tcPr>
          <w:p w14:paraId="11523308" w14:textId="77777777" w:rsidR="009018F4" w:rsidRDefault="00303284">
            <w:pPr>
              <w:spacing w:after="0" w:line="259" w:lineRule="auto"/>
              <w:ind w:left="0" w:firstLine="0"/>
            </w:pPr>
            <w:r>
              <w:t>Ročná odpisová</w:t>
            </w:r>
          </w:p>
        </w:tc>
      </w:tr>
      <w:tr w:rsidR="009018F4" w14:paraId="485EB026" w14:textId="77777777">
        <w:trPr>
          <w:trHeight w:val="584"/>
        </w:trPr>
        <w:tc>
          <w:tcPr>
            <w:tcW w:w="3852" w:type="dxa"/>
            <w:tcBorders>
              <w:top w:val="nil"/>
              <w:left w:val="nil"/>
              <w:bottom w:val="nil"/>
              <w:right w:val="nil"/>
            </w:tcBorders>
          </w:tcPr>
          <w:p w14:paraId="57F57DD2" w14:textId="77777777" w:rsidR="009018F4" w:rsidRDefault="009018F4">
            <w:pPr>
              <w:spacing w:after="160" w:line="259" w:lineRule="auto"/>
              <w:ind w:left="0" w:firstLine="0"/>
              <w:jc w:val="left"/>
            </w:pPr>
          </w:p>
        </w:tc>
        <w:tc>
          <w:tcPr>
            <w:tcW w:w="1476" w:type="dxa"/>
            <w:tcBorders>
              <w:top w:val="nil"/>
              <w:left w:val="nil"/>
              <w:bottom w:val="nil"/>
              <w:right w:val="nil"/>
            </w:tcBorders>
          </w:tcPr>
          <w:p w14:paraId="7FE8C8C3" w14:textId="77777777" w:rsidR="009018F4" w:rsidRDefault="00303284">
            <w:pPr>
              <w:spacing w:after="0" w:line="259" w:lineRule="auto"/>
              <w:ind w:left="224" w:right="402" w:hanging="152"/>
            </w:pPr>
            <w:r>
              <w:t>doba použitia v rokoch</w:t>
            </w:r>
          </w:p>
        </w:tc>
        <w:tc>
          <w:tcPr>
            <w:tcW w:w="1846" w:type="dxa"/>
            <w:tcBorders>
              <w:top w:val="nil"/>
              <w:left w:val="nil"/>
              <w:bottom w:val="nil"/>
              <w:right w:val="nil"/>
            </w:tcBorders>
          </w:tcPr>
          <w:p w14:paraId="206ADB20" w14:textId="77777777" w:rsidR="009018F4" w:rsidRDefault="00303284">
            <w:pPr>
              <w:spacing w:after="0" w:line="259" w:lineRule="auto"/>
              <w:ind w:left="216" w:firstLine="0"/>
              <w:jc w:val="left"/>
            </w:pPr>
            <w:r>
              <w:t>odpisovania</w:t>
            </w:r>
          </w:p>
        </w:tc>
        <w:tc>
          <w:tcPr>
            <w:tcW w:w="1102" w:type="dxa"/>
            <w:tcBorders>
              <w:top w:val="nil"/>
              <w:left w:val="nil"/>
              <w:bottom w:val="nil"/>
              <w:right w:val="nil"/>
            </w:tcBorders>
          </w:tcPr>
          <w:p w14:paraId="3E651EE3" w14:textId="77777777" w:rsidR="009018F4" w:rsidRDefault="00303284">
            <w:pPr>
              <w:spacing w:after="0" w:line="259" w:lineRule="auto"/>
              <w:ind w:left="0" w:right="3" w:firstLine="0"/>
              <w:jc w:val="center"/>
            </w:pPr>
            <w:r>
              <w:t>sadzba v %</w:t>
            </w:r>
          </w:p>
        </w:tc>
      </w:tr>
      <w:tr w:rsidR="009018F4" w14:paraId="1CD0AB63" w14:textId="77777777">
        <w:trPr>
          <w:trHeight w:val="284"/>
        </w:trPr>
        <w:tc>
          <w:tcPr>
            <w:tcW w:w="3852" w:type="dxa"/>
            <w:tcBorders>
              <w:top w:val="nil"/>
              <w:left w:val="nil"/>
              <w:bottom w:val="nil"/>
              <w:right w:val="nil"/>
            </w:tcBorders>
          </w:tcPr>
          <w:p w14:paraId="739878CB" w14:textId="77777777" w:rsidR="009018F4" w:rsidRDefault="00303284">
            <w:pPr>
              <w:spacing w:after="0" w:line="259" w:lineRule="auto"/>
              <w:ind w:left="0" w:firstLine="0"/>
              <w:jc w:val="left"/>
            </w:pPr>
            <w:r>
              <w:t>Stavby</w:t>
            </w:r>
          </w:p>
        </w:tc>
        <w:tc>
          <w:tcPr>
            <w:tcW w:w="1476" w:type="dxa"/>
            <w:tcBorders>
              <w:top w:val="nil"/>
              <w:left w:val="nil"/>
              <w:bottom w:val="nil"/>
              <w:right w:val="nil"/>
            </w:tcBorders>
          </w:tcPr>
          <w:p w14:paraId="3B5EFF87" w14:textId="77777777" w:rsidR="009018F4" w:rsidRDefault="00303284">
            <w:pPr>
              <w:spacing w:after="0" w:line="259" w:lineRule="auto"/>
              <w:ind w:left="440" w:firstLine="0"/>
              <w:jc w:val="left"/>
            </w:pPr>
            <w:r>
              <w:t>40</w:t>
            </w:r>
          </w:p>
        </w:tc>
        <w:tc>
          <w:tcPr>
            <w:tcW w:w="1846" w:type="dxa"/>
            <w:tcBorders>
              <w:top w:val="nil"/>
              <w:left w:val="nil"/>
              <w:bottom w:val="nil"/>
              <w:right w:val="nil"/>
            </w:tcBorders>
          </w:tcPr>
          <w:p w14:paraId="467DBA94" w14:textId="77777777" w:rsidR="009018F4" w:rsidRDefault="00303284">
            <w:pPr>
              <w:spacing w:after="0" w:line="259" w:lineRule="auto"/>
              <w:ind w:left="360" w:firstLine="0"/>
              <w:jc w:val="left"/>
            </w:pPr>
            <w:r>
              <w:t>lineárna</w:t>
            </w:r>
          </w:p>
        </w:tc>
        <w:tc>
          <w:tcPr>
            <w:tcW w:w="1102" w:type="dxa"/>
            <w:tcBorders>
              <w:top w:val="nil"/>
              <w:left w:val="nil"/>
              <w:bottom w:val="nil"/>
              <w:right w:val="nil"/>
            </w:tcBorders>
          </w:tcPr>
          <w:p w14:paraId="606BA61E" w14:textId="77777777" w:rsidR="009018F4" w:rsidRDefault="00303284">
            <w:pPr>
              <w:spacing w:after="0" w:line="259" w:lineRule="auto"/>
              <w:ind w:left="0" w:right="7" w:firstLine="0"/>
              <w:jc w:val="center"/>
            </w:pPr>
            <w:r>
              <w:t>2,5</w:t>
            </w:r>
          </w:p>
        </w:tc>
      </w:tr>
      <w:tr w:rsidR="009018F4" w14:paraId="1F335241" w14:textId="77777777">
        <w:trPr>
          <w:trHeight w:val="284"/>
        </w:trPr>
        <w:tc>
          <w:tcPr>
            <w:tcW w:w="3852" w:type="dxa"/>
            <w:tcBorders>
              <w:top w:val="nil"/>
              <w:left w:val="nil"/>
              <w:bottom w:val="nil"/>
              <w:right w:val="nil"/>
            </w:tcBorders>
          </w:tcPr>
          <w:p w14:paraId="0C4BAA51" w14:textId="77777777" w:rsidR="009018F4" w:rsidRDefault="00303284">
            <w:pPr>
              <w:spacing w:after="0" w:line="259" w:lineRule="auto"/>
              <w:ind w:left="0" w:firstLine="0"/>
              <w:jc w:val="left"/>
            </w:pPr>
            <w:r>
              <w:t>Stroje, prístroje a zariadenia</w:t>
            </w:r>
          </w:p>
        </w:tc>
        <w:tc>
          <w:tcPr>
            <w:tcW w:w="1476" w:type="dxa"/>
            <w:tcBorders>
              <w:top w:val="nil"/>
              <w:left w:val="nil"/>
              <w:bottom w:val="nil"/>
              <w:right w:val="nil"/>
            </w:tcBorders>
          </w:tcPr>
          <w:p w14:paraId="4DD1A57D" w14:textId="77777777" w:rsidR="009018F4" w:rsidRDefault="00303284">
            <w:pPr>
              <w:spacing w:after="0" w:line="259" w:lineRule="auto"/>
              <w:ind w:left="282" w:firstLine="0"/>
              <w:jc w:val="left"/>
            </w:pPr>
            <w:r>
              <w:t>8 až 12</w:t>
            </w:r>
          </w:p>
        </w:tc>
        <w:tc>
          <w:tcPr>
            <w:tcW w:w="1846" w:type="dxa"/>
            <w:tcBorders>
              <w:top w:val="nil"/>
              <w:left w:val="nil"/>
              <w:bottom w:val="nil"/>
              <w:right w:val="nil"/>
            </w:tcBorders>
          </w:tcPr>
          <w:p w14:paraId="7EC691DC" w14:textId="77777777" w:rsidR="009018F4" w:rsidRDefault="00303284">
            <w:pPr>
              <w:spacing w:after="0" w:line="259" w:lineRule="auto"/>
              <w:ind w:left="360" w:firstLine="0"/>
              <w:jc w:val="left"/>
            </w:pPr>
            <w:r>
              <w:t>lineárna</w:t>
            </w:r>
          </w:p>
        </w:tc>
        <w:tc>
          <w:tcPr>
            <w:tcW w:w="1102" w:type="dxa"/>
            <w:tcBorders>
              <w:top w:val="nil"/>
              <w:left w:val="nil"/>
              <w:bottom w:val="nil"/>
              <w:right w:val="nil"/>
            </w:tcBorders>
          </w:tcPr>
          <w:p w14:paraId="22D6A2E1" w14:textId="77777777" w:rsidR="009018F4" w:rsidRDefault="00303284">
            <w:pPr>
              <w:spacing w:after="0" w:line="259" w:lineRule="auto"/>
              <w:ind w:left="0" w:right="3" w:firstLine="0"/>
              <w:jc w:val="center"/>
            </w:pPr>
            <w:r>
              <w:t>12,5</w:t>
            </w:r>
          </w:p>
        </w:tc>
      </w:tr>
      <w:tr w:rsidR="009018F4" w14:paraId="1E8AE6A5" w14:textId="77777777">
        <w:trPr>
          <w:trHeight w:val="284"/>
        </w:trPr>
        <w:tc>
          <w:tcPr>
            <w:tcW w:w="3852" w:type="dxa"/>
            <w:tcBorders>
              <w:top w:val="nil"/>
              <w:left w:val="nil"/>
              <w:bottom w:val="nil"/>
              <w:right w:val="nil"/>
            </w:tcBorders>
          </w:tcPr>
          <w:p w14:paraId="0EE74A27" w14:textId="77777777" w:rsidR="009018F4" w:rsidRDefault="00303284">
            <w:pPr>
              <w:spacing w:after="0" w:line="259" w:lineRule="auto"/>
              <w:ind w:left="0" w:firstLine="0"/>
              <w:jc w:val="left"/>
            </w:pPr>
            <w:r>
              <w:t>Dopravné prostriedky, poľnohospodárske stroje</w:t>
            </w:r>
          </w:p>
        </w:tc>
        <w:tc>
          <w:tcPr>
            <w:tcW w:w="1476" w:type="dxa"/>
            <w:tcBorders>
              <w:top w:val="nil"/>
              <w:left w:val="nil"/>
              <w:bottom w:val="nil"/>
              <w:right w:val="nil"/>
            </w:tcBorders>
          </w:tcPr>
          <w:p w14:paraId="5A147908" w14:textId="77777777" w:rsidR="009018F4" w:rsidRDefault="00303284">
            <w:pPr>
              <w:spacing w:after="0" w:line="259" w:lineRule="auto"/>
              <w:ind w:left="324" w:firstLine="0"/>
              <w:jc w:val="left"/>
            </w:pPr>
            <w:r>
              <w:t>4 až 6</w:t>
            </w:r>
          </w:p>
        </w:tc>
        <w:tc>
          <w:tcPr>
            <w:tcW w:w="1846" w:type="dxa"/>
            <w:tcBorders>
              <w:top w:val="nil"/>
              <w:left w:val="nil"/>
              <w:bottom w:val="nil"/>
              <w:right w:val="nil"/>
            </w:tcBorders>
          </w:tcPr>
          <w:p w14:paraId="5E7410F4" w14:textId="77777777" w:rsidR="009018F4" w:rsidRDefault="00303284">
            <w:pPr>
              <w:spacing w:after="0" w:line="259" w:lineRule="auto"/>
              <w:ind w:left="360" w:firstLine="0"/>
              <w:jc w:val="left"/>
            </w:pPr>
            <w:r>
              <w:t>lineárna</w:t>
            </w:r>
          </w:p>
        </w:tc>
        <w:tc>
          <w:tcPr>
            <w:tcW w:w="1102" w:type="dxa"/>
            <w:tcBorders>
              <w:top w:val="nil"/>
              <w:left w:val="nil"/>
              <w:bottom w:val="nil"/>
              <w:right w:val="nil"/>
            </w:tcBorders>
          </w:tcPr>
          <w:p w14:paraId="25BB53CF" w14:textId="77777777" w:rsidR="009018F4" w:rsidRDefault="00303284">
            <w:pPr>
              <w:spacing w:after="0" w:line="259" w:lineRule="auto"/>
              <w:ind w:left="0" w:right="3" w:firstLine="0"/>
              <w:jc w:val="center"/>
            </w:pPr>
            <w:r>
              <w:t>16 až 30</w:t>
            </w:r>
          </w:p>
        </w:tc>
      </w:tr>
      <w:tr w:rsidR="009018F4" w14:paraId="61EC6276" w14:textId="77777777">
        <w:trPr>
          <w:trHeight w:val="243"/>
        </w:trPr>
        <w:tc>
          <w:tcPr>
            <w:tcW w:w="3852" w:type="dxa"/>
            <w:tcBorders>
              <w:top w:val="nil"/>
              <w:left w:val="nil"/>
              <w:bottom w:val="nil"/>
              <w:right w:val="nil"/>
            </w:tcBorders>
          </w:tcPr>
          <w:p w14:paraId="51BF157E" w14:textId="77777777" w:rsidR="009018F4" w:rsidRDefault="00303284">
            <w:pPr>
              <w:spacing w:after="0" w:line="259" w:lineRule="auto"/>
              <w:ind w:left="0" w:firstLine="0"/>
              <w:jc w:val="left"/>
            </w:pPr>
            <w:r>
              <w:t>Drobný dlhodobý hmotný majetok</w:t>
            </w:r>
          </w:p>
        </w:tc>
        <w:tc>
          <w:tcPr>
            <w:tcW w:w="1476" w:type="dxa"/>
            <w:tcBorders>
              <w:top w:val="nil"/>
              <w:left w:val="nil"/>
              <w:bottom w:val="nil"/>
              <w:right w:val="nil"/>
            </w:tcBorders>
          </w:tcPr>
          <w:p w14:paraId="2AA85C8A" w14:textId="77777777" w:rsidR="009018F4" w:rsidRDefault="00303284">
            <w:pPr>
              <w:spacing w:after="0" w:line="259" w:lineRule="auto"/>
              <w:ind w:left="340" w:firstLine="0"/>
              <w:jc w:val="left"/>
            </w:pPr>
            <w:r>
              <w:t>rôzna</w:t>
            </w:r>
          </w:p>
        </w:tc>
        <w:tc>
          <w:tcPr>
            <w:tcW w:w="1846" w:type="dxa"/>
            <w:tcBorders>
              <w:top w:val="nil"/>
              <w:left w:val="nil"/>
              <w:bottom w:val="nil"/>
              <w:right w:val="nil"/>
            </w:tcBorders>
          </w:tcPr>
          <w:p w14:paraId="17F2E4D7" w14:textId="77777777" w:rsidR="009018F4" w:rsidRDefault="00303284">
            <w:pPr>
              <w:spacing w:after="0" w:line="259" w:lineRule="auto"/>
              <w:ind w:left="0" w:firstLine="0"/>
              <w:jc w:val="left"/>
            </w:pPr>
            <w:proofErr w:type="spellStart"/>
            <w:r>
              <w:t>jednorázový</w:t>
            </w:r>
            <w:proofErr w:type="spellEnd"/>
            <w:r>
              <w:t xml:space="preserve"> odpis</w:t>
            </w:r>
          </w:p>
        </w:tc>
        <w:tc>
          <w:tcPr>
            <w:tcW w:w="1102" w:type="dxa"/>
            <w:tcBorders>
              <w:top w:val="nil"/>
              <w:left w:val="nil"/>
              <w:bottom w:val="nil"/>
              <w:right w:val="nil"/>
            </w:tcBorders>
          </w:tcPr>
          <w:p w14:paraId="5C41C340" w14:textId="77777777" w:rsidR="009018F4" w:rsidRDefault="00303284">
            <w:pPr>
              <w:spacing w:after="0" w:line="259" w:lineRule="auto"/>
              <w:ind w:left="0" w:right="1" w:firstLine="0"/>
              <w:jc w:val="center"/>
            </w:pPr>
            <w:r>
              <w:t>100</w:t>
            </w:r>
          </w:p>
        </w:tc>
      </w:tr>
    </w:tbl>
    <w:p w14:paraId="448A3E81" w14:textId="77777777" w:rsidR="009018F4" w:rsidRDefault="00303284" w:rsidP="00377A0E">
      <w:pPr>
        <w:spacing w:after="273"/>
        <w:ind w:left="0" w:right="1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68C5E28" wp14:editId="2204DD8E">
                <wp:simplePos x="0" y="0"/>
                <wp:positionH relativeFrom="column">
                  <wp:posOffset>-1167</wp:posOffset>
                </wp:positionH>
                <wp:positionV relativeFrom="paragraph">
                  <wp:posOffset>805104</wp:posOffset>
                </wp:positionV>
                <wp:extent cx="5324234" cy="22182"/>
                <wp:effectExtent l="0" t="0" r="0" b="0"/>
                <wp:wrapSquare wrapText="bothSides"/>
                <wp:docPr id="7906" name="Group 7906"/>
                <wp:cNvGraphicFramePr/>
                <a:graphic xmlns:a="http://schemas.openxmlformats.org/drawingml/2006/main">
                  <a:graphicData uri="http://schemas.microsoft.com/office/word/2010/wordprocessingGroup">
                    <wpg:wgp>
                      <wpg:cNvGrpSpPr/>
                      <wpg:grpSpPr>
                        <a:xfrm>
                          <a:off x="0" y="0"/>
                          <a:ext cx="5324234" cy="22182"/>
                          <a:chOff x="0" y="0"/>
                          <a:chExt cx="5324234" cy="22182"/>
                        </a:xfrm>
                      </wpg:grpSpPr>
                      <wps:wsp>
                        <wps:cNvPr id="220" name="Shape 220"/>
                        <wps:cNvSpPr/>
                        <wps:spPr>
                          <a:xfrm>
                            <a:off x="0" y="0"/>
                            <a:ext cx="5324234" cy="0"/>
                          </a:xfrm>
                          <a:custGeom>
                            <a:avLst/>
                            <a:gdLst/>
                            <a:ahLst/>
                            <a:cxnLst/>
                            <a:rect l="0" t="0" r="0" b="0"/>
                            <a:pathLst>
                              <a:path w="5324234">
                                <a:moveTo>
                                  <a:pt x="0" y="0"/>
                                </a:moveTo>
                                <a:lnTo>
                                  <a:pt x="5324234" y="0"/>
                                </a:lnTo>
                              </a:path>
                            </a:pathLst>
                          </a:custGeom>
                          <a:ln w="22182"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7906" style="width:419.231pt;height:1.74664pt;position:absolute;mso-position-horizontal-relative:text;mso-position-horizontal:absolute;margin-left:-0.0920029pt;mso-position-vertical-relative:text;margin-top:63.394pt;" coordsize="53242,221">
                <v:shape id="Shape 220" style="position:absolute;width:53242;height:0;left:0;top:0;" coordsize="5324234,0" path="m0,0l5324234,0">
                  <v:stroke weight="1.74664pt" endcap="flat" joinstyle="round" on="true" color="#000000"/>
                  <v:fill on="false" color="#000000" opacity="0"/>
                </v:shape>
                <w10:wrap type="square"/>
              </v:group>
            </w:pict>
          </mc:Fallback>
        </mc:AlternateContent>
      </w:r>
      <w:r>
        <w:t xml:space="preserve">Predpokladaná doba používania, metóda odpisovania a odpisová sadzba sú uvedené v nasledujúcej tabuľke: </w:t>
      </w:r>
    </w:p>
    <w:p w14:paraId="068CBB73" w14:textId="77777777" w:rsidR="009018F4" w:rsidRDefault="00303284">
      <w:pPr>
        <w:spacing w:before="92"/>
        <w:ind w:left="-5" w:right="10"/>
      </w:pPr>
      <w:r>
        <w:t xml:space="preserve">Metódy odpisovania, doby použiteľnosti a zostatkové hodnoty sa prehodnocujú ku dňu, ku ktorému sa zostavuje účtovná závierka, a ak je to potrebné, urobia sa úpravy. </w:t>
      </w:r>
    </w:p>
    <w:p w14:paraId="5FFFE36C" w14:textId="77777777" w:rsidR="009018F4" w:rsidRDefault="00303284">
      <w:pPr>
        <w:pStyle w:val="Nadpis2"/>
        <w:spacing w:after="189" w:line="259" w:lineRule="auto"/>
        <w:ind w:left="-5"/>
      </w:pPr>
      <w:r>
        <w:rPr>
          <w:i/>
        </w:rPr>
        <w:t xml:space="preserve">Posúdenie zníženia hodnoty majetku </w:t>
      </w:r>
    </w:p>
    <w:p w14:paraId="76C48C5C" w14:textId="77777777" w:rsidR="009018F4" w:rsidRDefault="00303284">
      <w:pPr>
        <w:spacing w:after="0"/>
        <w:ind w:left="-5" w:right="10"/>
      </w:pPr>
      <w:r>
        <w:t xml:space="preserve">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w:t>
      </w:r>
    </w:p>
    <w:p w14:paraId="6D49955D" w14:textId="77777777" w:rsidR="009018F4" w:rsidRDefault="00303284">
      <w:pPr>
        <w:spacing w:after="60"/>
        <w:ind w:left="-5" w:right="10"/>
      </w:pPr>
      <w:r>
        <w:t xml:space="preserve">Faktory, ktoré sú považované za dôležité pri posudzovaní zníženia hodnoty majetku sú: </w:t>
      </w:r>
    </w:p>
    <w:p w14:paraId="3AF3F903" w14:textId="77777777" w:rsidR="009018F4" w:rsidRDefault="00303284">
      <w:pPr>
        <w:numPr>
          <w:ilvl w:val="0"/>
          <w:numId w:val="3"/>
        </w:numPr>
        <w:spacing w:after="58"/>
        <w:ind w:right="44" w:hanging="128"/>
      </w:pPr>
      <w:r>
        <w:t xml:space="preserve">technologický pokrok, </w:t>
      </w:r>
    </w:p>
    <w:p w14:paraId="3CA4B50B" w14:textId="77777777" w:rsidR="009018F4" w:rsidRDefault="00303284">
      <w:pPr>
        <w:numPr>
          <w:ilvl w:val="0"/>
          <w:numId w:val="3"/>
        </w:numPr>
        <w:spacing w:after="106" w:line="305" w:lineRule="auto"/>
        <w:ind w:right="44" w:hanging="128"/>
      </w:pPr>
      <w:r>
        <w:t xml:space="preserve">významne nedostatočné prevádzkové výsledky v porovnaní s historickými alebo plánovanými prevádzkovými výsledkami, </w:t>
      </w:r>
      <w:r>
        <w:rPr>
          <w:sz w:val="22"/>
        </w:rPr>
        <w:t xml:space="preserve">- </w:t>
      </w:r>
      <w:r>
        <w:t xml:space="preserve">významné zmeny v spôsobe použitia majetku Spoločnosti alebo celkovej zmeny stratégie Spoločnosti, </w:t>
      </w:r>
      <w:r>
        <w:rPr>
          <w:sz w:val="22"/>
        </w:rPr>
        <w:t xml:space="preserve">- </w:t>
      </w:r>
      <w:r>
        <w:t xml:space="preserve">zastaranosť produktov. </w:t>
      </w:r>
    </w:p>
    <w:p w14:paraId="15C22F61" w14:textId="77777777" w:rsidR="009018F4" w:rsidRDefault="00303284">
      <w:pPr>
        <w:spacing w:after="408"/>
        <w:ind w:left="-5" w:right="10"/>
      </w:pPr>
      <w:r>
        <w:t xml:space="preserve">Ak Spoločnosť zistí, že na základe existencie jedného alebo viacerých indikátorov zníženia hodnoty majetku možno predpokladať, že došlo k zníženiu hodnoty majetku oproti jeho oceneniu v účtovníctve, vypočíta zníženie hodnoty majetku na základe odhadov projektovaných čistých diskontovaných peňažných tokov, ktoré sa očakávajú z daného majetku, vrátane jeho prípadného predaja. Odhadované zníženie hodnoty by sa mohlo preukázať ako nedostatočné, ak by analýzy nadhodnotili peňažné toky alebo ak sa zmenia podmienky v budúcnosti. </w:t>
      </w:r>
    </w:p>
    <w:p w14:paraId="55A0618C" w14:textId="77777777" w:rsidR="009018F4" w:rsidRDefault="00303284">
      <w:pPr>
        <w:pStyle w:val="Nadpis3"/>
        <w:tabs>
          <w:tab w:val="center" w:pos="427"/>
          <w:tab w:val="center" w:pos="1000"/>
        </w:tabs>
        <w:ind w:left="0" w:firstLine="0"/>
      </w:pPr>
      <w:r>
        <w:rPr>
          <w:rFonts w:ascii="Calibri" w:eastAsia="Calibri" w:hAnsi="Calibri" w:cs="Calibri"/>
          <w:b w:val="0"/>
          <w:sz w:val="22"/>
        </w:rPr>
        <w:tab/>
      </w:r>
      <w:r>
        <w:t>4.</w:t>
      </w:r>
      <w:r>
        <w:tab/>
        <w:t xml:space="preserve">Zásoby </w:t>
      </w:r>
    </w:p>
    <w:p w14:paraId="04CB1260" w14:textId="77777777" w:rsidR="009018F4" w:rsidRDefault="00303284">
      <w:pPr>
        <w:ind w:left="-5" w:right="10"/>
      </w:pPr>
      <w:r>
        <w:t xml:space="preserve">Zásoby sa oceňujú nižšou z nasledujúcich hodnôt: obstarávacou cenou (nakupované zásoby) alebo vlastnými nákladmi (zásoby vytvorené vlastnou činnosťou), alebo čistou realizačnou hodnotou. </w:t>
      </w:r>
    </w:p>
    <w:p w14:paraId="7D8CB088" w14:textId="77777777" w:rsidR="009018F4" w:rsidRDefault="00303284">
      <w:pPr>
        <w:ind w:left="-5" w:right="10"/>
      </w:pPr>
      <w:r>
        <w:t xml:space="preserve">Obstarávacia cena zahŕňa cenu, za ktorú sa zásoby obstarali a náklady súvisiace s obstaraním (clo, prepravu, poistné, provízie, a pod.), zníženú o dobropisy, skontá, rabaty, zľavy z ceny, bonusy a pod. Úroky z úverov nie sú súčasťou obstarávacej ceny. </w:t>
      </w:r>
    </w:p>
    <w:p w14:paraId="195D526F" w14:textId="77777777" w:rsidR="009018F4" w:rsidRDefault="00303284">
      <w:pPr>
        <w:ind w:left="-5" w:right="10"/>
      </w:pPr>
      <w:r>
        <w:t xml:space="preserve">Úbytok zásob sa účtuje v skutočnej obstarávacej cene. </w:t>
      </w:r>
    </w:p>
    <w:p w14:paraId="2C303E13" w14:textId="77777777" w:rsidR="009018F4" w:rsidRDefault="00303284">
      <w:pPr>
        <w:ind w:left="-5" w:right="10"/>
      </w:pPr>
      <w:r>
        <w:t xml:space="preserve">Vlastné náklady zahŕňajú priame náklady (priamy materiál, priame mzdy a ostatné priame náklady) a časť nepriamych nákladov bezprostredne súvisiacich s vytvorením zásob vlastnou činnosťou (výrobná réžia). Správna réžia a odbytové náklady nie sú súčasťou vlastných nákladov. Súčasťou vlastných nákladov nie sú úroky z úverov. </w:t>
      </w:r>
    </w:p>
    <w:p w14:paraId="51CA18E5" w14:textId="77777777" w:rsidR="009018F4" w:rsidRDefault="00303284">
      <w:pPr>
        <w:ind w:left="-5" w:right="10"/>
      </w:pPr>
      <w:r>
        <w:t xml:space="preserve">Zožaté obilie dopestované v rámci vlastnej produkcie je oceňované nižšou z hodnôt vlastných nákladov alebo čistou realizačnou hodnotou. </w:t>
      </w:r>
    </w:p>
    <w:p w14:paraId="5129F9A8" w14:textId="77777777" w:rsidR="009018F4" w:rsidRDefault="00303284">
      <w:pPr>
        <w:ind w:left="-5" w:right="10"/>
      </w:pPr>
      <w:r>
        <w:t xml:space="preserve">Toto ocenenie sa upravuje o zníženie hodnoty zásob. </w:t>
      </w:r>
    </w:p>
    <w:p w14:paraId="525B9485" w14:textId="77777777" w:rsidR="009018F4" w:rsidRDefault="00303284">
      <w:pPr>
        <w:ind w:left="-5" w:right="10"/>
      </w:pPr>
      <w:r>
        <w:t xml:space="preserve">Zásoby nadobudnuté zámenou sa oceňujú reálnou hodnotou. Rozdiel medzi reálnou hodnotou nadobudnutých zásob a účtovnou hodnotou odovzdávaných zásob sa účtuje podľa charakteru tohto rozdielu na vecne príslušný nákladový účet, na ktorom sa účtuje úbytok zásob alebo na vecne príslušný výnosový účet, na ktorom sa účtuje dosiahnutie výnosu zo zásob. Čistá realizačná </w:t>
      </w:r>
      <w:r>
        <w:lastRenderedPageBreak/>
        <w:t xml:space="preserve">hodnota je predpokladaná predajná cena zásob znížená o predpokladané náklady na ich dokončenie a o predpokladané náklady súvisiace s ich predajom. </w:t>
      </w:r>
    </w:p>
    <w:p w14:paraId="1E5DA123" w14:textId="77777777" w:rsidR="009018F4" w:rsidRDefault="00303284">
      <w:pPr>
        <w:spacing w:after="403"/>
        <w:ind w:left="-5" w:right="10"/>
      </w:pPr>
      <w:r>
        <w:t xml:space="preserve">Zníženie hodnoty zásob sa zohľadňuje vytvorením opravnej položky. </w:t>
      </w:r>
    </w:p>
    <w:p w14:paraId="08FB87FF" w14:textId="77777777" w:rsidR="009018F4" w:rsidRDefault="00303284">
      <w:pPr>
        <w:pStyle w:val="Nadpis3"/>
        <w:tabs>
          <w:tab w:val="center" w:pos="427"/>
          <w:tab w:val="center" w:pos="1192"/>
        </w:tabs>
        <w:ind w:left="0" w:firstLine="0"/>
      </w:pPr>
      <w:r>
        <w:rPr>
          <w:rFonts w:ascii="Calibri" w:eastAsia="Calibri" w:hAnsi="Calibri" w:cs="Calibri"/>
          <w:b w:val="0"/>
          <w:sz w:val="22"/>
        </w:rPr>
        <w:tab/>
      </w:r>
      <w:r>
        <w:t>5.</w:t>
      </w:r>
      <w:r>
        <w:tab/>
        <w:t xml:space="preserve">Pohľadávky </w:t>
      </w:r>
    </w:p>
    <w:p w14:paraId="349CF1AB" w14:textId="77777777" w:rsidR="009018F4" w:rsidRDefault="00303284">
      <w:pPr>
        <w:ind w:left="-5" w:right="10"/>
      </w:pPr>
      <w:r>
        <w:t xml:space="preserve">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 </w:t>
      </w:r>
    </w:p>
    <w:p w14:paraId="03EFF129" w14:textId="77777777" w:rsidR="009018F4" w:rsidRDefault="00303284">
      <w:pPr>
        <w:ind w:left="-5" w:right="10"/>
      </w:pPr>
      <w: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14:paraId="270362AD" w14:textId="77777777" w:rsidR="009018F4" w:rsidRDefault="00303284">
      <w:pPr>
        <w:pStyle w:val="Nadpis3"/>
        <w:tabs>
          <w:tab w:val="center" w:pos="427"/>
          <w:tab w:val="center" w:pos="1262"/>
        </w:tabs>
        <w:ind w:left="0" w:firstLine="0"/>
      </w:pPr>
      <w:r>
        <w:rPr>
          <w:rFonts w:ascii="Calibri" w:eastAsia="Calibri" w:hAnsi="Calibri" w:cs="Calibri"/>
          <w:b w:val="0"/>
          <w:sz w:val="22"/>
        </w:rPr>
        <w:tab/>
      </w:r>
      <w:r>
        <w:t>6.</w:t>
      </w:r>
      <w:r>
        <w:tab/>
        <w:t xml:space="preserve">Finančné účty </w:t>
      </w:r>
    </w:p>
    <w:p w14:paraId="47ED43D7" w14:textId="77777777" w:rsidR="009018F4" w:rsidRDefault="00303284">
      <w:pPr>
        <w:ind w:left="-5" w:right="10"/>
      </w:pPr>
      <w:r>
        <w:t xml:space="preserve">Finančné účty tvorí peňažná hotovosť, zostatky na bankových účtoch a oceňujú sa menovitou hodnotou. Zníženie ich hodnoty sa vyjadruje opravnou položkou. </w:t>
      </w:r>
    </w:p>
    <w:p w14:paraId="74506366" w14:textId="77777777" w:rsidR="009018F4" w:rsidRDefault="00303284">
      <w:pPr>
        <w:pStyle w:val="Nadpis3"/>
        <w:tabs>
          <w:tab w:val="center" w:pos="427"/>
          <w:tab w:val="center" w:pos="2730"/>
        </w:tabs>
        <w:ind w:left="0" w:firstLine="0"/>
      </w:pPr>
      <w:r>
        <w:rPr>
          <w:rFonts w:ascii="Calibri" w:eastAsia="Calibri" w:hAnsi="Calibri" w:cs="Calibri"/>
          <w:b w:val="0"/>
          <w:sz w:val="22"/>
        </w:rPr>
        <w:tab/>
      </w:r>
      <w:r>
        <w:t>7.</w:t>
      </w:r>
      <w:r>
        <w:tab/>
        <w:t xml:space="preserve">Náklady budúcich období a príjmy budúcich období </w:t>
      </w:r>
    </w:p>
    <w:p w14:paraId="4B022728" w14:textId="77777777" w:rsidR="009018F4" w:rsidRDefault="00303284">
      <w:pPr>
        <w:ind w:left="-5" w:right="10"/>
      </w:pPr>
      <w:r>
        <w:t xml:space="preserve">Náklady budúcich období a príjmy budúcich období sa vykazujú vo výške, ktorá je potrebná na dodržanie zásady vecnej a časovej súvislosti s účtovným obdobím. </w:t>
      </w:r>
    </w:p>
    <w:p w14:paraId="2CA500F9" w14:textId="77777777" w:rsidR="009018F4" w:rsidRDefault="00303284">
      <w:pPr>
        <w:pStyle w:val="Nadpis3"/>
        <w:tabs>
          <w:tab w:val="center" w:pos="427"/>
          <w:tab w:val="center" w:pos="2457"/>
        </w:tabs>
        <w:ind w:left="0" w:firstLine="0"/>
      </w:pPr>
      <w:r>
        <w:rPr>
          <w:rFonts w:ascii="Calibri" w:eastAsia="Calibri" w:hAnsi="Calibri" w:cs="Calibri"/>
          <w:b w:val="0"/>
          <w:sz w:val="22"/>
        </w:rPr>
        <w:tab/>
      </w:r>
      <w:r>
        <w:t>8.</w:t>
      </w:r>
      <w:r>
        <w:tab/>
        <w:t xml:space="preserve">Zníženie hodnoty majetku a opravné položky </w:t>
      </w:r>
    </w:p>
    <w:p w14:paraId="51232952" w14:textId="77777777" w:rsidR="009018F4" w:rsidRDefault="00303284">
      <w:pPr>
        <w:ind w:left="-5" w:right="10"/>
      </w:pPr>
      <w:r>
        <w:t xml:space="preserve">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 </w:t>
      </w:r>
    </w:p>
    <w:p w14:paraId="4CF518F6" w14:textId="77777777" w:rsidR="009018F4" w:rsidRDefault="00303284">
      <w:pPr>
        <w:pStyle w:val="Nadpis2"/>
        <w:spacing w:after="189" w:line="259" w:lineRule="auto"/>
        <w:ind w:left="-5"/>
      </w:pPr>
      <w:r>
        <w:rPr>
          <w:i/>
        </w:rPr>
        <w:t xml:space="preserve">Zníženie hodnoty dlhodobého majetku a zásob </w:t>
      </w:r>
    </w:p>
    <w:p w14:paraId="71CB7DF7" w14:textId="77777777" w:rsidR="009018F4" w:rsidRDefault="00303284">
      <w:pPr>
        <w:ind w:left="-5" w:right="10"/>
      </w:pPr>
      <w:r>
        <w:t xml:space="preserve">Ku každému dňu, ku ktorému sa zostavuje účtovná závierka, je účtovná hodnota majetku Spoločnosti, iného ako odloženej daňovej pohľadávky (pozri bod D.12. Odložené dane) posudzovaná s cieľom zistiť, či existujú indikátory, že by mohlo dôjsť k zníženiu hodnoty majetku. Ak takéto indikátory existujú, potom sa odhadnú predpokladané budúce ekonomické úžitky z daného majetku. </w:t>
      </w:r>
    </w:p>
    <w:p w14:paraId="26AC5C73" w14:textId="77777777" w:rsidR="009018F4" w:rsidRDefault="00303284">
      <w:pPr>
        <w:ind w:left="-5" w:right="10"/>
      </w:pPr>
      <w: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tú účtovnú hodnotu, ktorá by bola stanovená po zohľadnení odpisov, ak by opravná položka nebola vykázaná. </w:t>
      </w:r>
    </w:p>
    <w:p w14:paraId="3D637B06" w14:textId="77777777" w:rsidR="009018F4" w:rsidRDefault="00303284">
      <w:pPr>
        <w:pStyle w:val="Nadpis2"/>
        <w:spacing w:after="189" w:line="259" w:lineRule="auto"/>
        <w:ind w:left="-5"/>
      </w:pPr>
      <w:r>
        <w:rPr>
          <w:i/>
        </w:rPr>
        <w:t xml:space="preserve">Zníženie hodnoty finančného majetku a pohľadávok </w:t>
      </w:r>
    </w:p>
    <w:p w14:paraId="2C736774" w14:textId="77777777" w:rsidR="009018F4" w:rsidRDefault="00303284">
      <w:pPr>
        <w:ind w:left="-5" w:right="10"/>
      </w:pPr>
      <w:r>
        <w:t xml:space="preserve">Ku každému dňu, ku ktorému sa zostavuje účtovná závierka sa finančný majetok, ktorý nie je ocenený reálnou hodnotou posudzuje s cieľom zistiť, či existujú objektívne dôkazy zníženia jeho hodnoty. </w:t>
      </w:r>
    </w:p>
    <w:p w14:paraId="6254918C" w14:textId="77777777" w:rsidR="009018F4" w:rsidRDefault="00303284">
      <w:pPr>
        <w:ind w:left="-5" w:right="10"/>
      </w:pPr>
      <w:r>
        <w:t xml:space="preserve">Medzi objektívne dôkazy o znížení hodnoty finančného majetku patrí nesplácanie dlhu alebo protiprávne konanie dlžníka, reštrukturalizácia pohľadávok Spoločnosti za podmienok, o ktorých by Spoločnosť za normálnej situácie 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14:paraId="6160A1D7" w14:textId="77777777" w:rsidR="009018F4" w:rsidRDefault="00303284">
      <w:pPr>
        <w:ind w:left="-5" w:right="10"/>
      </w:pPr>
      <w:r>
        <w:t xml:space="preserve">Predpokladané budúce ekonomické úžitky z investícií Spoločnosti v podielových cenných papieroch a v podieloch a z pohľadávok sa vypočítajú ako súčasná hodnota odhadovaných diskontovaných budúcich peňažných tokov. Pri určení návratnej </w:t>
      </w:r>
      <w:r>
        <w:lastRenderedPageBreak/>
        <w:t xml:space="preserve">hodnoty úverov a pohľadávok sa tiež berie do úvahy schopnosť a výkonnosť dlžníka a hodnota </w:t>
      </w:r>
      <w:proofErr w:type="spellStart"/>
      <w:r>
        <w:t>kolaterálov</w:t>
      </w:r>
      <w:proofErr w:type="spellEnd"/>
      <w:r>
        <w:t xml:space="preserve"> a záruk od tretích strán. </w:t>
      </w:r>
    </w:p>
    <w:p w14:paraId="532DAA38" w14:textId="77777777" w:rsidR="009018F4" w:rsidRDefault="00303284">
      <w:pPr>
        <w:ind w:left="-5" w:right="10"/>
      </w:pPr>
      <w:r>
        <w:t xml:space="preserve">Opravná položka sa zruší, ak následné zvýšenie predpokladaných budúcich ekonomických úžitkov možno objektívne spájať s udalosťou, ktorá nastala po vykázaní opravnej položky. </w:t>
      </w:r>
    </w:p>
    <w:p w14:paraId="19E7FC84" w14:textId="77777777" w:rsidR="009018F4" w:rsidRDefault="00303284">
      <w:pPr>
        <w:pStyle w:val="Nadpis3"/>
        <w:tabs>
          <w:tab w:val="center" w:pos="427"/>
          <w:tab w:val="center" w:pos="1050"/>
        </w:tabs>
        <w:ind w:left="0" w:firstLine="0"/>
      </w:pPr>
      <w:r>
        <w:rPr>
          <w:rFonts w:ascii="Calibri" w:eastAsia="Calibri" w:hAnsi="Calibri" w:cs="Calibri"/>
          <w:b w:val="0"/>
          <w:sz w:val="22"/>
        </w:rPr>
        <w:tab/>
      </w:r>
      <w:r>
        <w:t>9.</w:t>
      </w:r>
      <w:r>
        <w:tab/>
        <w:t xml:space="preserve">Záväzky </w:t>
      </w:r>
    </w:p>
    <w:p w14:paraId="73CF0315" w14:textId="77777777" w:rsidR="009018F4" w:rsidRDefault="00303284">
      <w:pPr>
        <w:ind w:left="-5" w:right="10"/>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67B62022" w14:textId="77777777" w:rsidR="009018F4" w:rsidRDefault="00303284">
      <w:pPr>
        <w:pStyle w:val="Nadpis3"/>
        <w:tabs>
          <w:tab w:val="center" w:pos="472"/>
          <w:tab w:val="center" w:pos="1034"/>
        </w:tabs>
        <w:spacing w:after="395"/>
        <w:ind w:left="0" w:firstLine="0"/>
      </w:pPr>
      <w:r>
        <w:rPr>
          <w:rFonts w:ascii="Calibri" w:eastAsia="Calibri" w:hAnsi="Calibri" w:cs="Calibri"/>
          <w:b w:val="0"/>
          <w:sz w:val="22"/>
        </w:rPr>
        <w:tab/>
      </w:r>
      <w:r>
        <w:t>10.</w:t>
      </w:r>
      <w:r>
        <w:tab/>
        <w:t xml:space="preserve">Rezervy </w:t>
      </w:r>
    </w:p>
    <w:p w14:paraId="50FB9A95" w14:textId="77777777" w:rsidR="009018F4" w:rsidRDefault="00303284">
      <w:pPr>
        <w:ind w:left="-5" w:right="10"/>
      </w:pPr>
      <w:r>
        <w:t xml:space="preserve">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 </w:t>
      </w:r>
    </w:p>
    <w:p w14:paraId="5F6624FD" w14:textId="77777777" w:rsidR="009018F4" w:rsidRDefault="00303284">
      <w:pPr>
        <w:ind w:left="-5" w:right="10"/>
      </w:pPr>
      <w: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w:t>
      </w:r>
    </w:p>
    <w:p w14:paraId="6CA5D619" w14:textId="77777777" w:rsidR="009018F4" w:rsidRDefault="00303284">
      <w:pPr>
        <w:spacing w:after="207" w:line="238" w:lineRule="auto"/>
        <w:ind w:left="-5" w:right="34"/>
        <w:jc w:val="left"/>
      </w:pPr>
      <w:r>
        <w:t xml:space="preserve">Rozpustenie nepotrebnej rezervy alebo jej časti sa účtuje opačným účtovným zápisom ako sa účtovala tvorba rezervy. Tvorba rezervy na bonusy, rabaty, skontá a vrátenie kúpnej ceny pri reklamácii sa účtuje ako zníženie pôvodne dosiahnutých výnosov so súvzťažným zápisom v prospech účtu rezerv. </w:t>
      </w:r>
    </w:p>
    <w:p w14:paraId="31137545" w14:textId="77777777" w:rsidR="009018F4" w:rsidRDefault="00303284">
      <w:pPr>
        <w:pStyle w:val="Nadpis1"/>
        <w:ind w:left="10"/>
      </w:pPr>
      <w:r>
        <w:t xml:space="preserve">        Nevyfakturované dodávky majetku </w:t>
      </w:r>
    </w:p>
    <w:p w14:paraId="52869907" w14:textId="77777777" w:rsidR="009018F4" w:rsidRDefault="00303284">
      <w:pPr>
        <w:ind w:left="-5" w:right="10"/>
      </w:pPr>
      <w:r>
        <w:t xml:space="preserve">Rezervy na nevyfakturované dodávky majetku sa nevykazujú s vplyvom na výsledok hospodárenia a oceňujú sa v odhadovanej výške záväzku. </w:t>
      </w:r>
    </w:p>
    <w:p w14:paraId="10A98DE4" w14:textId="77777777" w:rsidR="009018F4" w:rsidRDefault="00303284">
      <w:pPr>
        <w:pStyle w:val="Nadpis2"/>
        <w:tabs>
          <w:tab w:val="center" w:pos="472"/>
          <w:tab w:val="center" w:pos="1626"/>
        </w:tabs>
        <w:ind w:left="0" w:firstLine="0"/>
      </w:pPr>
      <w:r>
        <w:rPr>
          <w:rFonts w:ascii="Calibri" w:eastAsia="Calibri" w:hAnsi="Calibri" w:cs="Calibri"/>
          <w:b w:val="0"/>
          <w:sz w:val="22"/>
        </w:rPr>
        <w:tab/>
      </w:r>
      <w:r>
        <w:t>11.</w:t>
      </w:r>
      <w:r>
        <w:tab/>
        <w:t xml:space="preserve">Zamestnanecké požitky </w:t>
      </w:r>
    </w:p>
    <w:p w14:paraId="53B53054" w14:textId="77777777" w:rsidR="009018F4" w:rsidRDefault="00303284">
      <w:pPr>
        <w:ind w:left="-5" w:right="10"/>
      </w:pPr>
      <w:r>
        <w:t xml:space="preserve">Platy, mzdy, príspevky do dôchodkových a poistných fondov, platená ročná dovolenka a platená zdravotná dovolenka, bonusy a ostatné nepeňažné požitky (napr. zdravotná starostlivosť) sa účtujú v účtovnom období, s ktorým vecne a časovo súvisia. </w:t>
      </w:r>
    </w:p>
    <w:p w14:paraId="690BF1D0" w14:textId="77777777" w:rsidR="009018F4" w:rsidRDefault="00303284">
      <w:pPr>
        <w:pStyle w:val="Nadpis2"/>
        <w:tabs>
          <w:tab w:val="center" w:pos="472"/>
          <w:tab w:val="center" w:pos="1286"/>
        </w:tabs>
        <w:ind w:left="0" w:firstLine="0"/>
      </w:pPr>
      <w:r>
        <w:rPr>
          <w:rFonts w:ascii="Calibri" w:eastAsia="Calibri" w:hAnsi="Calibri" w:cs="Calibri"/>
          <w:b w:val="0"/>
          <w:sz w:val="22"/>
        </w:rPr>
        <w:tab/>
      </w:r>
      <w:r>
        <w:t>12.</w:t>
      </w:r>
      <w:r>
        <w:tab/>
        <w:t xml:space="preserve">Odložené dane </w:t>
      </w:r>
    </w:p>
    <w:p w14:paraId="0A48969A" w14:textId="77777777" w:rsidR="009018F4" w:rsidRDefault="00303284">
      <w:pPr>
        <w:spacing w:after="8"/>
        <w:ind w:left="-5" w:right="10"/>
      </w:pPr>
      <w:r>
        <w:t xml:space="preserve">Odložené dane (odložená daňová pohľadávka a odložený daňový záväzok) sa vzťahujú na: </w:t>
      </w:r>
    </w:p>
    <w:p w14:paraId="1DC643DA" w14:textId="77777777" w:rsidR="009018F4" w:rsidRDefault="00303284">
      <w:pPr>
        <w:numPr>
          <w:ilvl w:val="0"/>
          <w:numId w:val="4"/>
        </w:numPr>
        <w:spacing w:after="3"/>
        <w:ind w:right="10" w:hanging="360"/>
      </w:pPr>
      <w:r>
        <w:t xml:space="preserve">dočasné rozdiely medzi účtovnou hodnotou majetku a účtovnou hodnotou záväzkov vykázanou v súvahe a ich daňovou základňou, </w:t>
      </w:r>
    </w:p>
    <w:p w14:paraId="5A25B49F" w14:textId="77777777" w:rsidR="009018F4" w:rsidRDefault="00303284">
      <w:pPr>
        <w:numPr>
          <w:ilvl w:val="0"/>
          <w:numId w:val="4"/>
        </w:numPr>
        <w:spacing w:after="3"/>
        <w:ind w:right="10" w:hanging="360"/>
      </w:pPr>
      <w:r>
        <w:t xml:space="preserve">možnosť umorovať daňovú stratu v budúcnosti, ktorou sa rozumie možnosť odpočítať daňovú stratu od základu dane v budúcnosti, </w:t>
      </w:r>
    </w:p>
    <w:p w14:paraId="738F1AF7" w14:textId="77777777" w:rsidR="009018F4" w:rsidRDefault="00303284">
      <w:pPr>
        <w:numPr>
          <w:ilvl w:val="0"/>
          <w:numId w:val="4"/>
        </w:numPr>
        <w:spacing w:after="0" w:line="482" w:lineRule="auto"/>
        <w:ind w:right="10" w:hanging="360"/>
      </w:pPr>
      <w:r>
        <w:t xml:space="preserve">možnosť previesť nevyužité daňové odpočty a iné daňové nároky do budúcich období. Odložená daňová pohľadávka ani odložený daňový záväzok sa neúčtuje pri: </w:t>
      </w:r>
    </w:p>
    <w:p w14:paraId="540A6273" w14:textId="77777777" w:rsidR="009018F4" w:rsidRDefault="00303284">
      <w:pPr>
        <w:numPr>
          <w:ilvl w:val="0"/>
          <w:numId w:val="5"/>
        </w:numPr>
        <w:spacing w:after="100"/>
        <w:ind w:right="10" w:hanging="360"/>
      </w:pPr>
      <w:r>
        <w:t xml:space="preserve">dočasných rozdieloch pri prvotnom zaúčtovaní (angl. </w:t>
      </w:r>
      <w:proofErr w:type="spellStart"/>
      <w:r>
        <w:t>initial</w:t>
      </w:r>
      <w:proofErr w:type="spellEnd"/>
      <w:r>
        <w:t xml:space="preserve"> </w:t>
      </w:r>
      <w:proofErr w:type="spellStart"/>
      <w:r>
        <w:t>recognition</w:t>
      </w:r>
      <w:proofErr w:type="spellEnd"/>
      <w:r>
        <w:t xml:space="preserve">) majetku alebo záväzku v účtovníctve, ak v čase prvotného zaúčtovania nemá tento účtovný prípad vplyv ani na výsledok hospodárenia ani na základ dane a zároveň nejde o kombináciu podnikov (t. j. nejde o účtovný prípad vznikajúci u kupujúceho pri kúpe podniku alebo časti podniku, prijímateľa vkladu podniku alebo časti podniku alebo u nástupníckej účtovnej jednotke pri zlúčení, splynutí alebo rozdelení), </w:t>
      </w:r>
    </w:p>
    <w:p w14:paraId="2D6FC532" w14:textId="77777777" w:rsidR="009018F4" w:rsidRDefault="00303284">
      <w:pPr>
        <w:numPr>
          <w:ilvl w:val="0"/>
          <w:numId w:val="5"/>
        </w:numPr>
        <w:spacing w:after="99"/>
        <w:ind w:right="10" w:hanging="360"/>
      </w:pPr>
      <w:r>
        <w:t xml:space="preserve">dočasných rozdieloch súvisiacich s podielmi v dcérskych, spoločných a pridružených účtovných jednotkách, ak Spoločnosť je schopná ovplyvniť vyrovnanie týchto dočasných rozdielov a je pravdepodobné, že tieto dočasné rozdiely nebudú vyrovnané v blízkej budúcnosti, </w:t>
      </w:r>
    </w:p>
    <w:p w14:paraId="33ECECD3" w14:textId="77777777" w:rsidR="009018F4" w:rsidRDefault="00303284">
      <w:pPr>
        <w:numPr>
          <w:ilvl w:val="0"/>
          <w:numId w:val="5"/>
        </w:numPr>
        <w:spacing w:after="171"/>
        <w:ind w:right="10" w:hanging="360"/>
      </w:pPr>
      <w:r>
        <w:t xml:space="preserve">dočasných rozdieloch pri prvotnom zaúčtovaní </w:t>
      </w:r>
      <w:proofErr w:type="spellStart"/>
      <w:r>
        <w:t>goodwillu</w:t>
      </w:r>
      <w:proofErr w:type="spellEnd"/>
      <w:r>
        <w:t xml:space="preserve"> alebo záporného </w:t>
      </w:r>
      <w:proofErr w:type="spellStart"/>
      <w:r>
        <w:t>goodwillu</w:t>
      </w:r>
      <w:proofErr w:type="spellEnd"/>
      <w:r>
        <w:t xml:space="preserve">. </w:t>
      </w:r>
    </w:p>
    <w:p w14:paraId="0971CB0C" w14:textId="77777777" w:rsidR="00A2598E" w:rsidRDefault="00303284">
      <w:pPr>
        <w:ind w:left="-5" w:right="10"/>
      </w:pPr>
      <w:r>
        <w:t xml:space="preserve">O odloženej daňovej pohľadávke z odpočítateľných dočasných rozdielov, z nevyužitých daňových strát a nevyužitých daňových odpočtov a iných daňových nárokov sa účtuje len vtedy, ak je pravdepodobné, že budúci základ dane, voči ktorému </w:t>
      </w:r>
    </w:p>
    <w:p w14:paraId="7AE0EE1F" w14:textId="77777777" w:rsidR="00A2598E" w:rsidRDefault="00A2598E">
      <w:pPr>
        <w:ind w:left="-5" w:right="10"/>
      </w:pPr>
    </w:p>
    <w:p w14:paraId="23463671" w14:textId="6D874EA4" w:rsidR="009018F4" w:rsidRDefault="00303284">
      <w:pPr>
        <w:ind w:left="-5" w:right="10"/>
      </w:pPr>
      <w:r>
        <w:t xml:space="preserve">ich bude možné využiť, je dosiahnuteľný. Odložená daňová pohľadávka sa preveruje ku každému dňu, ku ktorému sa zostavuje účtovná závierka a znižuje sa vo výške, v akej je nepravdepodobné, že základ dane z príjmov bude dosiahnutý. </w:t>
      </w:r>
    </w:p>
    <w:p w14:paraId="57A35415" w14:textId="77777777" w:rsidR="009018F4" w:rsidRDefault="00303284">
      <w:pPr>
        <w:ind w:left="-5" w:right="10"/>
      </w:pPr>
      <w:r>
        <w:t xml:space="preserve">Pri výpočte odloženej dane sa použije sadzba dane z príjmov, o ktorej sa predpokladá, že bude platiť v čase vyrovnania odloženej dane. </w:t>
      </w:r>
    </w:p>
    <w:p w14:paraId="2FDD8AF6" w14:textId="77777777" w:rsidR="009018F4" w:rsidRDefault="00303284">
      <w:pPr>
        <w:ind w:left="-5" w:right="10"/>
      </w:pPr>
      <w:r>
        <w:t xml:space="preserve">V súvahe sa odložená daňová pohľadávka a odložený daňový záväzok vykazujú samostatne. Ak sa vzťahujú na odloženú daň z príjmov toho istého daňovníka a ide o ten istý daňový úrad, môže sa vykázať len výsledný zostatok účtu 481 – Odložený daňový záväzok a odložená daňová pohľadávka. </w:t>
      </w:r>
    </w:p>
    <w:p w14:paraId="6128D755" w14:textId="676B74B5" w:rsidR="009018F4" w:rsidRDefault="00303284">
      <w:pPr>
        <w:ind w:left="-5" w:right="10"/>
      </w:pPr>
      <w:r>
        <w:t>Spoločnosť v účtovnom období 202</w:t>
      </w:r>
      <w:r w:rsidR="00F75203">
        <w:t>4</w:t>
      </w:r>
      <w:r>
        <w:t xml:space="preserve"> o odloženej dani neúčtovala.</w:t>
      </w:r>
    </w:p>
    <w:p w14:paraId="76D9BB28" w14:textId="77777777" w:rsidR="009018F4" w:rsidRDefault="00303284">
      <w:pPr>
        <w:pStyle w:val="Nadpis2"/>
        <w:tabs>
          <w:tab w:val="center" w:pos="472"/>
          <w:tab w:val="center" w:pos="2750"/>
        </w:tabs>
        <w:ind w:left="0" w:firstLine="0"/>
      </w:pPr>
      <w:r>
        <w:rPr>
          <w:rFonts w:ascii="Calibri" w:eastAsia="Calibri" w:hAnsi="Calibri" w:cs="Calibri"/>
          <w:b w:val="0"/>
          <w:sz w:val="22"/>
        </w:rPr>
        <w:tab/>
      </w:r>
      <w:r>
        <w:t>13.</w:t>
      </w:r>
      <w:r>
        <w:tab/>
        <w:t xml:space="preserve">Výdavky budúcich období a výnosy budúcich období </w:t>
      </w:r>
    </w:p>
    <w:p w14:paraId="19EDE139" w14:textId="77777777" w:rsidR="009018F4" w:rsidRDefault="00303284">
      <w:pPr>
        <w:ind w:left="-5" w:right="10"/>
      </w:pPr>
      <w:r>
        <w:t xml:space="preserve">Výdavky budúcich období a výnosy budúcich období sa vykazujú vo výške, ktorá je potrebná na dodržanie zásady vecnej a časovej súvislosti s účtovným obdobím. </w:t>
      </w:r>
    </w:p>
    <w:p w14:paraId="55E60C91" w14:textId="77777777" w:rsidR="009018F4" w:rsidRDefault="00303284">
      <w:pPr>
        <w:pStyle w:val="Nadpis2"/>
        <w:tabs>
          <w:tab w:val="center" w:pos="472"/>
          <w:tab w:val="center" w:pos="1826"/>
        </w:tabs>
        <w:ind w:left="0" w:firstLine="0"/>
      </w:pPr>
      <w:r>
        <w:rPr>
          <w:rFonts w:ascii="Calibri" w:eastAsia="Calibri" w:hAnsi="Calibri" w:cs="Calibri"/>
          <w:b w:val="0"/>
          <w:sz w:val="22"/>
        </w:rPr>
        <w:tab/>
      </w:r>
      <w:r>
        <w:t>14.</w:t>
      </w:r>
      <w:r>
        <w:tab/>
        <w:t xml:space="preserve">Dotácie zo štátneho rozpočtu </w:t>
      </w:r>
    </w:p>
    <w:p w14:paraId="757CEDBD" w14:textId="77777777" w:rsidR="009018F4" w:rsidRDefault="00303284">
      <w:pPr>
        <w:ind w:left="-5" w:right="10"/>
      </w:pPr>
      <w:r>
        <w:t xml:space="preserve">O nároku na dotácie zo štátneho rozpočtu, podporu alebo príspevok sa účtuje, ak je takmer isté, že sa splnia všetky podmienky súvisiace s dotáciou a súčasne, že sa dotácia poskytne. </w:t>
      </w:r>
    </w:p>
    <w:p w14:paraId="54B96E69" w14:textId="77777777" w:rsidR="009018F4" w:rsidRDefault="00303284">
      <w:pPr>
        <w:spacing w:after="0"/>
        <w:ind w:left="-5" w:right="10"/>
      </w:pPr>
      <w:r>
        <w:t xml:space="preserve">Dotácie na obstaranie dlhodobého nehmotného majetku a dlhodobého hmotného majetku sa najskôr vykazujú ako výnosy budúcich období a do výkazu ziskov a strát sa rozpúšťajú ako výnosy z hospodárskej činnosti v časovej a vecnej súvislosti so zaúčtovaním odpisov z tohto dlhodobého majetku. </w:t>
      </w:r>
    </w:p>
    <w:p w14:paraId="68CD8AA2" w14:textId="77777777" w:rsidR="009018F4" w:rsidRDefault="00303284">
      <w:pPr>
        <w:spacing w:after="408"/>
        <w:ind w:left="-5" w:right="10"/>
      </w:pPr>
      <w:r>
        <w:t xml:space="preserve">Dotácie na úhradu nákladov, ktoré kompenzujú konkrétne náklady spojené s činnosťou Spoločnosti sa najskôr vykazujú ako výnosy budúcich období a do výkazu ziskov a strát sa rozpúšťajú ako výnosy z hospodárskej činnosti v časovej a vecnej súvislosti s vynaložením nákladov na príslušný účel. </w:t>
      </w:r>
    </w:p>
    <w:p w14:paraId="304C568C" w14:textId="77777777" w:rsidR="009018F4" w:rsidRDefault="00303284">
      <w:pPr>
        <w:pStyle w:val="Nadpis2"/>
        <w:tabs>
          <w:tab w:val="center" w:pos="472"/>
          <w:tab w:val="center" w:pos="2421"/>
        </w:tabs>
        <w:ind w:left="0" w:firstLine="0"/>
      </w:pPr>
      <w:r>
        <w:rPr>
          <w:rFonts w:ascii="Calibri" w:eastAsia="Calibri" w:hAnsi="Calibri" w:cs="Calibri"/>
          <w:b w:val="0"/>
          <w:sz w:val="22"/>
        </w:rPr>
        <w:tab/>
      </w:r>
      <w:r>
        <w:t>15.</w:t>
      </w:r>
      <w:r>
        <w:tab/>
        <w:t xml:space="preserve">Prenájom (lízing) (Spoločnosť ako nájomca) </w:t>
      </w:r>
    </w:p>
    <w:p w14:paraId="7BA10FB3" w14:textId="77777777" w:rsidR="009018F4" w:rsidRDefault="00303284">
      <w:pPr>
        <w:spacing w:after="187" w:line="265" w:lineRule="auto"/>
        <w:ind w:left="10"/>
        <w:jc w:val="left"/>
      </w:pPr>
      <w:r>
        <w:rPr>
          <w:b/>
        </w:rPr>
        <w:t xml:space="preserve">Finančný prenájom. </w:t>
      </w:r>
    </w:p>
    <w:p w14:paraId="6CE433DF" w14:textId="77777777" w:rsidR="009018F4" w:rsidRDefault="00303284">
      <w:pPr>
        <w:spacing w:after="0"/>
        <w:ind w:left="-5" w:right="10"/>
      </w:pPr>
      <w:r>
        <w: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14:paraId="09A6D6F2" w14:textId="77777777" w:rsidR="009018F4" w:rsidRDefault="00303284">
      <w:pPr>
        <w:ind w:left="-5" w:right="10"/>
      </w:pPr>
      <w:r>
        <w:t xml:space="preserve">Súčasťou dohodnutých platieb je aj kúpna cena, za ktorú na konci dohodnutej doby finančného prenájmu prechádza vlastnícke právo k prenajatému majetku z prenajímateľa na nájomcu. </w:t>
      </w:r>
    </w:p>
    <w:p w14:paraId="6090A8CD" w14:textId="77777777" w:rsidR="009018F4" w:rsidRDefault="00303284">
      <w:pPr>
        <w:ind w:left="-5" w:right="10"/>
      </w:pPr>
      <w:r>
        <w:t xml:space="preserve">Dohodnutá doba nájmu je najmenej 60 % doby odpisovania podľa daňových predpisov. V prípade nájmu pozemku je doba nájmu najmenej 60 % doby odpisovania hmotného majetku zaradeného do daňovej odpisovej skupiny 5 resp. 6 (budovy a stavby, doba odpisovania pre daňové účely 20 resp. 40 rokov). </w:t>
      </w:r>
    </w:p>
    <w:p w14:paraId="28A8A4BA" w14:textId="77777777" w:rsidR="009018F4" w:rsidRDefault="00303284">
      <w:pPr>
        <w:ind w:left="-5" w:right="10"/>
      </w:pPr>
      <w:r>
        <w:t xml:space="preserve">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 </w:t>
      </w:r>
    </w:p>
    <w:p w14:paraId="68C44EC2" w14:textId="77777777" w:rsidR="009018F4" w:rsidRDefault="00303284">
      <w:pPr>
        <w:ind w:left="-5" w:right="10"/>
      </w:pPr>
      <w:r>
        <w:t xml:space="preserve">Platba nájomného je alokovaná medzi splátku istiny a finančné náklady, vypočítané metódou efektívnej úrokovej miery. Finančné náklady sa účtujú na ťarchu účtu 562 – Úroky. </w:t>
      </w:r>
    </w:p>
    <w:p w14:paraId="4E0E447D" w14:textId="77777777" w:rsidR="009018F4" w:rsidRDefault="00303284">
      <w:pPr>
        <w:spacing w:after="187" w:line="265" w:lineRule="auto"/>
        <w:ind w:left="10"/>
        <w:jc w:val="left"/>
      </w:pPr>
      <w:r>
        <w:rPr>
          <w:b/>
        </w:rPr>
        <w:t xml:space="preserve">Operatívny prenájom. </w:t>
      </w:r>
    </w:p>
    <w:p w14:paraId="14664B5A" w14:textId="77777777" w:rsidR="009018F4" w:rsidRDefault="00303284">
      <w:pPr>
        <w:ind w:left="-5" w:right="10"/>
      </w:pPr>
      <w:r>
        <w:t xml:space="preserve">Majetok prenajatý na základe operatívneho prenájmu vykazuje ako svoj majetok jeho vlastník, nie nájomca. Prenájom majetku formou operatívneho leasingu sa účtuje do nákladov priebežne počas doby trvania leasingovej zmluvy. </w:t>
      </w:r>
    </w:p>
    <w:p w14:paraId="221C27E7" w14:textId="77777777" w:rsidR="00A2598E" w:rsidRDefault="00A2598E">
      <w:pPr>
        <w:ind w:left="-5" w:right="10"/>
      </w:pPr>
    </w:p>
    <w:p w14:paraId="2D33A083" w14:textId="77777777" w:rsidR="00A2598E" w:rsidRDefault="00A2598E">
      <w:pPr>
        <w:ind w:left="-5" w:right="10"/>
      </w:pPr>
    </w:p>
    <w:p w14:paraId="30A18208" w14:textId="77777777" w:rsidR="00A2598E" w:rsidRDefault="00A2598E">
      <w:pPr>
        <w:ind w:left="-5" w:right="10"/>
      </w:pPr>
    </w:p>
    <w:p w14:paraId="33656A4D" w14:textId="77777777" w:rsidR="009018F4" w:rsidRDefault="00303284">
      <w:pPr>
        <w:pStyle w:val="Nadpis2"/>
        <w:tabs>
          <w:tab w:val="center" w:pos="472"/>
          <w:tab w:val="center" w:pos="1227"/>
        </w:tabs>
        <w:ind w:left="0" w:firstLine="0"/>
      </w:pPr>
      <w:r>
        <w:rPr>
          <w:rFonts w:ascii="Calibri" w:eastAsia="Calibri" w:hAnsi="Calibri" w:cs="Calibri"/>
          <w:b w:val="0"/>
          <w:sz w:val="22"/>
        </w:rPr>
        <w:tab/>
      </w:r>
      <w:r>
        <w:t>16.</w:t>
      </w:r>
      <w:r>
        <w:tab/>
        <w:t xml:space="preserve">Cudzia mena </w:t>
      </w:r>
    </w:p>
    <w:p w14:paraId="54ABE510" w14:textId="77777777" w:rsidR="009018F4" w:rsidRDefault="00303284">
      <w:pPr>
        <w:spacing w:after="0"/>
        <w:ind w:left="-5" w:right="10"/>
      </w:pPr>
      <w:r>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(ďalej ako referenčný kurz). </w:t>
      </w:r>
    </w:p>
    <w:p w14:paraId="617F6F87" w14:textId="77777777" w:rsidR="009018F4" w:rsidRDefault="00303284">
      <w:pPr>
        <w:spacing w:after="8"/>
        <w:ind w:left="-5" w:right="10"/>
      </w:pPr>
      <w:r>
        <w:t xml:space="preserve">Na ocenenie prírastku cudzej meny nakúpenej za euro sa použije kurz, za ktorý bola táto cudzia mena nakúpená. </w:t>
      </w:r>
    </w:p>
    <w:p w14:paraId="19F5E57E" w14:textId="77777777" w:rsidR="00A2598E" w:rsidRDefault="00A2598E">
      <w:pPr>
        <w:spacing w:after="0"/>
        <w:ind w:left="-5" w:right="10"/>
      </w:pPr>
    </w:p>
    <w:p w14:paraId="70E66A47" w14:textId="77777777" w:rsidR="009018F4" w:rsidRDefault="00303284">
      <w:pPr>
        <w:spacing w:after="0"/>
        <w:ind w:left="-5" w:right="10"/>
      </w:pPr>
      <w:r>
        <w:t xml:space="preserve">Na ocenenie prírastku cudzej meny nakúpenej za inú cudziu menu sa použije hodnota inej cudzej meny v eurách alebo na ocenenie prírastku cudzej meny v eurách sa použije referenčný kurz v deň uzavretia obchodu. </w:t>
      </w:r>
    </w:p>
    <w:p w14:paraId="528816A2" w14:textId="77777777" w:rsidR="009018F4" w:rsidRDefault="00303284">
      <w:pPr>
        <w:spacing w:after="65"/>
        <w:ind w:left="-5" w:right="10"/>
      </w:pPr>
      <w:r>
        <w:t xml:space="preserve">Na ocenenie cudzej meny obstarávanej v rámci menového derivátu ak je zmluvnou stranou banka alebo pobočka zahraničnej banky, použije sa ku dňu ocenenia kurz banky alebo pobočky zahraničnej banky, ktorá je zmluvnou stranou tohto menového derivátu alebo sa použije referenčný kurz ku dňu ocenenia, </w:t>
      </w:r>
    </w:p>
    <w:p w14:paraId="49D933F8" w14:textId="77777777" w:rsidR="009018F4" w:rsidRDefault="00303284">
      <w:pPr>
        <w:numPr>
          <w:ilvl w:val="0"/>
          <w:numId w:val="6"/>
        </w:numPr>
        <w:spacing w:after="0" w:line="371" w:lineRule="auto"/>
        <w:ind w:right="22" w:hanging="360"/>
        <w:jc w:val="left"/>
      </w:pPr>
      <w:r>
        <w:t xml:space="preserve">ak zmluvnou stranou nie je banka alebo pobočka zahraničnej banky, použije sa na ocenenie referenčný kurz ku dňu ocenenia. Na úbytok rovnakej cudzej meny v hotovosti alebo z devízového účtu sa na prepočet cudzej meny na eurá použije </w:t>
      </w:r>
    </w:p>
    <w:p w14:paraId="2CAB993F" w14:textId="77777777" w:rsidR="009018F4" w:rsidRDefault="00303284">
      <w:pPr>
        <w:numPr>
          <w:ilvl w:val="0"/>
          <w:numId w:val="6"/>
        </w:numPr>
        <w:ind w:right="22" w:hanging="360"/>
        <w:jc w:val="left"/>
      </w:pPr>
      <w:r>
        <w:t xml:space="preserve">referenčný výmenný kurz určený a vyhlásený Európskou centrálnou bankou alebo Národnou bankou Slovenska v deň predchádzajúci dňu uskutočnenia účtovného prípadu. </w:t>
      </w:r>
    </w:p>
    <w:p w14:paraId="4E22CBCB" w14:textId="77777777" w:rsidR="009018F4" w:rsidRDefault="00303284">
      <w:pPr>
        <w:ind w:left="-5" w:right="10"/>
      </w:pPr>
      <w: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27F116A5" w14:textId="77777777" w:rsidR="009018F4" w:rsidRDefault="00303284">
      <w:pPr>
        <w:ind w:left="-5" w:right="10"/>
      </w:pPr>
      <w:r>
        <w:t xml:space="preserve">Prijaté a poskytnuté preddavky v cudzej mene na účet zriadený v eurách a z účtu zriadeného v eurách sa prepočítavajú na menu euro kurzom, za ktorý boli tieto hodnoty nakúpené alebo predané. Ku dňu, ku ktorému sa zostavuje účtovná závierka, sa už neprepočítavajú. </w:t>
      </w:r>
    </w:p>
    <w:p w14:paraId="66FE80FF" w14:textId="77777777" w:rsidR="009018F4" w:rsidRDefault="00303284">
      <w:pPr>
        <w:spacing w:after="408"/>
        <w:ind w:left="-5" w:right="10"/>
      </w:pPr>
      <w: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4CA7944C" w14:textId="77777777" w:rsidR="009018F4" w:rsidRDefault="00303284">
      <w:pPr>
        <w:pStyle w:val="Nadpis2"/>
        <w:tabs>
          <w:tab w:val="center" w:pos="472"/>
          <w:tab w:val="center" w:pos="1005"/>
        </w:tabs>
        <w:ind w:left="0" w:firstLine="0"/>
      </w:pPr>
      <w:r>
        <w:rPr>
          <w:rFonts w:ascii="Calibri" w:eastAsia="Calibri" w:hAnsi="Calibri" w:cs="Calibri"/>
          <w:b w:val="0"/>
          <w:sz w:val="22"/>
        </w:rPr>
        <w:tab/>
      </w:r>
      <w:r>
        <w:t>17.</w:t>
      </w:r>
      <w:r>
        <w:tab/>
        <w:t xml:space="preserve">Výnosy </w:t>
      </w:r>
    </w:p>
    <w:p w14:paraId="53F10365" w14:textId="77777777" w:rsidR="009018F4" w:rsidRDefault="00303284">
      <w:pPr>
        <w:ind w:left="-5" w:right="10"/>
      </w:pPr>
      <w:r>
        <w:t xml:space="preserve">Tržby za vlastné výkony a tovar neobsahujú daň z pridanej hodnoty. Sú tiež znížené o zľavy a zrážky (rabaty, bonusy, skontá, dobropisy a pod.), bez ohľadu na to, či zákazník mal vopred na zľavu nárok, alebo či ide o dodatočne uznanú zľavu. Tržby z predaja výrobkov a tovaru sa vykazujú v deň splnenia dodávky podľa Obchodného zákonníka, podľa </w:t>
      </w:r>
      <w:proofErr w:type="spellStart"/>
      <w:r>
        <w:t>Incoterms</w:t>
      </w:r>
      <w:proofErr w:type="spellEnd"/>
      <w:r>
        <w:t xml:space="preserve"> alebo iných podmienok dohodnutých v zmluve. </w:t>
      </w:r>
    </w:p>
    <w:p w14:paraId="601C2716" w14:textId="77777777" w:rsidR="009018F4" w:rsidRDefault="00303284">
      <w:pPr>
        <w:spacing w:after="8"/>
        <w:ind w:left="-5" w:right="10"/>
      </w:pPr>
      <w:r>
        <w:t xml:space="preserve">Tržby z predaja služieb sa vykazujú v účtovnom období, v ktorom boli služby poskytnuté. </w:t>
      </w:r>
    </w:p>
    <w:p w14:paraId="33145853" w14:textId="77777777" w:rsidR="009018F4" w:rsidRDefault="00303284">
      <w:pPr>
        <w:ind w:left="-5" w:right="10"/>
      </w:pPr>
      <w:r>
        <w:t xml:space="preserve">Výnosové úroky sa účtujú rovnomerne v účtovných obdobiach, ktorých sa vecne a časovo týkajú / na základe časového rozlíšenia metódou efektívnej úrokovej miery. </w:t>
      </w:r>
    </w:p>
    <w:p w14:paraId="2E8D401F" w14:textId="77777777" w:rsidR="009018F4" w:rsidRDefault="00303284">
      <w:pPr>
        <w:pStyle w:val="Nadpis2"/>
        <w:tabs>
          <w:tab w:val="center" w:pos="472"/>
          <w:tab w:val="center" w:pos="1483"/>
        </w:tabs>
        <w:ind w:left="0" w:firstLine="0"/>
      </w:pPr>
      <w:r>
        <w:rPr>
          <w:rFonts w:ascii="Calibri" w:eastAsia="Calibri" w:hAnsi="Calibri" w:cs="Calibri"/>
          <w:b w:val="0"/>
          <w:sz w:val="22"/>
        </w:rPr>
        <w:tab/>
      </w:r>
      <w:r>
        <w:t>18.</w:t>
      </w:r>
      <w:r>
        <w:tab/>
        <w:t xml:space="preserve">Porovnateľné údaje </w:t>
      </w:r>
    </w:p>
    <w:p w14:paraId="7BE1A22D" w14:textId="77777777" w:rsidR="009018F4" w:rsidRDefault="00303284">
      <w:pPr>
        <w:ind w:left="-5" w:right="10"/>
      </w:pPr>
      <w: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14:paraId="1A178C0A" w14:textId="77777777" w:rsidR="009018F4" w:rsidRDefault="00303284">
      <w:pPr>
        <w:pStyle w:val="Nadpis2"/>
        <w:tabs>
          <w:tab w:val="center" w:pos="472"/>
          <w:tab w:val="center" w:pos="1893"/>
        </w:tabs>
        <w:ind w:left="0" w:firstLine="0"/>
      </w:pPr>
      <w:r>
        <w:rPr>
          <w:rFonts w:ascii="Calibri" w:eastAsia="Calibri" w:hAnsi="Calibri" w:cs="Calibri"/>
          <w:b w:val="0"/>
          <w:sz w:val="22"/>
        </w:rPr>
        <w:tab/>
      </w:r>
      <w:r>
        <w:t>19.</w:t>
      </w:r>
      <w:r>
        <w:tab/>
        <w:t xml:space="preserve">Oprava chýb minulých období </w:t>
      </w:r>
    </w:p>
    <w:p w14:paraId="1464207F" w14:textId="77777777" w:rsidR="009018F4" w:rsidRDefault="00303284">
      <w:pPr>
        <w:ind w:left="-5" w:right="10"/>
      </w:pPr>
      <w:r>
        <w:t xml:space="preserve">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14:paraId="603F58D7" w14:textId="41A3C703" w:rsidR="009018F4" w:rsidRDefault="00303284">
      <w:pPr>
        <w:ind w:left="-5" w:right="10"/>
      </w:pPr>
      <w:r>
        <w:t xml:space="preserve">V roku </w:t>
      </w:r>
      <w:r w:rsidR="000D5A50">
        <w:t>2024</w:t>
      </w:r>
      <w:r>
        <w:t xml:space="preserve"> Spoločnosť účtovala o oprave významných chýb minulých období. </w:t>
      </w:r>
    </w:p>
    <w:p w14:paraId="7654455D" w14:textId="77777777" w:rsidR="00A2598E" w:rsidRDefault="00A2598E">
      <w:pPr>
        <w:pStyle w:val="Nadpis1"/>
        <w:tabs>
          <w:tab w:val="center" w:pos="3353"/>
        </w:tabs>
        <w:ind w:left="0" w:firstLine="0"/>
      </w:pPr>
    </w:p>
    <w:p w14:paraId="79400C7D" w14:textId="77777777" w:rsidR="009018F4" w:rsidRDefault="00303284">
      <w:pPr>
        <w:pStyle w:val="Nadpis1"/>
        <w:tabs>
          <w:tab w:val="center" w:pos="3353"/>
        </w:tabs>
        <w:ind w:left="0" w:firstLine="0"/>
      </w:pPr>
      <w:r>
        <w:t>E.</w:t>
      </w:r>
      <w:r>
        <w:tab/>
        <w:t xml:space="preserve">INFORMÁCIE K POLOŽKÁM SÚVAHY A VÝKAZU ZISKOV A STRÁT </w:t>
      </w:r>
    </w:p>
    <w:p w14:paraId="292C1631" w14:textId="77777777" w:rsidR="009018F4" w:rsidRDefault="00303284">
      <w:pPr>
        <w:pStyle w:val="Nadpis2"/>
        <w:tabs>
          <w:tab w:val="center" w:pos="427"/>
          <w:tab w:val="center" w:pos="1050"/>
        </w:tabs>
        <w:ind w:left="0" w:firstLine="0"/>
      </w:pPr>
      <w:r>
        <w:rPr>
          <w:rFonts w:ascii="Calibri" w:eastAsia="Calibri" w:hAnsi="Calibri" w:cs="Calibri"/>
          <w:b w:val="0"/>
          <w:sz w:val="22"/>
        </w:rPr>
        <w:tab/>
      </w:r>
      <w:r>
        <w:t>1.</w:t>
      </w:r>
      <w:r>
        <w:tab/>
        <w:t xml:space="preserve">Záväzky </w:t>
      </w:r>
    </w:p>
    <w:tbl>
      <w:tblPr>
        <w:tblStyle w:val="TableGrid"/>
        <w:tblpPr w:vertAnchor="text" w:tblpX="18" w:tblpY="627"/>
        <w:tblOverlap w:val="never"/>
        <w:tblW w:w="8705" w:type="dxa"/>
        <w:tblInd w:w="0" w:type="dxa"/>
        <w:tblLook w:val="04A0" w:firstRow="1" w:lastRow="0" w:firstColumn="1" w:lastColumn="0" w:noHBand="0" w:noVBand="1"/>
      </w:tblPr>
      <w:tblGrid>
        <w:gridCol w:w="8716"/>
        <w:gridCol w:w="6"/>
        <w:gridCol w:w="6"/>
      </w:tblGrid>
      <w:tr w:rsidR="009018F4" w14:paraId="30137BEF" w14:textId="77777777" w:rsidTr="00960E5A">
        <w:trPr>
          <w:trHeight w:val="1558"/>
        </w:trPr>
        <w:tc>
          <w:tcPr>
            <w:tcW w:w="5758" w:type="dxa"/>
            <w:tcBorders>
              <w:top w:val="nil"/>
              <w:left w:val="nil"/>
              <w:bottom w:val="nil"/>
              <w:right w:val="nil"/>
            </w:tcBorders>
            <w:vAlign w:val="bottom"/>
          </w:tcPr>
          <w:tbl>
            <w:tblPr>
              <w:tblStyle w:val="TableGrid"/>
              <w:tblW w:w="8680" w:type="dxa"/>
              <w:tblInd w:w="18" w:type="dxa"/>
              <w:tblLook w:val="04A0" w:firstRow="1" w:lastRow="0" w:firstColumn="1" w:lastColumn="0" w:noHBand="0" w:noVBand="1"/>
            </w:tblPr>
            <w:tblGrid>
              <w:gridCol w:w="8686"/>
              <w:gridCol w:w="6"/>
              <w:gridCol w:w="6"/>
            </w:tblGrid>
            <w:tr w:rsidR="00960E5A" w14:paraId="6697187A" w14:textId="77777777" w:rsidTr="00341AD8">
              <w:trPr>
                <w:trHeight w:val="231"/>
              </w:trPr>
              <w:tc>
                <w:tcPr>
                  <w:tcW w:w="5756" w:type="dxa"/>
                  <w:tcBorders>
                    <w:top w:val="nil"/>
                    <w:left w:val="nil"/>
                    <w:bottom w:val="nil"/>
                    <w:right w:val="nil"/>
                  </w:tcBorders>
                </w:tcPr>
                <w:tbl>
                  <w:tblPr>
                    <w:tblStyle w:val="TableGrid"/>
                    <w:tblpPr w:vertAnchor="text" w:tblpX="18" w:tblpY="627"/>
                    <w:tblOverlap w:val="never"/>
                    <w:tblW w:w="8686" w:type="dxa"/>
                    <w:tblInd w:w="0" w:type="dxa"/>
                    <w:tblLook w:val="04A0" w:firstRow="1" w:lastRow="0" w:firstColumn="1" w:lastColumn="0" w:noHBand="0" w:noVBand="1"/>
                  </w:tblPr>
                  <w:tblGrid>
                    <w:gridCol w:w="5758"/>
                    <w:gridCol w:w="1488"/>
                    <w:gridCol w:w="1440"/>
                  </w:tblGrid>
                  <w:tr w:rsidR="00A60214" w14:paraId="28CEDE5A" w14:textId="77777777" w:rsidTr="007E69CA">
                    <w:trPr>
                      <w:trHeight w:val="223"/>
                    </w:trPr>
                    <w:tc>
                      <w:tcPr>
                        <w:tcW w:w="5758" w:type="dxa"/>
                        <w:tcBorders>
                          <w:top w:val="nil"/>
                          <w:left w:val="nil"/>
                          <w:bottom w:val="nil"/>
                          <w:right w:val="nil"/>
                        </w:tcBorders>
                      </w:tcPr>
                      <w:p w14:paraId="7EA62F32" w14:textId="77777777" w:rsidR="00A60214" w:rsidRDefault="00A60214" w:rsidP="00A60214">
                        <w:pPr>
                          <w:spacing w:after="160" w:line="259" w:lineRule="auto"/>
                          <w:ind w:left="0" w:firstLine="0"/>
                          <w:jc w:val="left"/>
                        </w:pPr>
                      </w:p>
                    </w:tc>
                    <w:tc>
                      <w:tcPr>
                        <w:tcW w:w="1488" w:type="dxa"/>
                        <w:tcBorders>
                          <w:top w:val="nil"/>
                          <w:left w:val="nil"/>
                          <w:bottom w:val="nil"/>
                          <w:right w:val="nil"/>
                        </w:tcBorders>
                      </w:tcPr>
                      <w:p w14:paraId="486D7AE3" w14:textId="55144965" w:rsidR="00A60214" w:rsidRPr="003F66E0" w:rsidRDefault="00A60214" w:rsidP="000D5A50">
                        <w:pPr>
                          <w:spacing w:after="0" w:line="259" w:lineRule="auto"/>
                          <w:ind w:left="59" w:firstLine="0"/>
                          <w:jc w:val="center"/>
                        </w:pPr>
                        <w:r w:rsidRPr="003F66E0">
                          <w:t>31.12.202</w:t>
                        </w:r>
                        <w:r w:rsidR="00526E5C" w:rsidRPr="003F66E0">
                          <w:t>5</w:t>
                        </w:r>
                      </w:p>
                    </w:tc>
                    <w:tc>
                      <w:tcPr>
                        <w:tcW w:w="1440" w:type="dxa"/>
                        <w:tcBorders>
                          <w:top w:val="nil"/>
                          <w:left w:val="nil"/>
                          <w:bottom w:val="nil"/>
                          <w:right w:val="nil"/>
                        </w:tcBorders>
                      </w:tcPr>
                      <w:p w14:paraId="2B103BB2" w14:textId="5B96EBD9" w:rsidR="00A60214" w:rsidRDefault="00A60214" w:rsidP="000D5A50">
                        <w:pPr>
                          <w:spacing w:after="0" w:line="259" w:lineRule="auto"/>
                          <w:ind w:left="0" w:right="1" w:firstLine="0"/>
                          <w:jc w:val="right"/>
                        </w:pPr>
                        <w:r>
                          <w:t>31.12.202</w:t>
                        </w:r>
                        <w:r w:rsidR="00526E5C">
                          <w:t>4</w:t>
                        </w:r>
                      </w:p>
                    </w:tc>
                  </w:tr>
                  <w:tr w:rsidR="00A60214" w14:paraId="3E8DAEFF" w14:textId="77777777" w:rsidTr="007E69CA">
                    <w:trPr>
                      <w:trHeight w:val="250"/>
                    </w:trPr>
                    <w:tc>
                      <w:tcPr>
                        <w:tcW w:w="5758" w:type="dxa"/>
                        <w:tcBorders>
                          <w:top w:val="nil"/>
                          <w:left w:val="nil"/>
                          <w:bottom w:val="nil"/>
                          <w:right w:val="nil"/>
                        </w:tcBorders>
                      </w:tcPr>
                      <w:p w14:paraId="2334EF80" w14:textId="77777777" w:rsidR="00A60214" w:rsidRDefault="00A60214" w:rsidP="00A60214">
                        <w:pPr>
                          <w:spacing w:after="0" w:line="259" w:lineRule="auto"/>
                          <w:ind w:left="0" w:firstLine="0"/>
                          <w:jc w:val="left"/>
                        </w:pPr>
                        <w:r>
                          <w:t>Záväzky po splatnosti</w:t>
                        </w:r>
                      </w:p>
                    </w:tc>
                    <w:tc>
                      <w:tcPr>
                        <w:tcW w:w="1488" w:type="dxa"/>
                        <w:tcBorders>
                          <w:top w:val="nil"/>
                          <w:left w:val="nil"/>
                          <w:bottom w:val="nil"/>
                          <w:right w:val="nil"/>
                        </w:tcBorders>
                      </w:tcPr>
                      <w:p w14:paraId="40D4BBF2" w14:textId="0BB86811" w:rsidR="00A60214" w:rsidRPr="003F66E0" w:rsidRDefault="003F66E0" w:rsidP="00831398">
                        <w:pPr>
                          <w:spacing w:after="0" w:line="259" w:lineRule="auto"/>
                          <w:ind w:left="0" w:firstLine="0"/>
                          <w:jc w:val="left"/>
                        </w:pPr>
                        <w:r>
                          <w:t>146 127,29</w:t>
                        </w:r>
                        <w:r w:rsidR="00A60214" w:rsidRPr="003F66E0">
                          <w:t xml:space="preserve">   </w:t>
                        </w:r>
                      </w:p>
                    </w:tc>
                    <w:tc>
                      <w:tcPr>
                        <w:tcW w:w="1440" w:type="dxa"/>
                        <w:tcBorders>
                          <w:top w:val="nil"/>
                          <w:left w:val="nil"/>
                          <w:bottom w:val="nil"/>
                          <w:right w:val="nil"/>
                        </w:tcBorders>
                      </w:tcPr>
                      <w:p w14:paraId="3C3B0077" w14:textId="01B00611" w:rsidR="00A60214" w:rsidRDefault="00A60214" w:rsidP="000D5A50">
                        <w:pPr>
                          <w:spacing w:after="0" w:line="259" w:lineRule="auto"/>
                          <w:ind w:left="0" w:firstLine="0"/>
                        </w:pPr>
                        <w:r>
                          <w:t xml:space="preserve">                  </w:t>
                        </w:r>
                        <w:r w:rsidR="000D5A50">
                          <w:t>1</w:t>
                        </w:r>
                        <w:r w:rsidR="00526E5C">
                          <w:t>09</w:t>
                        </w:r>
                        <w:r w:rsidR="00BB798A">
                          <w:t xml:space="preserve"> </w:t>
                        </w:r>
                        <w:r w:rsidR="00526E5C">
                          <w:t>738</w:t>
                        </w:r>
                        <w:r>
                          <w:t xml:space="preserve">  </w:t>
                        </w:r>
                      </w:p>
                    </w:tc>
                  </w:tr>
                  <w:tr w:rsidR="00A60214" w14:paraId="31B2C6E6" w14:textId="77777777" w:rsidTr="007E69CA">
                    <w:trPr>
                      <w:trHeight w:val="959"/>
                    </w:trPr>
                    <w:tc>
                      <w:tcPr>
                        <w:tcW w:w="5758" w:type="dxa"/>
                        <w:tcBorders>
                          <w:top w:val="nil"/>
                          <w:left w:val="nil"/>
                          <w:bottom w:val="nil"/>
                          <w:right w:val="nil"/>
                        </w:tcBorders>
                      </w:tcPr>
                      <w:p w14:paraId="5C7F3757" w14:textId="77777777" w:rsidR="00A60214" w:rsidRDefault="00A60214" w:rsidP="00A60214">
                        <w:pPr>
                          <w:spacing w:after="13" w:line="259" w:lineRule="auto"/>
                          <w:ind w:left="0" w:firstLine="0"/>
                          <w:jc w:val="left"/>
                        </w:pPr>
                        <w:r>
                          <w:t>Záväzky so zostatkovou dobou splatnosti do 1 roka</w:t>
                        </w:r>
                      </w:p>
                      <w:p w14:paraId="177AE21E" w14:textId="77777777" w:rsidR="00A60214" w:rsidRDefault="00A60214" w:rsidP="00A60214">
                        <w:pPr>
                          <w:spacing w:after="12" w:line="259" w:lineRule="auto"/>
                          <w:ind w:left="0" w:firstLine="0"/>
                          <w:jc w:val="left"/>
                        </w:pPr>
                        <w:r>
                          <w:t>Záväzky so zostatkovou dobou splatnosti 1 až 5 rokov</w:t>
                        </w:r>
                      </w:p>
                      <w:p w14:paraId="604166BF" w14:textId="77777777" w:rsidR="00A60214" w:rsidRDefault="00A60214" w:rsidP="00A60214">
                        <w:pPr>
                          <w:spacing w:after="0" w:line="259" w:lineRule="auto"/>
                          <w:ind w:left="0" w:right="1055" w:firstLine="0"/>
                          <w:jc w:val="left"/>
                        </w:pPr>
                        <w:r>
                          <w:t>Záväzky so zostatkovou dobou splatnosti viac ako 5 rokov Záväzky spolu</w:t>
                        </w:r>
                      </w:p>
                    </w:tc>
                    <w:tc>
                      <w:tcPr>
                        <w:tcW w:w="1488" w:type="dxa"/>
                        <w:tcBorders>
                          <w:top w:val="nil"/>
                          <w:left w:val="nil"/>
                          <w:bottom w:val="nil"/>
                          <w:right w:val="nil"/>
                        </w:tcBorders>
                      </w:tcPr>
                      <w:p w14:paraId="480FA306" w14:textId="0D527692" w:rsidR="00A60214" w:rsidRPr="003F66E0" w:rsidRDefault="003F66E0" w:rsidP="00A60214">
                        <w:pPr>
                          <w:spacing w:after="13" w:line="259" w:lineRule="auto"/>
                          <w:ind w:left="232" w:firstLine="0"/>
                          <w:jc w:val="center"/>
                        </w:pPr>
                        <w:r>
                          <w:t>83 436,10</w:t>
                        </w:r>
                      </w:p>
                      <w:p w14:paraId="1AEDFDC4" w14:textId="77777777" w:rsidR="00A60214" w:rsidRPr="003F66E0" w:rsidRDefault="00A60214" w:rsidP="00A60214">
                        <w:pPr>
                          <w:spacing w:after="12" w:line="259" w:lineRule="auto"/>
                          <w:ind w:left="324" w:firstLine="0"/>
                          <w:jc w:val="center"/>
                        </w:pPr>
                        <w:r w:rsidRPr="003F66E0">
                          <w:t xml:space="preserve">     - </w:t>
                        </w:r>
                      </w:p>
                      <w:p w14:paraId="372D00DA" w14:textId="77777777" w:rsidR="00A60214" w:rsidRPr="003F66E0" w:rsidRDefault="00A60214" w:rsidP="00A60214">
                        <w:pPr>
                          <w:spacing w:after="12" w:line="259" w:lineRule="auto"/>
                          <w:ind w:left="0" w:firstLine="0"/>
                          <w:jc w:val="left"/>
                        </w:pPr>
                        <w:r w:rsidRPr="003F66E0">
                          <w:rPr>
                            <w:u w:val="single" w:color="000000"/>
                          </w:rPr>
                          <w:t xml:space="preserve">                      -   </w:t>
                        </w:r>
                      </w:p>
                      <w:p w14:paraId="54866AF5" w14:textId="288BE383" w:rsidR="00A60214" w:rsidRPr="003F66E0" w:rsidRDefault="003F66E0" w:rsidP="00831398">
                        <w:pPr>
                          <w:spacing w:after="0" w:line="259" w:lineRule="auto"/>
                          <w:ind w:left="232" w:firstLine="0"/>
                        </w:pPr>
                        <w:r>
                          <w:t>229 563,39</w:t>
                        </w:r>
                      </w:p>
                    </w:tc>
                    <w:tc>
                      <w:tcPr>
                        <w:tcW w:w="1440" w:type="dxa"/>
                        <w:tcBorders>
                          <w:top w:val="nil"/>
                          <w:left w:val="nil"/>
                          <w:bottom w:val="nil"/>
                          <w:right w:val="nil"/>
                        </w:tcBorders>
                      </w:tcPr>
                      <w:p w14:paraId="43C228F2" w14:textId="1483181E" w:rsidR="00A60214" w:rsidRDefault="00526E5C" w:rsidP="00A60214">
                        <w:pPr>
                          <w:spacing w:after="13" w:line="259" w:lineRule="auto"/>
                          <w:ind w:left="0" w:right="46" w:firstLine="0"/>
                          <w:jc w:val="right"/>
                        </w:pPr>
                        <w:r>
                          <w:t>319</w:t>
                        </w:r>
                        <w:r w:rsidR="00A60214">
                          <w:t xml:space="preserve"> </w:t>
                        </w:r>
                        <w:r>
                          <w:t>664</w:t>
                        </w:r>
                        <w:r w:rsidR="00A60214">
                          <w:t xml:space="preserve"> </w:t>
                        </w:r>
                      </w:p>
                      <w:p w14:paraId="0AA9B3FE" w14:textId="77777777" w:rsidR="00A60214" w:rsidRDefault="00A60214" w:rsidP="00A60214">
                        <w:pPr>
                          <w:spacing w:after="12" w:line="259" w:lineRule="auto"/>
                          <w:ind w:left="0" w:firstLine="0"/>
                        </w:pPr>
                        <w:r>
                          <w:t xml:space="preserve">                            -   </w:t>
                        </w:r>
                      </w:p>
                      <w:p w14:paraId="2B6AD637" w14:textId="77777777" w:rsidR="00A60214" w:rsidRDefault="00A60214" w:rsidP="00A60214">
                        <w:pPr>
                          <w:spacing w:after="12" w:line="259" w:lineRule="auto"/>
                          <w:ind w:left="0" w:firstLine="0"/>
                        </w:pPr>
                        <w:r>
                          <w:rPr>
                            <w:u w:val="single" w:color="000000"/>
                          </w:rPr>
                          <w:t xml:space="preserve">                            -   </w:t>
                        </w:r>
                      </w:p>
                      <w:p w14:paraId="3CA8C5A3" w14:textId="04C0E839" w:rsidR="00A60214" w:rsidRDefault="00526E5C" w:rsidP="000D5A50">
                        <w:pPr>
                          <w:spacing w:after="0" w:line="259" w:lineRule="auto"/>
                          <w:ind w:left="0" w:right="46" w:firstLine="0"/>
                          <w:jc w:val="right"/>
                        </w:pPr>
                        <w:r>
                          <w:t>429</w:t>
                        </w:r>
                        <w:r w:rsidR="00377A0E">
                          <w:t xml:space="preserve"> </w:t>
                        </w:r>
                        <w:r>
                          <w:t>402</w:t>
                        </w:r>
                      </w:p>
                    </w:tc>
                  </w:tr>
                </w:tbl>
                <w:p w14:paraId="31803DFC" w14:textId="77777777" w:rsidR="00960E5A" w:rsidRDefault="00960E5A" w:rsidP="00960E5A">
                  <w:pPr>
                    <w:framePr w:wrap="around" w:vAnchor="text" w:hAnchor="text" w:x="18" w:y="627"/>
                    <w:spacing w:after="160" w:line="259" w:lineRule="auto"/>
                    <w:ind w:left="0" w:firstLine="0"/>
                    <w:suppressOverlap/>
                    <w:jc w:val="left"/>
                  </w:pPr>
                </w:p>
              </w:tc>
              <w:tc>
                <w:tcPr>
                  <w:tcW w:w="1486" w:type="dxa"/>
                  <w:tcBorders>
                    <w:top w:val="nil"/>
                    <w:left w:val="nil"/>
                    <w:bottom w:val="nil"/>
                    <w:right w:val="nil"/>
                  </w:tcBorders>
                </w:tcPr>
                <w:p w14:paraId="1FD6C5CA" w14:textId="3B4BA4DE" w:rsidR="00960E5A" w:rsidRDefault="00960E5A" w:rsidP="00960E5A">
                  <w:pPr>
                    <w:framePr w:wrap="around" w:vAnchor="text" w:hAnchor="text" w:x="18" w:y="627"/>
                    <w:spacing w:after="0" w:line="259" w:lineRule="auto"/>
                    <w:ind w:left="54" w:firstLine="0"/>
                    <w:suppressOverlap/>
                    <w:jc w:val="center"/>
                  </w:pPr>
                </w:p>
              </w:tc>
              <w:tc>
                <w:tcPr>
                  <w:tcW w:w="1438" w:type="dxa"/>
                  <w:tcBorders>
                    <w:top w:val="nil"/>
                    <w:left w:val="nil"/>
                    <w:bottom w:val="nil"/>
                    <w:right w:val="nil"/>
                  </w:tcBorders>
                </w:tcPr>
                <w:p w14:paraId="0D6E96AD" w14:textId="33A0CFAB" w:rsidR="00960E5A" w:rsidRDefault="00960E5A" w:rsidP="00960E5A">
                  <w:pPr>
                    <w:framePr w:wrap="around" w:vAnchor="text" w:hAnchor="text" w:x="18" w:y="627"/>
                    <w:spacing w:after="0" w:line="259" w:lineRule="auto"/>
                    <w:ind w:left="0" w:firstLine="0"/>
                    <w:suppressOverlap/>
                    <w:jc w:val="right"/>
                  </w:pPr>
                </w:p>
              </w:tc>
            </w:tr>
            <w:tr w:rsidR="00960E5A" w14:paraId="4220AB2A" w14:textId="77777777" w:rsidTr="00341AD8">
              <w:trPr>
                <w:trHeight w:val="959"/>
              </w:trPr>
              <w:tc>
                <w:tcPr>
                  <w:tcW w:w="5756" w:type="dxa"/>
                  <w:tcBorders>
                    <w:top w:val="nil"/>
                    <w:left w:val="nil"/>
                    <w:bottom w:val="nil"/>
                    <w:right w:val="nil"/>
                  </w:tcBorders>
                </w:tcPr>
                <w:p w14:paraId="47FA3B68" w14:textId="5057F681" w:rsidR="00960E5A" w:rsidRDefault="00960E5A" w:rsidP="003F66E0">
                  <w:pPr>
                    <w:framePr w:wrap="around" w:vAnchor="text" w:hAnchor="text" w:x="18" w:y="627"/>
                    <w:spacing w:after="0" w:line="259" w:lineRule="auto"/>
                    <w:ind w:left="0" w:right="1053" w:firstLine="0"/>
                    <w:suppressOverlap/>
                    <w:jc w:val="left"/>
                  </w:pPr>
                  <w:bookmarkStart w:id="0" w:name="_GoBack"/>
                  <w:bookmarkEnd w:id="0"/>
                </w:p>
              </w:tc>
              <w:tc>
                <w:tcPr>
                  <w:tcW w:w="1486" w:type="dxa"/>
                  <w:tcBorders>
                    <w:top w:val="nil"/>
                    <w:left w:val="nil"/>
                    <w:bottom w:val="nil"/>
                    <w:right w:val="nil"/>
                  </w:tcBorders>
                </w:tcPr>
                <w:p w14:paraId="7C6A9749" w14:textId="16C64BD5" w:rsidR="00960E5A" w:rsidRDefault="00960E5A" w:rsidP="003F66E0">
                  <w:pPr>
                    <w:framePr w:wrap="around" w:vAnchor="text" w:hAnchor="text" w:x="18" w:y="627"/>
                    <w:spacing w:after="0" w:line="259" w:lineRule="auto"/>
                    <w:ind w:left="235" w:firstLine="0"/>
                    <w:suppressOverlap/>
                    <w:jc w:val="center"/>
                  </w:pPr>
                </w:p>
              </w:tc>
              <w:tc>
                <w:tcPr>
                  <w:tcW w:w="1438" w:type="dxa"/>
                  <w:tcBorders>
                    <w:top w:val="nil"/>
                    <w:left w:val="nil"/>
                    <w:bottom w:val="nil"/>
                    <w:right w:val="nil"/>
                  </w:tcBorders>
                </w:tcPr>
                <w:p w14:paraId="580E92C0" w14:textId="6000B901" w:rsidR="00960E5A" w:rsidRDefault="00960E5A" w:rsidP="003F66E0">
                  <w:pPr>
                    <w:framePr w:wrap="around" w:vAnchor="text" w:hAnchor="text" w:x="18" w:y="627"/>
                    <w:spacing w:after="0" w:line="259" w:lineRule="auto"/>
                    <w:ind w:left="0" w:right="46" w:firstLine="0"/>
                    <w:suppressOverlap/>
                    <w:jc w:val="right"/>
                  </w:pPr>
                </w:p>
              </w:tc>
            </w:tr>
          </w:tbl>
          <w:p w14:paraId="7703C4DC" w14:textId="3F6258EE" w:rsidR="009018F4" w:rsidRDefault="009018F4">
            <w:pPr>
              <w:spacing w:after="0" w:line="259" w:lineRule="auto"/>
              <w:ind w:left="0" w:right="1058" w:firstLine="0"/>
              <w:jc w:val="left"/>
            </w:pPr>
          </w:p>
        </w:tc>
        <w:tc>
          <w:tcPr>
            <w:tcW w:w="1486" w:type="dxa"/>
            <w:tcBorders>
              <w:top w:val="nil"/>
              <w:left w:val="nil"/>
              <w:bottom w:val="nil"/>
              <w:right w:val="nil"/>
            </w:tcBorders>
          </w:tcPr>
          <w:p w14:paraId="7F263781" w14:textId="54B503DF" w:rsidR="009018F4" w:rsidRDefault="009018F4">
            <w:pPr>
              <w:spacing w:after="0" w:line="259" w:lineRule="auto"/>
              <w:ind w:left="414" w:right="360" w:firstLine="0"/>
              <w:jc w:val="right"/>
            </w:pPr>
          </w:p>
        </w:tc>
        <w:tc>
          <w:tcPr>
            <w:tcW w:w="1461" w:type="dxa"/>
            <w:tcBorders>
              <w:top w:val="nil"/>
              <w:left w:val="nil"/>
              <w:bottom w:val="nil"/>
              <w:right w:val="nil"/>
            </w:tcBorders>
          </w:tcPr>
          <w:p w14:paraId="20F69DE1" w14:textId="07D04B59" w:rsidR="009018F4" w:rsidRDefault="009018F4">
            <w:pPr>
              <w:spacing w:after="0" w:line="259" w:lineRule="auto"/>
              <w:ind w:left="-38" w:firstLine="0"/>
              <w:jc w:val="left"/>
            </w:pPr>
          </w:p>
        </w:tc>
      </w:tr>
    </w:tbl>
    <w:p w14:paraId="76864654" w14:textId="629BA330" w:rsidR="009018F4" w:rsidRDefault="00303284">
      <w:pPr>
        <w:ind w:left="-5" w:right="10"/>
      </w:pPr>
      <w:r>
        <w:t xml:space="preserve">Štruktúra záväzkov (okrem záväzkov zo sociálneho fondu a odloženého daňového záväzku) podľa zostatkovej doby splatnosti je uvedená v nasledujúcom prehľade: </w:t>
      </w:r>
    </w:p>
    <w:p w14:paraId="184501CC" w14:textId="14D8E92F" w:rsidR="009018F4" w:rsidRDefault="00303284">
      <w:pPr>
        <w:pStyle w:val="Nadpis1"/>
        <w:tabs>
          <w:tab w:val="center" w:pos="2621"/>
        </w:tabs>
        <w:spacing w:before="775"/>
        <w:ind w:left="0" w:firstLine="0"/>
      </w:pPr>
      <w:r>
        <w:t>F.</w:t>
      </w:r>
      <w:r>
        <w:tab/>
        <w:t xml:space="preserve">  INFORMÁCIE O POVINNOSTIACH SPOLOČNOSTI </w:t>
      </w:r>
    </w:p>
    <w:p w14:paraId="2A62BD90" w14:textId="77777777" w:rsidR="009018F4" w:rsidRDefault="00303284">
      <w:pPr>
        <w:numPr>
          <w:ilvl w:val="0"/>
          <w:numId w:val="7"/>
        </w:numPr>
        <w:spacing w:after="187" w:line="265" w:lineRule="auto"/>
        <w:ind w:hanging="360"/>
        <w:jc w:val="left"/>
      </w:pPr>
      <w:r>
        <w:rPr>
          <w:b/>
        </w:rPr>
        <w:t xml:space="preserve">Významné finančné povinnosti </w:t>
      </w:r>
    </w:p>
    <w:p w14:paraId="290EF79C" w14:textId="77777777" w:rsidR="009018F4" w:rsidRDefault="00303284">
      <w:pPr>
        <w:spacing w:after="405"/>
        <w:ind w:left="-5" w:right="10"/>
      </w:pPr>
      <w:r>
        <w:t xml:space="preserve">Významné finančné povinnosti, ktoré sa nesledujú v bežnom účtovníctve a neuvádzajú v súvahe – nie sú. </w:t>
      </w:r>
    </w:p>
    <w:p w14:paraId="3E3DDB49" w14:textId="77777777" w:rsidR="009018F4" w:rsidRDefault="00303284">
      <w:pPr>
        <w:numPr>
          <w:ilvl w:val="0"/>
          <w:numId w:val="7"/>
        </w:numPr>
        <w:spacing w:after="187" w:line="265" w:lineRule="auto"/>
        <w:ind w:hanging="360"/>
        <w:jc w:val="left"/>
      </w:pPr>
      <w:r>
        <w:rPr>
          <w:b/>
        </w:rPr>
        <w:t xml:space="preserve">Podmienené záväzky </w:t>
      </w:r>
    </w:p>
    <w:p w14:paraId="66126186" w14:textId="77777777" w:rsidR="009018F4" w:rsidRDefault="00303284">
      <w:pPr>
        <w:spacing w:after="403"/>
        <w:ind w:left="-5" w:right="10"/>
      </w:pPr>
      <w:r>
        <w:t xml:space="preserve">Spoločnosť nemá podmienené záväzky, ktoré by sa nesledovali v bežnom účtovníctve a neuvádzali by sa v súvahe. </w:t>
      </w:r>
    </w:p>
    <w:p w14:paraId="6A3441FF" w14:textId="77777777" w:rsidR="009018F4" w:rsidRDefault="00303284">
      <w:pPr>
        <w:numPr>
          <w:ilvl w:val="0"/>
          <w:numId w:val="7"/>
        </w:numPr>
        <w:spacing w:after="187" w:line="265" w:lineRule="auto"/>
        <w:ind w:hanging="360"/>
        <w:jc w:val="left"/>
      </w:pPr>
      <w:r>
        <w:rPr>
          <w:b/>
        </w:rPr>
        <w:t xml:space="preserve">Náklady, ktoré majú výnimočný rozsah alebo výskyt </w:t>
      </w:r>
    </w:p>
    <w:p w14:paraId="71D4B830" w14:textId="5C1B3255" w:rsidR="009018F4" w:rsidRDefault="00303284">
      <w:pPr>
        <w:ind w:left="-5" w:right="10"/>
      </w:pPr>
      <w:r>
        <w:t>V roku 202</w:t>
      </w:r>
      <w:r w:rsidR="00526E5C">
        <w:t>5</w:t>
      </w:r>
      <w:r>
        <w:t xml:space="preserve"> Spoločnosť neúčtovala o nákladoch, ktoré majú výnimočný rozsah alebo výskyt. </w:t>
      </w:r>
    </w:p>
    <w:p w14:paraId="08AB0081" w14:textId="77777777" w:rsidR="009018F4" w:rsidRDefault="00303284">
      <w:pPr>
        <w:pStyle w:val="Nadpis2"/>
        <w:tabs>
          <w:tab w:val="center" w:pos="427"/>
          <w:tab w:val="center" w:pos="2696"/>
        </w:tabs>
        <w:ind w:left="0" w:firstLine="0"/>
      </w:pPr>
      <w:r>
        <w:rPr>
          <w:rFonts w:ascii="Calibri" w:eastAsia="Calibri" w:hAnsi="Calibri" w:cs="Calibri"/>
          <w:b w:val="0"/>
          <w:sz w:val="22"/>
        </w:rPr>
        <w:tab/>
      </w:r>
      <w:r>
        <w:t>4.</w:t>
      </w:r>
      <w:r>
        <w:tab/>
        <w:t xml:space="preserve">Výnosy, ktoré majú výnimočný rozsah alebo výskyt </w:t>
      </w:r>
    </w:p>
    <w:p w14:paraId="233EFA1B" w14:textId="749A11E4" w:rsidR="009018F4" w:rsidRDefault="00303284">
      <w:pPr>
        <w:spacing w:after="613"/>
        <w:ind w:left="-5" w:right="10"/>
      </w:pPr>
      <w:r>
        <w:t>V roku 202</w:t>
      </w:r>
      <w:r w:rsidR="00526E5C">
        <w:t>5</w:t>
      </w:r>
      <w:r>
        <w:t xml:space="preserve"> Spoločnosť </w:t>
      </w:r>
      <w:r w:rsidR="00377A0E">
        <w:t>ne</w:t>
      </w:r>
      <w:r w:rsidR="008401C7">
        <w:t>účtovala o výnosoch, ktoré majú výnimočný rozsah alebo výskyt.</w:t>
      </w:r>
      <w:r>
        <w:t xml:space="preserve"> </w:t>
      </w:r>
    </w:p>
    <w:p w14:paraId="420D9BD9" w14:textId="77777777" w:rsidR="009018F4" w:rsidRDefault="00303284">
      <w:pPr>
        <w:pStyle w:val="Nadpis1"/>
        <w:ind w:left="420" w:hanging="360"/>
      </w:pPr>
      <w:r>
        <w:t>G.</w:t>
      </w:r>
      <w:r>
        <w:tab/>
        <w:t xml:space="preserve">INFORMÁCIE O SKUTOČNOSTIACH, KTORÉ NASTALI PO DNI, KU KTORÉMU SA ZOSTAVUJE ÚČTOVNÁ ZÁVIERKA, DO DŇA ZOSTAVENIA ÚČTOVNEJ ZÁVIERKY </w:t>
      </w:r>
    </w:p>
    <w:p w14:paraId="1F20BCF5" w14:textId="77777777" w:rsidR="009018F4" w:rsidRDefault="00303284">
      <w:pPr>
        <w:ind w:left="152" w:right="10"/>
      </w:pPr>
      <w:r>
        <w:t>Nie</w:t>
      </w:r>
    </w:p>
    <w:sectPr w:rsidR="009018F4" w:rsidSect="005E4B10">
      <w:headerReference w:type="even" r:id="rId8"/>
      <w:headerReference w:type="default" r:id="rId9"/>
      <w:footerReference w:type="even" r:id="rId10"/>
      <w:footerReference w:type="default" r:id="rId11"/>
      <w:headerReference w:type="first" r:id="rId12"/>
      <w:footerReference w:type="first" r:id="rId13"/>
      <w:pgSz w:w="11906" w:h="16838"/>
      <w:pgMar w:top="2228" w:right="1424" w:bottom="1603" w:left="1420" w:header="716" w:footer="976"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325D1" w14:textId="77777777" w:rsidR="00D249EC" w:rsidRDefault="00D249EC">
      <w:pPr>
        <w:spacing w:after="0" w:line="240" w:lineRule="auto"/>
      </w:pPr>
      <w:r>
        <w:separator/>
      </w:r>
    </w:p>
  </w:endnote>
  <w:endnote w:type="continuationSeparator" w:id="0">
    <w:p w14:paraId="2DE3BCBF" w14:textId="77777777" w:rsidR="00D249EC" w:rsidRDefault="00D24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A2846F" w14:textId="77777777" w:rsidR="009018F4" w:rsidRDefault="00303284">
    <w:pPr>
      <w:spacing w:after="0" w:line="259" w:lineRule="auto"/>
      <w:ind w:left="7" w:firstLine="0"/>
      <w:jc w:val="center"/>
    </w:pPr>
    <w:r>
      <w:rPr>
        <w:rFonts w:ascii="Calibri" w:eastAsia="Calibri" w:hAnsi="Calibri" w:cs="Calibri"/>
        <w:sz w:val="22"/>
      </w:rPr>
      <w:t xml:space="preserve">Strana </w:t>
    </w:r>
    <w:r>
      <w:fldChar w:fldCharType="begin"/>
    </w:r>
    <w:r>
      <w:instrText xml:space="preserve"> PAGE   \* MERGEFORMAT </w:instrText>
    </w:r>
    <w:r>
      <w:fldChar w:fldCharType="separate"/>
    </w:r>
    <w:r>
      <w:rPr>
        <w:rFonts w:ascii="Calibri" w:eastAsia="Calibri" w:hAnsi="Calibri" w:cs="Calibri"/>
        <w:sz w:val="24"/>
      </w:rPr>
      <w:t>13</w:t>
    </w:r>
    <w:r>
      <w:rPr>
        <w:rFonts w:ascii="Calibri" w:eastAsia="Calibri" w:hAnsi="Calibri" w:cs="Calibri"/>
        <w:sz w:val="24"/>
      </w:rPr>
      <w:fldChar w:fldCharType="end"/>
    </w:r>
    <w:r>
      <w:rPr>
        <w:rFonts w:ascii="Calibri" w:eastAsia="Calibri" w:hAnsi="Calibri" w:cs="Calibri"/>
        <w:sz w:val="22"/>
      </w:rPr>
      <w:t xml:space="preserve"> z 21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0083652"/>
      <w:docPartObj>
        <w:docPartGallery w:val="Page Numbers (Bottom of Page)"/>
        <w:docPartUnique/>
      </w:docPartObj>
    </w:sdtPr>
    <w:sdtEndPr/>
    <w:sdtContent>
      <w:p w14:paraId="7BE537B3" w14:textId="693958C9" w:rsidR="005E4A32" w:rsidRDefault="005E4A32">
        <w:pPr>
          <w:pStyle w:val="Pta"/>
          <w:jc w:val="center"/>
        </w:pPr>
        <w:r>
          <w:fldChar w:fldCharType="begin"/>
        </w:r>
        <w:r>
          <w:instrText>PAGE   \* MERGEFORMAT</w:instrText>
        </w:r>
        <w:r>
          <w:fldChar w:fldCharType="separate"/>
        </w:r>
        <w:r w:rsidR="003F66E0">
          <w:rPr>
            <w:noProof/>
          </w:rPr>
          <w:t>9</w:t>
        </w:r>
        <w:r>
          <w:fldChar w:fldCharType="end"/>
        </w:r>
      </w:p>
    </w:sdtContent>
  </w:sdt>
  <w:p w14:paraId="116D4D65" w14:textId="7D31F3B0" w:rsidR="009018F4" w:rsidRDefault="009018F4">
    <w:pPr>
      <w:spacing w:after="0" w:line="259" w:lineRule="auto"/>
      <w:ind w:left="7" w:firstLine="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986FA9" w14:textId="77777777" w:rsidR="009018F4" w:rsidRDefault="00303284">
    <w:pPr>
      <w:spacing w:after="0" w:line="259" w:lineRule="auto"/>
      <w:ind w:left="7" w:firstLine="0"/>
      <w:jc w:val="center"/>
    </w:pPr>
    <w:r>
      <w:rPr>
        <w:rFonts w:ascii="Calibri" w:eastAsia="Calibri" w:hAnsi="Calibri" w:cs="Calibri"/>
        <w:sz w:val="22"/>
      </w:rPr>
      <w:t xml:space="preserve">Strana </w:t>
    </w:r>
    <w:r>
      <w:fldChar w:fldCharType="begin"/>
    </w:r>
    <w:r>
      <w:instrText xml:space="preserve"> PAGE   \* MERGEFORMAT </w:instrText>
    </w:r>
    <w:r>
      <w:fldChar w:fldCharType="separate"/>
    </w:r>
    <w:r>
      <w:rPr>
        <w:rFonts w:ascii="Calibri" w:eastAsia="Calibri" w:hAnsi="Calibri" w:cs="Calibri"/>
        <w:sz w:val="24"/>
      </w:rPr>
      <w:t>13</w:t>
    </w:r>
    <w:r>
      <w:rPr>
        <w:rFonts w:ascii="Calibri" w:eastAsia="Calibri" w:hAnsi="Calibri" w:cs="Calibri"/>
        <w:sz w:val="24"/>
      </w:rPr>
      <w:fldChar w:fldCharType="end"/>
    </w:r>
    <w:r>
      <w:rPr>
        <w:rFonts w:ascii="Calibri" w:eastAsia="Calibri" w:hAnsi="Calibri" w:cs="Calibri"/>
        <w:sz w:val="22"/>
      </w:rPr>
      <w:t xml:space="preserve"> z 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BFDF3D" w14:textId="77777777" w:rsidR="00D249EC" w:rsidRDefault="00D249EC">
      <w:pPr>
        <w:spacing w:after="0" w:line="240" w:lineRule="auto"/>
      </w:pPr>
      <w:r>
        <w:separator/>
      </w:r>
    </w:p>
  </w:footnote>
  <w:footnote w:type="continuationSeparator" w:id="0">
    <w:p w14:paraId="5EA8A9F5" w14:textId="77777777" w:rsidR="00D249EC" w:rsidRDefault="00D249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AADA6" w14:textId="77777777" w:rsidR="009018F4" w:rsidRDefault="00303284">
    <w:pPr>
      <w:spacing w:after="189" w:line="259" w:lineRule="auto"/>
      <w:ind w:left="0" w:firstLine="0"/>
      <w:jc w:val="left"/>
    </w:pPr>
    <w:r>
      <w:rPr>
        <w:b/>
      </w:rPr>
      <w:t xml:space="preserve">ARC International, s.r.o. </w:t>
    </w:r>
  </w:p>
  <w:p w14:paraId="0EB47FAA" w14:textId="77777777" w:rsidR="009018F4" w:rsidRDefault="00303284">
    <w:pPr>
      <w:spacing w:after="189" w:line="259" w:lineRule="auto"/>
      <w:ind w:left="0" w:firstLine="0"/>
      <w:jc w:val="left"/>
    </w:pPr>
    <w:r>
      <w:rPr>
        <w:b/>
      </w:rPr>
      <w:t xml:space="preserve"> </w:t>
    </w:r>
    <w:r>
      <w:t>Účtovná závierka pre malé účtovné jednotky k 31. decembru 2021</w:t>
    </w:r>
  </w:p>
  <w:p w14:paraId="3D9265BD" w14:textId="77777777" w:rsidR="009018F4" w:rsidRDefault="00303284">
    <w:pPr>
      <w:spacing w:after="0" w:line="259" w:lineRule="auto"/>
      <w:ind w:left="0" w:firstLine="0"/>
      <w:jc w:val="left"/>
    </w:pPr>
    <w:r>
      <w:t xml:space="preserve"> Poznámky </w:t>
    </w:r>
    <w:proofErr w:type="spellStart"/>
    <w:r>
      <w:t>Úč</w:t>
    </w:r>
    <w:proofErr w:type="spellEnd"/>
    <w:r>
      <w:t xml:space="preserve"> PODV 3 - 01                                                                                                                      IČO 44490437        </w:t>
    </w:r>
  </w:p>
  <w:p w14:paraId="3455DA5A" w14:textId="77777777" w:rsidR="009018F4" w:rsidRDefault="00303284">
    <w:pPr>
      <w:spacing w:after="0" w:line="259" w:lineRule="auto"/>
      <w:ind w:left="0" w:firstLine="0"/>
      <w:jc w:val="left"/>
    </w:pPr>
    <w:r>
      <w:t xml:space="preserve">                                                                                                                                                                    DIČ 2022733636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B996F6" w14:textId="77777777" w:rsidR="009018F4" w:rsidRPr="00377A0E" w:rsidRDefault="00303284">
    <w:pPr>
      <w:spacing w:after="189" w:line="259" w:lineRule="auto"/>
      <w:ind w:left="0" w:firstLine="0"/>
      <w:jc w:val="left"/>
      <w:rPr>
        <w:sz w:val="16"/>
        <w:szCs w:val="16"/>
      </w:rPr>
    </w:pPr>
    <w:r w:rsidRPr="00377A0E">
      <w:rPr>
        <w:b/>
        <w:sz w:val="16"/>
        <w:szCs w:val="16"/>
      </w:rPr>
      <w:t xml:space="preserve">ARC International, s.r.o. </w:t>
    </w:r>
  </w:p>
  <w:p w14:paraId="76E16695" w14:textId="78DDA2FF" w:rsidR="009018F4" w:rsidRPr="00377A0E" w:rsidRDefault="00303284">
    <w:pPr>
      <w:spacing w:after="189" w:line="259" w:lineRule="auto"/>
      <w:ind w:left="0" w:firstLine="0"/>
      <w:jc w:val="left"/>
      <w:rPr>
        <w:sz w:val="16"/>
        <w:szCs w:val="16"/>
      </w:rPr>
    </w:pPr>
    <w:r w:rsidRPr="00377A0E">
      <w:rPr>
        <w:b/>
        <w:sz w:val="16"/>
        <w:szCs w:val="16"/>
      </w:rPr>
      <w:t xml:space="preserve"> </w:t>
    </w:r>
    <w:r w:rsidRPr="00377A0E">
      <w:rPr>
        <w:sz w:val="16"/>
        <w:szCs w:val="16"/>
      </w:rPr>
      <w:t>Účtovná závierka pre malé účto</w:t>
    </w:r>
    <w:r w:rsidR="00E2612F">
      <w:rPr>
        <w:sz w:val="16"/>
        <w:szCs w:val="16"/>
      </w:rPr>
      <w:t>vné jednotky k 31. decembru 202</w:t>
    </w:r>
    <w:r w:rsidR="00526E5C">
      <w:rPr>
        <w:sz w:val="16"/>
        <w:szCs w:val="16"/>
      </w:rPr>
      <w:t>5</w:t>
    </w:r>
  </w:p>
  <w:p w14:paraId="40294EDA" w14:textId="77777777" w:rsidR="009018F4" w:rsidRPr="00377A0E" w:rsidRDefault="00303284">
    <w:pPr>
      <w:spacing w:after="0" w:line="259" w:lineRule="auto"/>
      <w:ind w:left="0" w:firstLine="0"/>
      <w:jc w:val="left"/>
      <w:rPr>
        <w:sz w:val="16"/>
        <w:szCs w:val="16"/>
      </w:rPr>
    </w:pPr>
    <w:r w:rsidRPr="00377A0E">
      <w:rPr>
        <w:sz w:val="16"/>
        <w:szCs w:val="16"/>
      </w:rPr>
      <w:t xml:space="preserve"> Poznámky </w:t>
    </w:r>
    <w:proofErr w:type="spellStart"/>
    <w:r w:rsidRPr="00377A0E">
      <w:rPr>
        <w:sz w:val="16"/>
        <w:szCs w:val="16"/>
      </w:rPr>
      <w:t>Úč</w:t>
    </w:r>
    <w:proofErr w:type="spellEnd"/>
    <w:r w:rsidRPr="00377A0E">
      <w:rPr>
        <w:sz w:val="16"/>
        <w:szCs w:val="16"/>
      </w:rPr>
      <w:t xml:space="preserve"> PODV 3 - 01                                                                                                                      IČO 44490437        </w:t>
    </w:r>
  </w:p>
  <w:p w14:paraId="0BC2CA41" w14:textId="77777777" w:rsidR="009018F4" w:rsidRPr="00377A0E" w:rsidRDefault="00303284">
    <w:pPr>
      <w:spacing w:after="0" w:line="259" w:lineRule="auto"/>
      <w:ind w:left="0" w:firstLine="0"/>
      <w:jc w:val="left"/>
      <w:rPr>
        <w:sz w:val="16"/>
        <w:szCs w:val="16"/>
      </w:rPr>
    </w:pPr>
    <w:r w:rsidRPr="00377A0E">
      <w:rPr>
        <w:sz w:val="16"/>
        <w:szCs w:val="16"/>
      </w:rPr>
      <w:t xml:space="preserve">                                                                                                                                                                    DIČ 2022733636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569986" w14:textId="77777777" w:rsidR="009018F4" w:rsidRDefault="00303284">
    <w:pPr>
      <w:spacing w:after="189" w:line="259" w:lineRule="auto"/>
      <w:ind w:left="0" w:firstLine="0"/>
      <w:jc w:val="left"/>
    </w:pPr>
    <w:r>
      <w:rPr>
        <w:b/>
      </w:rPr>
      <w:t xml:space="preserve">ARC International, s.r.o. </w:t>
    </w:r>
  </w:p>
  <w:p w14:paraId="3A4C9D5F" w14:textId="77777777" w:rsidR="009018F4" w:rsidRDefault="00303284">
    <w:pPr>
      <w:spacing w:after="189" w:line="259" w:lineRule="auto"/>
      <w:ind w:left="0" w:firstLine="0"/>
      <w:jc w:val="left"/>
    </w:pPr>
    <w:r>
      <w:rPr>
        <w:b/>
      </w:rPr>
      <w:t xml:space="preserve"> </w:t>
    </w:r>
    <w:r>
      <w:t>Účtovná závierka pre malé účtovné jednotky k 31. decembru 2021</w:t>
    </w:r>
  </w:p>
  <w:p w14:paraId="283E0A5F" w14:textId="77777777" w:rsidR="009018F4" w:rsidRDefault="00303284">
    <w:pPr>
      <w:spacing w:after="0" w:line="259" w:lineRule="auto"/>
      <w:ind w:left="0" w:firstLine="0"/>
      <w:jc w:val="left"/>
    </w:pPr>
    <w:r>
      <w:t xml:space="preserve"> Poznámky </w:t>
    </w:r>
    <w:proofErr w:type="spellStart"/>
    <w:r>
      <w:t>Úč</w:t>
    </w:r>
    <w:proofErr w:type="spellEnd"/>
    <w:r>
      <w:t xml:space="preserve"> PODV 3 - 01                                                                                                                      IČO 44490437        </w:t>
    </w:r>
  </w:p>
  <w:p w14:paraId="6F20B593" w14:textId="77777777" w:rsidR="009018F4" w:rsidRDefault="00303284">
    <w:pPr>
      <w:spacing w:after="0" w:line="259" w:lineRule="auto"/>
      <w:ind w:left="0" w:firstLine="0"/>
      <w:jc w:val="left"/>
    </w:pPr>
    <w:r>
      <w:t xml:space="preserve">                                                                                                                                                                    DIČ 2022733636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291556"/>
    <w:multiLevelType w:val="hybridMultilevel"/>
    <w:tmpl w:val="90C41548"/>
    <w:lvl w:ilvl="0" w:tplc="D42E7580">
      <w:start w:val="5"/>
      <w:numFmt w:val="decimal"/>
      <w:lvlText w:val="%1."/>
      <w:lvlJc w:val="left"/>
      <w:pPr>
        <w:ind w:left="705"/>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45843A1A">
      <w:start w:val="1"/>
      <w:numFmt w:val="lowerLetter"/>
      <w:lvlText w:val="%2"/>
      <w:lvlJc w:val="left"/>
      <w:pPr>
        <w:ind w:left="144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78560D1C">
      <w:start w:val="1"/>
      <w:numFmt w:val="lowerRoman"/>
      <w:lvlText w:val="%3"/>
      <w:lvlJc w:val="left"/>
      <w:pPr>
        <w:ind w:left="216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5888E242">
      <w:start w:val="1"/>
      <w:numFmt w:val="decimal"/>
      <w:lvlText w:val="%4"/>
      <w:lvlJc w:val="left"/>
      <w:pPr>
        <w:ind w:left="288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B388EB78">
      <w:start w:val="1"/>
      <w:numFmt w:val="lowerLetter"/>
      <w:lvlText w:val="%5"/>
      <w:lvlJc w:val="left"/>
      <w:pPr>
        <w:ind w:left="360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0CF0B290">
      <w:start w:val="1"/>
      <w:numFmt w:val="lowerRoman"/>
      <w:lvlText w:val="%6"/>
      <w:lvlJc w:val="left"/>
      <w:pPr>
        <w:ind w:left="432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D8A23BEC">
      <w:start w:val="1"/>
      <w:numFmt w:val="decimal"/>
      <w:lvlText w:val="%7"/>
      <w:lvlJc w:val="left"/>
      <w:pPr>
        <w:ind w:left="504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2ED4D242">
      <w:start w:val="1"/>
      <w:numFmt w:val="lowerLetter"/>
      <w:lvlText w:val="%8"/>
      <w:lvlJc w:val="left"/>
      <w:pPr>
        <w:ind w:left="576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B3AE9EF2">
      <w:start w:val="1"/>
      <w:numFmt w:val="lowerRoman"/>
      <w:lvlText w:val="%9"/>
      <w:lvlJc w:val="left"/>
      <w:pPr>
        <w:ind w:left="648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1">
    <w:nsid w:val="2A7B5F2C"/>
    <w:multiLevelType w:val="hybridMultilevel"/>
    <w:tmpl w:val="E698E5C0"/>
    <w:lvl w:ilvl="0" w:tplc="B67AD5B2">
      <w:start w:val="1"/>
      <w:numFmt w:val="bullet"/>
      <w:lvlText w:val="-"/>
      <w:lvlJc w:val="left"/>
      <w:pPr>
        <w:ind w:left="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58062B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8C321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FC6AE9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6C2B13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A6452C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A62600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4FCCEC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85A34D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nsid w:val="425A4891"/>
    <w:multiLevelType w:val="hybridMultilevel"/>
    <w:tmpl w:val="2CDC775C"/>
    <w:lvl w:ilvl="0" w:tplc="81C4D2C6">
      <w:start w:val="2"/>
      <w:numFmt w:val="lowerLetter"/>
      <w:lvlText w:val="%1)"/>
      <w:lvlJc w:val="left"/>
      <w:pPr>
        <w:ind w:left="1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FC2A632">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95A0140">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430F82A">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F6466BA">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CDCA688">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5849B16">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77EB1BE">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5F87C66">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
    <w:nsid w:val="4DB72AAD"/>
    <w:multiLevelType w:val="hybridMultilevel"/>
    <w:tmpl w:val="C4B029E6"/>
    <w:lvl w:ilvl="0" w:tplc="A9E0962E">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832BA3A">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99C043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1A81922">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1DE0604">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260E038">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044D9C">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E68EC5A">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5AA2ECA">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nsid w:val="4E7B0A1C"/>
    <w:multiLevelType w:val="hybridMultilevel"/>
    <w:tmpl w:val="1954F044"/>
    <w:lvl w:ilvl="0" w:tplc="102262E6">
      <w:start w:val="1"/>
      <w:numFmt w:val="lowerLetter"/>
      <w:lvlText w:val="%1)"/>
      <w:lvlJc w:val="left"/>
      <w:pPr>
        <w:ind w:left="7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6D83152">
      <w:start w:val="1"/>
      <w:numFmt w:val="lowerLetter"/>
      <w:lvlText w:val="%2"/>
      <w:lvlJc w:val="left"/>
      <w:pPr>
        <w:ind w:left="14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4F4C120">
      <w:start w:val="1"/>
      <w:numFmt w:val="lowerRoman"/>
      <w:lvlText w:val="%3"/>
      <w:lvlJc w:val="left"/>
      <w:pPr>
        <w:ind w:left="2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986AC7A">
      <w:start w:val="1"/>
      <w:numFmt w:val="decimal"/>
      <w:lvlText w:val="%4"/>
      <w:lvlJc w:val="left"/>
      <w:pPr>
        <w:ind w:left="2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5E28EEC">
      <w:start w:val="1"/>
      <w:numFmt w:val="lowerLetter"/>
      <w:lvlText w:val="%5"/>
      <w:lvlJc w:val="left"/>
      <w:pPr>
        <w:ind w:left="3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ADC21BE">
      <w:start w:val="1"/>
      <w:numFmt w:val="lowerRoman"/>
      <w:lvlText w:val="%6"/>
      <w:lvlJc w:val="left"/>
      <w:pPr>
        <w:ind w:left="43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6C650A2">
      <w:start w:val="1"/>
      <w:numFmt w:val="decimal"/>
      <w:lvlText w:val="%7"/>
      <w:lvlJc w:val="left"/>
      <w:pPr>
        <w:ind w:left="5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E484C06">
      <w:start w:val="1"/>
      <w:numFmt w:val="lowerLetter"/>
      <w:lvlText w:val="%8"/>
      <w:lvlJc w:val="left"/>
      <w:pPr>
        <w:ind w:left="5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6F2A5AA">
      <w:start w:val="1"/>
      <w:numFmt w:val="lowerRoman"/>
      <w:lvlText w:val="%9"/>
      <w:lvlJc w:val="left"/>
      <w:pPr>
        <w:ind w:left="64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
    <w:nsid w:val="58034476"/>
    <w:multiLevelType w:val="hybridMultilevel"/>
    <w:tmpl w:val="5858B490"/>
    <w:lvl w:ilvl="0" w:tplc="9A509D54">
      <w:start w:val="1"/>
      <w:numFmt w:val="decimal"/>
      <w:lvlText w:val="%1."/>
      <w:lvlJc w:val="left"/>
      <w:pPr>
        <w:ind w:left="705"/>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30C8D0DA">
      <w:start w:val="1"/>
      <w:numFmt w:val="lowerLetter"/>
      <w:lvlText w:val="%2"/>
      <w:lvlJc w:val="left"/>
      <w:pPr>
        <w:ind w:left="144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EBC6994E">
      <w:start w:val="1"/>
      <w:numFmt w:val="lowerRoman"/>
      <w:lvlText w:val="%3"/>
      <w:lvlJc w:val="left"/>
      <w:pPr>
        <w:ind w:left="216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B104908C">
      <w:start w:val="1"/>
      <w:numFmt w:val="decimal"/>
      <w:lvlText w:val="%4"/>
      <w:lvlJc w:val="left"/>
      <w:pPr>
        <w:ind w:left="288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D7766E66">
      <w:start w:val="1"/>
      <w:numFmt w:val="lowerLetter"/>
      <w:lvlText w:val="%5"/>
      <w:lvlJc w:val="left"/>
      <w:pPr>
        <w:ind w:left="360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A7ACED36">
      <w:start w:val="1"/>
      <w:numFmt w:val="lowerRoman"/>
      <w:lvlText w:val="%6"/>
      <w:lvlJc w:val="left"/>
      <w:pPr>
        <w:ind w:left="432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C770BC3A">
      <w:start w:val="1"/>
      <w:numFmt w:val="decimal"/>
      <w:lvlText w:val="%7"/>
      <w:lvlJc w:val="left"/>
      <w:pPr>
        <w:ind w:left="504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A3B03C74">
      <w:start w:val="1"/>
      <w:numFmt w:val="lowerLetter"/>
      <w:lvlText w:val="%8"/>
      <w:lvlJc w:val="left"/>
      <w:pPr>
        <w:ind w:left="576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99B436DE">
      <w:start w:val="1"/>
      <w:numFmt w:val="lowerRoman"/>
      <w:lvlText w:val="%9"/>
      <w:lvlJc w:val="left"/>
      <w:pPr>
        <w:ind w:left="648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6">
    <w:nsid w:val="743F5E05"/>
    <w:multiLevelType w:val="hybridMultilevel"/>
    <w:tmpl w:val="4DEE3628"/>
    <w:lvl w:ilvl="0" w:tplc="177E81A0">
      <w:start w:val="1"/>
      <w:numFmt w:val="bullet"/>
      <w:lvlText w:val="-"/>
      <w:lvlJc w:val="left"/>
      <w:pPr>
        <w:ind w:left="5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24085BA">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3CA9E40">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7E4D4E4">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54EDCE8">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2982BF8">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C605338">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3F25196">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C8250B4">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1"/>
  </w:num>
  <w:num w:numId="4">
    <w:abstractNumId w:val="4"/>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8F4"/>
    <w:rsid w:val="000D5A50"/>
    <w:rsid w:val="00103788"/>
    <w:rsid w:val="001723F3"/>
    <w:rsid w:val="00232089"/>
    <w:rsid w:val="00303284"/>
    <w:rsid w:val="003642B1"/>
    <w:rsid w:val="00377A0E"/>
    <w:rsid w:val="003F66E0"/>
    <w:rsid w:val="00417E64"/>
    <w:rsid w:val="00526E5C"/>
    <w:rsid w:val="005961D3"/>
    <w:rsid w:val="005A57A6"/>
    <w:rsid w:val="005D078E"/>
    <w:rsid w:val="005E4A32"/>
    <w:rsid w:val="005E4B10"/>
    <w:rsid w:val="00735E5D"/>
    <w:rsid w:val="0076258F"/>
    <w:rsid w:val="007865ED"/>
    <w:rsid w:val="007E3F08"/>
    <w:rsid w:val="00831398"/>
    <w:rsid w:val="008401C7"/>
    <w:rsid w:val="008D0656"/>
    <w:rsid w:val="009018F4"/>
    <w:rsid w:val="00903C10"/>
    <w:rsid w:val="00960E5A"/>
    <w:rsid w:val="00A2598E"/>
    <w:rsid w:val="00A60214"/>
    <w:rsid w:val="00A84DB5"/>
    <w:rsid w:val="00BB6824"/>
    <w:rsid w:val="00BB798A"/>
    <w:rsid w:val="00BE2C23"/>
    <w:rsid w:val="00C06464"/>
    <w:rsid w:val="00CC37CC"/>
    <w:rsid w:val="00CD1A89"/>
    <w:rsid w:val="00D249EC"/>
    <w:rsid w:val="00E2612F"/>
    <w:rsid w:val="00E462AD"/>
    <w:rsid w:val="00EF38B3"/>
    <w:rsid w:val="00F14478"/>
    <w:rsid w:val="00F5136A"/>
    <w:rsid w:val="00F7520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D51D9"/>
  <w15:docId w15:val="{2531FC28-56F6-4A86-916C-8D63C3516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sk-SK" w:eastAsia="sk-SK"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198" w:line="248" w:lineRule="auto"/>
      <w:ind w:left="718" w:hanging="10"/>
      <w:jc w:val="both"/>
    </w:pPr>
    <w:rPr>
      <w:rFonts w:ascii="Times New Roman" w:eastAsia="Times New Roman" w:hAnsi="Times New Roman" w:cs="Times New Roman"/>
      <w:color w:val="000000"/>
      <w:sz w:val="18"/>
    </w:rPr>
  </w:style>
  <w:style w:type="paragraph" w:styleId="Nadpis1">
    <w:name w:val="heading 1"/>
    <w:next w:val="Normlny"/>
    <w:link w:val="Nadpis1Char"/>
    <w:uiPriority w:val="9"/>
    <w:qFormat/>
    <w:pPr>
      <w:keepNext/>
      <w:keepLines/>
      <w:spacing w:after="187" w:line="265" w:lineRule="auto"/>
      <w:ind w:left="70" w:hanging="10"/>
      <w:outlineLvl w:val="0"/>
    </w:pPr>
    <w:rPr>
      <w:rFonts w:ascii="Times New Roman" w:eastAsia="Times New Roman" w:hAnsi="Times New Roman" w:cs="Times New Roman"/>
      <w:b/>
      <w:color w:val="000000"/>
      <w:sz w:val="18"/>
    </w:rPr>
  </w:style>
  <w:style w:type="paragraph" w:styleId="Nadpis2">
    <w:name w:val="heading 2"/>
    <w:next w:val="Normlny"/>
    <w:link w:val="Nadpis2Char"/>
    <w:uiPriority w:val="9"/>
    <w:unhideWhenUsed/>
    <w:qFormat/>
    <w:pPr>
      <w:keepNext/>
      <w:keepLines/>
      <w:spacing w:after="187" w:line="265" w:lineRule="auto"/>
      <w:ind w:left="70" w:hanging="10"/>
      <w:outlineLvl w:val="1"/>
    </w:pPr>
    <w:rPr>
      <w:rFonts w:ascii="Times New Roman" w:eastAsia="Times New Roman" w:hAnsi="Times New Roman" w:cs="Times New Roman"/>
      <w:b/>
      <w:color w:val="000000"/>
      <w:sz w:val="18"/>
    </w:rPr>
  </w:style>
  <w:style w:type="paragraph" w:styleId="Nadpis3">
    <w:name w:val="heading 3"/>
    <w:next w:val="Normlny"/>
    <w:link w:val="Nadpis3Char"/>
    <w:uiPriority w:val="9"/>
    <w:unhideWhenUsed/>
    <w:qFormat/>
    <w:pPr>
      <w:keepNext/>
      <w:keepLines/>
      <w:spacing w:after="187" w:line="265" w:lineRule="auto"/>
      <w:ind w:left="70" w:hanging="10"/>
      <w:outlineLvl w:val="2"/>
    </w:pPr>
    <w:rPr>
      <w:rFonts w:ascii="Times New Roman" w:eastAsia="Times New Roman" w:hAnsi="Times New Roman" w:cs="Times New Roman"/>
      <w:b/>
      <w:color w:val="000000"/>
      <w:sz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18"/>
    </w:rPr>
  </w:style>
  <w:style w:type="character" w:customStyle="1" w:styleId="Nadpis2Char">
    <w:name w:val="Nadpis 2 Char"/>
    <w:link w:val="Nadpis2"/>
    <w:rPr>
      <w:rFonts w:ascii="Times New Roman" w:eastAsia="Times New Roman" w:hAnsi="Times New Roman" w:cs="Times New Roman"/>
      <w:b/>
      <w:color w:val="000000"/>
      <w:sz w:val="18"/>
    </w:rPr>
  </w:style>
  <w:style w:type="character" w:customStyle="1" w:styleId="Nadpis3Char">
    <w:name w:val="Nadpis 3 Char"/>
    <w:link w:val="Nadpis3"/>
    <w:rPr>
      <w:rFonts w:ascii="Times New Roman" w:eastAsia="Times New Roman" w:hAnsi="Times New Roman" w:cs="Times New Roman"/>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ta">
    <w:name w:val="footer"/>
    <w:basedOn w:val="Normlny"/>
    <w:link w:val="PtaChar"/>
    <w:uiPriority w:val="99"/>
    <w:unhideWhenUsed/>
    <w:rsid w:val="005E4B10"/>
    <w:pPr>
      <w:tabs>
        <w:tab w:val="center" w:pos="4680"/>
        <w:tab w:val="right" w:pos="9360"/>
      </w:tabs>
      <w:spacing w:after="0" w:line="240" w:lineRule="auto"/>
      <w:ind w:left="0" w:firstLine="0"/>
      <w:jc w:val="left"/>
    </w:pPr>
    <w:rPr>
      <w:rFonts w:asciiTheme="minorHAnsi" w:eastAsiaTheme="minorEastAsia" w:hAnsiTheme="minorHAnsi"/>
      <w:color w:val="auto"/>
      <w:kern w:val="0"/>
      <w:sz w:val="22"/>
      <w14:ligatures w14:val="none"/>
    </w:rPr>
  </w:style>
  <w:style w:type="character" w:customStyle="1" w:styleId="PtaChar">
    <w:name w:val="Päta Char"/>
    <w:basedOn w:val="Predvolenpsmoodseku"/>
    <w:link w:val="Pta"/>
    <w:uiPriority w:val="99"/>
    <w:rsid w:val="005E4B10"/>
    <w:rPr>
      <w:rFonts w:cs="Times New Roman"/>
      <w:kern w:val="0"/>
      <w14:ligatures w14:val="none"/>
    </w:rPr>
  </w:style>
  <w:style w:type="paragraph" w:styleId="Hlavika">
    <w:name w:val="header"/>
    <w:basedOn w:val="Normlny"/>
    <w:link w:val="HlavikaChar"/>
    <w:uiPriority w:val="99"/>
    <w:unhideWhenUsed/>
    <w:rsid w:val="005E4A32"/>
    <w:pPr>
      <w:tabs>
        <w:tab w:val="center" w:pos="4680"/>
        <w:tab w:val="right" w:pos="9360"/>
      </w:tabs>
      <w:spacing w:after="0" w:line="240" w:lineRule="auto"/>
      <w:ind w:left="0" w:firstLine="0"/>
      <w:jc w:val="left"/>
    </w:pPr>
    <w:rPr>
      <w:rFonts w:asciiTheme="minorHAnsi" w:eastAsiaTheme="minorEastAsia" w:hAnsiTheme="minorHAnsi"/>
      <w:color w:val="auto"/>
      <w:kern w:val="0"/>
      <w:sz w:val="22"/>
      <w14:ligatures w14:val="none"/>
    </w:rPr>
  </w:style>
  <w:style w:type="character" w:customStyle="1" w:styleId="HlavikaChar">
    <w:name w:val="Hlavička Char"/>
    <w:basedOn w:val="Predvolenpsmoodseku"/>
    <w:link w:val="Hlavika"/>
    <w:uiPriority w:val="99"/>
    <w:rsid w:val="005E4A32"/>
    <w:rPr>
      <w:rFonts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14C26-C8FB-4601-A93E-365A1ED26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9</Pages>
  <Words>4025</Words>
  <Characters>22948</Characters>
  <Application>Microsoft Office Word</Application>
  <DocSecurity>0</DocSecurity>
  <Lines>191</Lines>
  <Paragraphs>53</Paragraphs>
  <ScaleCrop>false</ScaleCrop>
  <HeadingPairs>
    <vt:vector size="2" baseType="variant">
      <vt:variant>
        <vt:lpstr>Názov</vt:lpstr>
      </vt:variant>
      <vt:variant>
        <vt:i4>1</vt:i4>
      </vt:variant>
    </vt:vector>
  </HeadingPairs>
  <TitlesOfParts>
    <vt:vector size="1" baseType="lpstr">
      <vt:lpstr/>
    </vt:vector>
  </TitlesOfParts>
  <Company>Mondi SCP a.s.</Company>
  <LinksUpToDate>false</LinksUpToDate>
  <CharactersWithSpaces>26920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Pekár Tomáš</dc:creator>
  <cp:keywords/>
  <cp:lastModifiedBy>ARC</cp:lastModifiedBy>
  <cp:revision>8</cp:revision>
  <dcterms:created xsi:type="dcterms:W3CDTF">2024-06-30T10:56:00Z</dcterms:created>
  <dcterms:modified xsi:type="dcterms:W3CDTF">2026-06-30T15:37:00Z</dcterms:modified>
</cp:coreProperties>
</file>