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b/>
          <w:bCs/>
          <w:color w:val="1F4E79"/>
          <w:sz w:val="32"/>
          <w:szCs w:val="32"/>
        </w:rPr>
        <w:t xml:space="preserve">POZNÁMKY K ÚČTOVNEJ ZÁVIERKE</w:t>
      </w:r>
    </w:p>
    <w:p>
      <w:pPr>
        <w:spacing w:after="360"/>
        <w:jc w:val="center"/>
      </w:pPr>
      <w:r>
        <w:rPr>
          <w:sz w:val="22"/>
          <w:szCs w:val="22"/>
        </w:rPr>
        <w:t xml:space="preserve">za účtovné obdobie od 1. 1. 2025 do 31. 12. 2025</w:t>
      </w:r>
    </w:p>
    <w:p>
      <w:pPr>
        <w:pStyle w:val="Heading1"/>
      </w:pPr>
      <w:r>
        <w:t xml:space="preserve">1. Všeobecné informácie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tcBorders>
              <w:top w:val="single" w:color="BFBFBF" w:sz="1"/>
              <w:left w:val="single" w:color="BFBFBF" w:sz="1"/>
              <w:bottom w:val="single" w:color="BFBFBF" w:sz="1"/>
              <w:right w:val="single" w:color="BFBFBF" w:sz="1"/>
            </w:tcBorders>
            <w:shd w:fill="1F4E79" w:val="clear"/>
            <w:tcMar>
              <w:top w:type="dxa" w:w="80"/>
              <w:left w:type="dxa" w:w="120"/>
              <w:bottom w:type="dxa" w:w="80"/>
              <w:right w:type="dxa" w:w="120"/>
            </w:tcMar>
            <w:vAlign w:val="center"/>
          </w:tcPr>
          <w:p>
            <w:r>
              <w:rPr>
                <w:b/>
                <w:bCs/>
                <w:color w:val="FFFFFF"/>
                <w:sz w:val="20"/>
                <w:szCs w:val="20"/>
              </w:rPr>
              <w:t xml:space="preserve">Identifikačné údaje</w:t>
            </w:r>
          </w:p>
        </w:tc>
        <w:tc>
          <w:tcPr>
            <w:tcW w:type="dxa" w:w="4680"/>
            <w:tcBorders>
              <w:top w:val="single" w:color="BFBFBF" w:sz="1"/>
              <w:left w:val="single" w:color="BFBFBF" w:sz="1"/>
              <w:bottom w:val="single" w:color="BFBFBF" w:sz="1"/>
              <w:right w:val="single" w:color="BFBFBF" w:sz="1"/>
            </w:tcBorders>
            <w:shd w:fill="1F4E79" w:val="clear"/>
            <w:tcMar>
              <w:top w:type="dxa" w:w="80"/>
              <w:left w:type="dxa" w:w="120"/>
              <w:bottom w:type="dxa" w:w="80"/>
              <w:right w:type="dxa" w:w="120"/>
            </w:tcMar>
            <w:vAlign w:val="center"/>
          </w:tcPr>
          <w:p>
            <w:r>
              <w:rPr>
                <w:b/>
                <w:bCs/>
                <w:color w:val="FFFFFF"/>
                <w:sz w:val="20"/>
                <w:szCs w:val="20"/>
              </w:rPr>
              <w:t xml:space="preserve">Hodnota</w:t>
            </w:r>
          </w:p>
        </w:tc>
      </w:tr>
      <w:tr>
        <w:tc>
          <w:tcPr>
            <w:tcW w:type="dxa" w:w="468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left"/>
            </w:pPr>
            <w:r>
              <w:rPr>
                <w:b w:val="false"/>
                <w:bCs w:val="false"/>
                <w:sz w:val="20"/>
                <w:szCs w:val="20"/>
              </w:rPr>
              <w:t xml:space="preserve">Obchodné meno</w:t>
            </w:r>
          </w:p>
        </w:tc>
        <w:tc>
          <w:tcPr>
            <w:tcW w:type="dxa" w:w="468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right"/>
            </w:pPr>
            <w:r>
              <w:rPr>
                <w:b w:val="false"/>
                <w:bCs w:val="false"/>
                <w:sz w:val="20"/>
                <w:szCs w:val="20"/>
              </w:rPr>
              <w:t xml:space="preserve">TORMENTAX, s.r.o.</w:t>
            </w:r>
          </w:p>
        </w:tc>
      </w:tr>
      <w:tr>
        <w:tc>
          <w:tcPr>
            <w:tcW w:type="dxa" w:w="468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left"/>
            </w:pPr>
            <w:r>
              <w:rPr>
                <w:b w:val="false"/>
                <w:bCs w:val="false"/>
                <w:sz w:val="20"/>
                <w:szCs w:val="20"/>
              </w:rPr>
              <w:t xml:space="preserve">Sídlo</w:t>
            </w:r>
          </w:p>
        </w:tc>
        <w:tc>
          <w:tcPr>
            <w:tcW w:type="dxa" w:w="468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right"/>
            </w:pPr>
            <w:r>
              <w:rPr>
                <w:b w:val="false"/>
                <w:bCs w:val="false"/>
                <w:sz w:val="20"/>
                <w:szCs w:val="20"/>
              </w:rPr>
              <w:t xml:space="preserve">A. Svianteka 2548/11, 085 01 Bardejov</w:t>
            </w:r>
          </w:p>
        </w:tc>
      </w:tr>
      <w:tr>
        <w:tc>
          <w:tcPr>
            <w:tcW w:type="dxa" w:w="468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left"/>
            </w:pPr>
            <w:r>
              <w:rPr>
                <w:b w:val="false"/>
                <w:bCs w:val="false"/>
                <w:sz w:val="20"/>
                <w:szCs w:val="20"/>
              </w:rPr>
              <w:t xml:space="preserve">IČO</w:t>
            </w:r>
          </w:p>
        </w:tc>
        <w:tc>
          <w:tcPr>
            <w:tcW w:type="dxa" w:w="468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right"/>
            </w:pPr>
            <w:r>
              <w:rPr>
                <w:b w:val="false"/>
                <w:bCs w:val="false"/>
                <w:sz w:val="20"/>
                <w:szCs w:val="20"/>
              </w:rPr>
              <w:t xml:space="preserve">36 620 033</w:t>
            </w:r>
          </w:p>
        </w:tc>
      </w:tr>
      <w:tr>
        <w:tc>
          <w:tcPr>
            <w:tcW w:type="dxa" w:w="468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left"/>
            </w:pPr>
            <w:r>
              <w:rPr>
                <w:b w:val="false"/>
                <w:bCs w:val="false"/>
                <w:sz w:val="20"/>
                <w:szCs w:val="20"/>
              </w:rPr>
              <w:t xml:space="preserve">DIČ</w:t>
            </w:r>
          </w:p>
        </w:tc>
        <w:tc>
          <w:tcPr>
            <w:tcW w:type="dxa" w:w="468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right"/>
            </w:pPr>
            <w:r>
              <w:rPr>
                <w:b w:val="false"/>
                <w:bCs w:val="false"/>
                <w:sz w:val="20"/>
                <w:szCs w:val="20"/>
              </w:rPr>
              <w:t xml:space="preserve">2020096397</w:t>
            </w:r>
          </w:p>
        </w:tc>
      </w:tr>
      <w:tr>
        <w:tc>
          <w:tcPr>
            <w:tcW w:type="dxa" w:w="468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left"/>
            </w:pPr>
            <w:r>
              <w:rPr>
                <w:b w:val="false"/>
                <w:bCs w:val="false"/>
                <w:sz w:val="20"/>
                <w:szCs w:val="20"/>
              </w:rPr>
              <w:t xml:space="preserve">Právna forma</w:t>
            </w:r>
          </w:p>
        </w:tc>
        <w:tc>
          <w:tcPr>
            <w:tcW w:type="dxa" w:w="468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right"/>
            </w:pPr>
            <w:r>
              <w:rPr>
                <w:b w:val="false"/>
                <w:bCs w:val="false"/>
                <w:sz w:val="20"/>
                <w:szCs w:val="20"/>
              </w:rPr>
              <w:t xml:space="preserve">Spoločnosť s ručením obmedzeným</w:t>
            </w:r>
          </w:p>
        </w:tc>
      </w:tr>
      <w:tr>
        <w:tc>
          <w:tcPr>
            <w:tcW w:type="dxa" w:w="468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left"/>
            </w:pPr>
            <w:r>
              <w:rPr>
                <w:b w:val="false"/>
                <w:bCs w:val="false"/>
                <w:sz w:val="20"/>
                <w:szCs w:val="20"/>
              </w:rPr>
              <w:t xml:space="preserve">Hlavný predmet činnosti (SK NACE)</w:t>
            </w:r>
          </w:p>
        </w:tc>
        <w:tc>
          <w:tcPr>
            <w:tcW w:type="dxa" w:w="468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right"/>
            </w:pPr>
            <w:r>
              <w:rPr>
                <w:b w:val="false"/>
                <w:bCs w:val="false"/>
                <w:sz w:val="20"/>
                <w:szCs w:val="20"/>
              </w:rPr>
              <w:t xml:space="preserve">46.90.0 – Nešpecializovaný veľkoobchod</w:t>
            </w:r>
          </w:p>
        </w:tc>
      </w:tr>
      <w:tr>
        <w:tc>
          <w:tcPr>
            <w:tcW w:type="dxa" w:w="468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left"/>
            </w:pPr>
            <w:r>
              <w:rPr>
                <w:b w:val="false"/>
                <w:bCs w:val="false"/>
                <w:sz w:val="20"/>
                <w:szCs w:val="20"/>
              </w:rPr>
              <w:t xml:space="preserve">Zápis v obchodnom registri</w:t>
            </w:r>
          </w:p>
        </w:tc>
        <w:tc>
          <w:tcPr>
            <w:tcW w:type="dxa" w:w="468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right"/>
            </w:pPr>
            <w:r>
              <w:rPr>
                <w:b w:val="false"/>
                <w:bCs w:val="false"/>
                <w:sz w:val="20"/>
                <w:szCs w:val="20"/>
              </w:rPr>
              <w:t xml:space="preserve">OR Okresného súdu Prešov, odd. Sro, vl. č. 18217/P</w:t>
            </w:r>
          </w:p>
        </w:tc>
      </w:tr>
      <w:tr>
        <w:tc>
          <w:tcPr>
            <w:tcW w:type="dxa" w:w="468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left"/>
            </w:pPr>
            <w:r>
              <w:rPr>
                <w:b w:val="false"/>
                <w:bCs w:val="false"/>
                <w:sz w:val="20"/>
                <w:szCs w:val="20"/>
              </w:rPr>
              <w:t xml:space="preserve">Dátum zostavenia účtovnej závierky</w:t>
            </w:r>
          </w:p>
        </w:tc>
        <w:tc>
          <w:tcPr>
            <w:tcW w:type="dxa" w:w="468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right"/>
            </w:pPr>
            <w:r>
              <w:rPr>
                <w:b w:val="false"/>
                <w:bCs w:val="false"/>
                <w:sz w:val="20"/>
                <w:szCs w:val="20"/>
              </w:rPr>
              <w:t xml:space="preserve">24. 6. 2026</w:t>
            </w:r>
          </w:p>
        </w:tc>
      </w:tr>
      <w:tr>
        <w:tc>
          <w:tcPr>
            <w:tcW w:type="dxa" w:w="468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left"/>
            </w:pPr>
            <w:r>
              <w:rPr>
                <w:b w:val="false"/>
                <w:bCs w:val="false"/>
                <w:sz w:val="20"/>
                <w:szCs w:val="20"/>
              </w:rPr>
              <w:t xml:space="preserve">Účtovné obdobie</w:t>
            </w:r>
          </w:p>
        </w:tc>
        <w:tc>
          <w:tcPr>
            <w:tcW w:type="dxa" w:w="468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right"/>
            </w:pPr>
            <w:r>
              <w:rPr>
                <w:b w:val="false"/>
                <w:bCs w:val="false"/>
                <w:sz w:val="20"/>
                <w:szCs w:val="20"/>
              </w:rPr>
              <w:t xml:space="preserve">1. 1. 2025 – 31. 12. 2025</w:t>
            </w:r>
          </w:p>
        </w:tc>
      </w:tr>
      <w:tr>
        <w:tc>
          <w:tcPr>
            <w:tcW w:type="dxa" w:w="468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left"/>
            </w:pPr>
            <w:r>
              <w:rPr>
                <w:b w:val="false"/>
                <w:bCs w:val="false"/>
                <w:sz w:val="20"/>
                <w:szCs w:val="20"/>
              </w:rPr>
              <w:t xml:space="preserve">Veľkostná kategória účtovnej jednotky</w:t>
            </w:r>
          </w:p>
        </w:tc>
        <w:tc>
          <w:tcPr>
            <w:tcW w:type="dxa" w:w="468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right"/>
            </w:pPr>
            <w:r>
              <w:rPr>
                <w:b w:val="false"/>
                <w:bCs w:val="false"/>
                <w:sz w:val="20"/>
                <w:szCs w:val="20"/>
              </w:rPr>
              <w:t xml:space="preserve">Mikroúčtovná jednotka</w:t>
            </w:r>
          </w:p>
        </w:tc>
      </w:tr>
      <w:tr>
        <w:tc>
          <w:tcPr>
            <w:tcW w:type="dxa" w:w="468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left"/>
            </w:pPr>
            <w:r>
              <w:rPr>
                <w:b w:val="false"/>
                <w:bCs w:val="false"/>
                <w:sz w:val="20"/>
                <w:szCs w:val="20"/>
              </w:rPr>
              <w:t xml:space="preserve">Priemerný prepočítaný počet zamestnancov</w:t>
            </w:r>
          </w:p>
        </w:tc>
        <w:tc>
          <w:tcPr>
            <w:tcW w:type="dxa" w:w="468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right"/>
            </w:pPr>
            <w:r>
              <w:rPr>
                <w:b w:val="false"/>
                <w:bCs w:val="false"/>
                <w:sz w:val="20"/>
                <w:szCs w:val="20"/>
              </w:rPr>
              <w:t xml:space="preserve">Spoločnosť nemala v účtovnom období zamestnancov</w:t>
            </w:r>
          </w:p>
        </w:tc>
      </w:tr>
    </w:tbl>
    <w:p>
      <w:pPr>
        <w:spacing w:after="120"/>
      </w:pPr>
    </w:p>
    <w:p>
      <w:pPr>
        <w:spacing w:after="160"/>
      </w:pPr>
      <w:r>
        <w:t xml:space="preserve">Spoločnosť bola založená spoločenskou zmluvou a je zapísaná v Obchodnom registri Okresného súdu Prešov. Základné imanie spoločnosti vo výške 6 639 € je v plnej výške splatené. Účtovná závierka bola zostavená za predpokladu nepretržitého trvania účtovnej jednotky.</w:t>
      </w:r>
    </w:p>
    <w:p>
      <w:pPr>
        <w:pStyle w:val="Heading1"/>
      </w:pPr>
      <w:r>
        <w:t xml:space="preserve">2. Účtovné metódy a všeobecné účtovné zásady</w:t>
      </w:r>
    </w:p>
    <w:p>
      <w:pPr>
        <w:spacing w:after="160"/>
      </w:pPr>
      <w:r>
        <w:t xml:space="preserve">Účtovná jednotka účtuje v sústave podvojného účtovníctva a vedie účtovníctvo ako mikroúčtovná jednotka v zmysle § 2 ods. 5 a 6 zákona č. 431/2002 Z. z. o účtovníctve v znení neskorších predpisov. Účtovná závierka je zostavená v eurách.</w:t>
      </w:r>
    </w:p>
    <w:p>
      <w:pPr>
        <w:spacing w:after="160"/>
      </w:pPr>
      <w:r>
        <w:t xml:space="preserve">Dlhodobý hmotný majetok sa oceňuje obstarávacou cenou a odpisuje sa rovnomerne počas predpokladanej doby používania na základe odpisového plánu zostaveného účtovnou jednotkou; účtovné odpisy sa môžu odlišovať od odpisov uplatnených podľa zákona o dani z príjmov. Zásoby sa oceňujú obstarávacou cenou. Pohľadávky sa oceňujú menovitou hodnotou a v prípade pochybností o ich úplnej vymožiteľnosti sa k nim tvoria opravné položky. Záväzky sa oceňujú menovitou hodnotou. Peňažné prostriedky a ceniny sa oceňujú menovitou hodnotou. Účtovná jednotka účtuje účtovné prípady v období, s ktorým časovo a vecne súvisia.</w:t>
      </w:r>
    </w:p>
    <w:p>
      <w:pPr>
        <w:pStyle w:val="Heading1"/>
      </w:pPr>
      <w:r>
        <w:t xml:space="preserve">3. Dlhodobý hmotný majetok</w:t>
      </w:r>
    </w:p>
    <w:p>
      <w:pPr>
        <w:spacing w:after="160"/>
      </w:pPr>
      <w:r>
        <w:t xml:space="preserve">Spoločnosť k 31. 12. 2025 ani k 31. 12. 2024 neevidovala žiadny dlhodobý hmotný ani dlhodobý nehmotný majetok.</w:t>
      </w:r>
    </w:p>
    <w:p>
      <w:pPr>
        <w:pStyle w:val="Heading1"/>
      </w:pPr>
      <w:r>
        <w:t xml:space="preserve">4. Pohľadávky a záväzky</w:t>
      </w:r>
    </w:p>
    <w:p>
      <w:pPr>
        <w:pStyle w:val="Heading2"/>
      </w:pPr>
      <w:r>
        <w:t xml:space="preserve">4.1 Pohľadávky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2340"/>
        <w:gridCol w:w="2340"/>
      </w:tblGrid>
      <w:tr>
        <w:trPr>
          <w:tblHeader/>
        </w:trPr>
        <w:tc>
          <w:tcPr>
            <w:tcW w:type="dxa" w:w="4680"/>
            <w:tcBorders>
              <w:top w:val="single" w:color="BFBFBF" w:sz="1"/>
              <w:left w:val="single" w:color="BFBFBF" w:sz="1"/>
              <w:bottom w:val="single" w:color="BFBFBF" w:sz="1"/>
              <w:right w:val="single" w:color="BFBFBF" w:sz="1"/>
            </w:tcBorders>
            <w:shd w:fill="1F4E79" w:val="clear"/>
            <w:tcMar>
              <w:top w:type="dxa" w:w="80"/>
              <w:left w:type="dxa" w:w="120"/>
              <w:bottom w:type="dxa" w:w="80"/>
              <w:right w:type="dxa" w:w="120"/>
            </w:tcMar>
            <w:vAlign w:val="center"/>
          </w:tcPr>
          <w:p>
            <w:r>
              <w:rPr>
                <w:b/>
                <w:bCs/>
                <w:color w:val="FFFFFF"/>
                <w:sz w:val="20"/>
                <w:szCs w:val="20"/>
              </w:rPr>
              <w:t xml:space="preserve">Druh pohľadávky</w:t>
            </w:r>
          </w:p>
        </w:tc>
        <w:tc>
          <w:tcPr>
            <w:tcW w:type="dxa" w:w="2340"/>
            <w:tcBorders>
              <w:top w:val="single" w:color="BFBFBF" w:sz="1"/>
              <w:left w:val="single" w:color="BFBFBF" w:sz="1"/>
              <w:bottom w:val="single" w:color="BFBFBF" w:sz="1"/>
              <w:right w:val="single" w:color="BFBFBF" w:sz="1"/>
            </w:tcBorders>
            <w:shd w:fill="1F4E79" w:val="clear"/>
            <w:tcMar>
              <w:top w:type="dxa" w:w="80"/>
              <w:left w:type="dxa" w:w="120"/>
              <w:bottom w:type="dxa" w:w="80"/>
              <w:right w:type="dxa" w:w="120"/>
            </w:tcMar>
            <w:vAlign w:val="center"/>
          </w:tcPr>
          <w:p>
            <w:r>
              <w:rPr>
                <w:b/>
                <w:bCs/>
                <w:color w:val="FFFFFF"/>
                <w:sz w:val="20"/>
                <w:szCs w:val="20"/>
              </w:rPr>
              <w:t xml:space="preserve">31. 12. 2025 (€)</w:t>
            </w:r>
          </w:p>
        </w:tc>
        <w:tc>
          <w:tcPr>
            <w:tcW w:type="dxa" w:w="2340"/>
            <w:tcBorders>
              <w:top w:val="single" w:color="BFBFBF" w:sz="1"/>
              <w:left w:val="single" w:color="BFBFBF" w:sz="1"/>
              <w:bottom w:val="single" w:color="BFBFBF" w:sz="1"/>
              <w:right w:val="single" w:color="BFBFBF" w:sz="1"/>
            </w:tcBorders>
            <w:shd w:fill="1F4E79" w:val="clear"/>
            <w:tcMar>
              <w:top w:type="dxa" w:w="80"/>
              <w:left w:type="dxa" w:w="120"/>
              <w:bottom w:type="dxa" w:w="80"/>
              <w:right w:type="dxa" w:w="120"/>
            </w:tcMar>
            <w:vAlign w:val="center"/>
          </w:tcPr>
          <w:p>
            <w:r>
              <w:rPr>
                <w:b/>
                <w:bCs/>
                <w:color w:val="FFFFFF"/>
                <w:sz w:val="20"/>
                <w:szCs w:val="20"/>
              </w:rPr>
              <w:t xml:space="preserve">31. 12. 2024 (€)</w:t>
            </w:r>
          </w:p>
        </w:tc>
      </w:tr>
      <w:tr>
        <w:tc>
          <w:tcPr>
            <w:tcW w:type="dxa" w:w="468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left"/>
            </w:pPr>
            <w:r>
              <w:rPr>
                <w:b w:val="false"/>
                <w:bCs w:val="false"/>
                <w:sz w:val="20"/>
                <w:szCs w:val="20"/>
              </w:rPr>
              <w:t xml:space="preserve">Krátkodobé pohľadávky z obchodného styku</w:t>
            </w:r>
          </w:p>
        </w:tc>
        <w:tc>
          <w:tcPr>
            <w:tcW w:type="dxa" w:w="234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right"/>
            </w:pPr>
            <w:r>
              <w:rPr>
                <w:b w:val="false"/>
                <w:bCs w:val="false"/>
                <w:sz w:val="20"/>
                <w:szCs w:val="20"/>
              </w:rPr>
              <w:t xml:space="preserve">268 307</w:t>
            </w:r>
          </w:p>
        </w:tc>
        <w:tc>
          <w:tcPr>
            <w:tcW w:type="dxa" w:w="234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right"/>
            </w:pPr>
            <w:r>
              <w:rPr>
                <w:b w:val="false"/>
                <w:bCs w:val="false"/>
                <w:sz w:val="20"/>
                <w:szCs w:val="20"/>
              </w:rPr>
              <w:t xml:space="preserve">268 307</w:t>
            </w:r>
          </w:p>
        </w:tc>
      </w:tr>
      <w:tr>
        <w:tc>
          <w:tcPr>
            <w:tcW w:type="dxa" w:w="468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left"/>
            </w:pPr>
            <w:r>
              <w:rPr>
                <w:b w:val="false"/>
                <w:bCs w:val="false"/>
                <w:sz w:val="20"/>
                <w:szCs w:val="20"/>
              </w:rPr>
              <w:t xml:space="preserve">Ostatné pohľadávky</w:t>
            </w:r>
          </w:p>
        </w:tc>
        <w:tc>
          <w:tcPr>
            <w:tcW w:type="dxa" w:w="234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right"/>
            </w:pPr>
            <w:r>
              <w:rPr>
                <w:b w:val="false"/>
                <w:bCs w:val="false"/>
                <w:sz w:val="20"/>
                <w:szCs w:val="20"/>
              </w:rPr>
              <w:t xml:space="preserve">10</w:t>
            </w:r>
          </w:p>
        </w:tc>
        <w:tc>
          <w:tcPr>
            <w:tcW w:type="dxa" w:w="234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right"/>
            </w:pPr>
            <w:r>
              <w:rPr>
                <w:b w:val="false"/>
                <w:bCs w:val="false"/>
                <w:sz w:val="20"/>
                <w:szCs w:val="20"/>
              </w:rPr>
              <w:t xml:space="preserve">10</w:t>
            </w:r>
          </w:p>
        </w:tc>
      </w:tr>
      <w:tr>
        <w:tc>
          <w:tcPr>
            <w:tcW w:type="dxa" w:w="468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left"/>
            </w:pPr>
            <w:r>
              <w:rPr>
                <w:b/>
                <w:bCs/>
                <w:sz w:val="20"/>
                <w:szCs w:val="20"/>
              </w:rPr>
              <w:t xml:space="preserve">Krátkodobé pohľadávky spolu</w:t>
            </w:r>
          </w:p>
        </w:tc>
        <w:tc>
          <w:tcPr>
            <w:tcW w:type="dxa" w:w="234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right"/>
            </w:pPr>
            <w:r>
              <w:rPr>
                <w:b/>
                <w:bCs/>
                <w:sz w:val="20"/>
                <w:szCs w:val="20"/>
              </w:rPr>
              <w:t xml:space="preserve">268 317</w:t>
            </w:r>
          </w:p>
        </w:tc>
        <w:tc>
          <w:tcPr>
            <w:tcW w:type="dxa" w:w="234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right"/>
            </w:pPr>
            <w:r>
              <w:rPr>
                <w:b/>
                <w:bCs/>
                <w:sz w:val="20"/>
                <w:szCs w:val="20"/>
              </w:rPr>
              <w:t xml:space="preserve">268 317</w:t>
            </w:r>
          </w:p>
        </w:tc>
      </w:tr>
    </w:tbl>
    <w:p>
      <w:pPr>
        <w:pStyle w:val="Heading2"/>
      </w:pPr>
      <w:r>
        <w:t xml:space="preserve">4.2 Záväzky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2340"/>
        <w:gridCol w:w="2340"/>
      </w:tblGrid>
      <w:tr>
        <w:trPr>
          <w:tblHeader/>
        </w:trPr>
        <w:tc>
          <w:tcPr>
            <w:tcW w:type="dxa" w:w="4680"/>
            <w:tcBorders>
              <w:top w:val="single" w:color="BFBFBF" w:sz="1"/>
              <w:left w:val="single" w:color="BFBFBF" w:sz="1"/>
              <w:bottom w:val="single" w:color="BFBFBF" w:sz="1"/>
              <w:right w:val="single" w:color="BFBFBF" w:sz="1"/>
            </w:tcBorders>
            <w:shd w:fill="1F4E79" w:val="clear"/>
            <w:tcMar>
              <w:top w:type="dxa" w:w="80"/>
              <w:left w:type="dxa" w:w="120"/>
              <w:bottom w:type="dxa" w:w="80"/>
              <w:right w:type="dxa" w:w="120"/>
            </w:tcMar>
            <w:vAlign w:val="center"/>
          </w:tcPr>
          <w:p>
            <w:r>
              <w:rPr>
                <w:b/>
                <w:bCs/>
                <w:color w:val="FFFFFF"/>
                <w:sz w:val="20"/>
                <w:szCs w:val="20"/>
              </w:rPr>
              <w:t xml:space="preserve">Druh záväzku</w:t>
            </w:r>
          </w:p>
        </w:tc>
        <w:tc>
          <w:tcPr>
            <w:tcW w:type="dxa" w:w="2340"/>
            <w:tcBorders>
              <w:top w:val="single" w:color="BFBFBF" w:sz="1"/>
              <w:left w:val="single" w:color="BFBFBF" w:sz="1"/>
              <w:bottom w:val="single" w:color="BFBFBF" w:sz="1"/>
              <w:right w:val="single" w:color="BFBFBF" w:sz="1"/>
            </w:tcBorders>
            <w:shd w:fill="1F4E79" w:val="clear"/>
            <w:tcMar>
              <w:top w:type="dxa" w:w="80"/>
              <w:left w:type="dxa" w:w="120"/>
              <w:bottom w:type="dxa" w:w="80"/>
              <w:right w:type="dxa" w:w="120"/>
            </w:tcMar>
            <w:vAlign w:val="center"/>
          </w:tcPr>
          <w:p>
            <w:r>
              <w:rPr>
                <w:b/>
                <w:bCs/>
                <w:color w:val="FFFFFF"/>
                <w:sz w:val="20"/>
                <w:szCs w:val="20"/>
              </w:rPr>
              <w:t xml:space="preserve">31. 12. 2025 (€)</w:t>
            </w:r>
          </w:p>
        </w:tc>
        <w:tc>
          <w:tcPr>
            <w:tcW w:type="dxa" w:w="2340"/>
            <w:tcBorders>
              <w:top w:val="single" w:color="BFBFBF" w:sz="1"/>
              <w:left w:val="single" w:color="BFBFBF" w:sz="1"/>
              <w:bottom w:val="single" w:color="BFBFBF" w:sz="1"/>
              <w:right w:val="single" w:color="BFBFBF" w:sz="1"/>
            </w:tcBorders>
            <w:shd w:fill="1F4E79" w:val="clear"/>
            <w:tcMar>
              <w:top w:type="dxa" w:w="80"/>
              <w:left w:type="dxa" w:w="120"/>
              <w:bottom w:type="dxa" w:w="80"/>
              <w:right w:type="dxa" w:w="120"/>
            </w:tcMar>
            <w:vAlign w:val="center"/>
          </w:tcPr>
          <w:p>
            <w:r>
              <w:rPr>
                <w:b/>
                <w:bCs/>
                <w:color w:val="FFFFFF"/>
                <w:sz w:val="20"/>
                <w:szCs w:val="20"/>
              </w:rPr>
              <w:t xml:space="preserve">31. 12. 2024 (€)</w:t>
            </w:r>
          </w:p>
        </w:tc>
      </w:tr>
      <w:tr>
        <w:tc>
          <w:tcPr>
            <w:tcW w:type="dxa" w:w="468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left"/>
            </w:pPr>
            <w:r>
              <w:rPr>
                <w:b w:val="false"/>
                <w:bCs w:val="false"/>
                <w:sz w:val="20"/>
                <w:szCs w:val="20"/>
              </w:rPr>
              <w:t xml:space="preserve">Dlhodobé záväzky zo sociálneho fondu</w:t>
            </w:r>
          </w:p>
        </w:tc>
        <w:tc>
          <w:tcPr>
            <w:tcW w:type="dxa" w:w="234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right"/>
            </w:pPr>
            <w:r>
              <w:rPr>
                <w:b w:val="false"/>
                <w:bCs w:val="false"/>
                <w:sz w:val="20"/>
                <w:szCs w:val="20"/>
              </w:rPr>
              <w:t xml:space="preserve">69</w:t>
            </w:r>
          </w:p>
        </w:tc>
        <w:tc>
          <w:tcPr>
            <w:tcW w:type="dxa" w:w="234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right"/>
            </w:pPr>
            <w:r>
              <w:rPr>
                <w:b w:val="false"/>
                <w:bCs w:val="false"/>
                <w:sz w:val="20"/>
                <w:szCs w:val="20"/>
              </w:rPr>
              <w:t xml:space="preserve">69</w:t>
            </w:r>
          </w:p>
        </w:tc>
      </w:tr>
      <w:tr>
        <w:tc>
          <w:tcPr>
            <w:tcW w:type="dxa" w:w="468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left"/>
            </w:pPr>
            <w:r>
              <w:rPr>
                <w:b w:val="false"/>
                <w:bCs w:val="false"/>
                <w:sz w:val="20"/>
                <w:szCs w:val="20"/>
              </w:rPr>
              <w:t xml:space="preserve">Krátkodobé záväzky z obchodného styku</w:t>
            </w:r>
          </w:p>
        </w:tc>
        <w:tc>
          <w:tcPr>
            <w:tcW w:type="dxa" w:w="234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right"/>
            </w:pPr>
            <w:r>
              <w:rPr>
                <w:b w:val="false"/>
                <w:bCs w:val="false"/>
                <w:sz w:val="20"/>
                <w:szCs w:val="20"/>
              </w:rPr>
              <w:t xml:space="preserve">173 806</w:t>
            </w:r>
          </w:p>
        </w:tc>
        <w:tc>
          <w:tcPr>
            <w:tcW w:type="dxa" w:w="234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right"/>
            </w:pPr>
            <w:r>
              <w:rPr>
                <w:b w:val="false"/>
                <w:bCs w:val="false"/>
                <w:sz w:val="20"/>
                <w:szCs w:val="20"/>
              </w:rPr>
              <w:t xml:space="preserve">173 806</w:t>
            </w:r>
          </w:p>
        </w:tc>
      </w:tr>
      <w:tr>
        <w:tc>
          <w:tcPr>
            <w:tcW w:type="dxa" w:w="468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left"/>
            </w:pPr>
            <w:r>
              <w:rPr>
                <w:b w:val="false"/>
                <w:bCs w:val="false"/>
                <w:sz w:val="20"/>
                <w:szCs w:val="20"/>
              </w:rPr>
              <w:t xml:space="preserve">Záväzky voči zamestnancom a zo sociálneho poistenia</w:t>
            </w:r>
          </w:p>
        </w:tc>
        <w:tc>
          <w:tcPr>
            <w:tcW w:type="dxa" w:w="234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right"/>
            </w:pPr>
            <w:r>
              <w:rPr>
                <w:b w:val="false"/>
                <w:bCs w:val="false"/>
                <w:sz w:val="20"/>
                <w:szCs w:val="20"/>
              </w:rPr>
              <w:t xml:space="preserve">50 556</w:t>
            </w:r>
          </w:p>
        </w:tc>
        <w:tc>
          <w:tcPr>
            <w:tcW w:type="dxa" w:w="234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right"/>
            </w:pPr>
            <w:r>
              <w:rPr>
                <w:b w:val="false"/>
                <w:bCs w:val="false"/>
                <w:sz w:val="20"/>
                <w:szCs w:val="20"/>
              </w:rPr>
              <w:t xml:space="preserve">50 556</w:t>
            </w:r>
          </w:p>
        </w:tc>
      </w:tr>
      <w:tr>
        <w:tc>
          <w:tcPr>
            <w:tcW w:type="dxa" w:w="468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left"/>
            </w:pPr>
            <w:r>
              <w:rPr>
                <w:b w:val="false"/>
                <w:bCs w:val="false"/>
                <w:sz w:val="20"/>
                <w:szCs w:val="20"/>
              </w:rPr>
              <w:t xml:space="preserve">Daňové záväzky a dotácie</w:t>
            </w:r>
          </w:p>
        </w:tc>
        <w:tc>
          <w:tcPr>
            <w:tcW w:type="dxa" w:w="234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right"/>
            </w:pPr>
            <w:r>
              <w:rPr>
                <w:b w:val="false"/>
                <w:bCs w:val="false"/>
                <w:sz w:val="20"/>
                <w:szCs w:val="20"/>
              </w:rPr>
              <w:t xml:space="preserve">-855</w:t>
            </w:r>
          </w:p>
        </w:tc>
        <w:tc>
          <w:tcPr>
            <w:tcW w:type="dxa" w:w="234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right"/>
            </w:pPr>
            <w:r>
              <w:rPr>
                <w:b w:val="false"/>
                <w:bCs w:val="false"/>
                <w:sz w:val="20"/>
                <w:szCs w:val="20"/>
              </w:rPr>
              <w:t xml:space="preserve">-1 195</w:t>
            </w:r>
          </w:p>
        </w:tc>
      </w:tr>
      <w:tr>
        <w:tc>
          <w:tcPr>
            <w:tcW w:type="dxa" w:w="468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left"/>
            </w:pPr>
            <w:r>
              <w:rPr>
                <w:b w:val="false"/>
                <w:bCs w:val="false"/>
                <w:sz w:val="20"/>
                <w:szCs w:val="20"/>
              </w:rPr>
              <w:t xml:space="preserve">Ostatné krátkodobé záväzky voči spoločníkovi</w:t>
            </w:r>
          </w:p>
        </w:tc>
        <w:tc>
          <w:tcPr>
            <w:tcW w:type="dxa" w:w="234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right"/>
            </w:pPr>
            <w:r>
              <w:rPr>
                <w:b w:val="false"/>
                <w:bCs w:val="false"/>
                <w:sz w:val="20"/>
                <w:szCs w:val="20"/>
              </w:rPr>
              <w:t xml:space="preserve">18 390</w:t>
            </w:r>
          </w:p>
        </w:tc>
        <w:tc>
          <w:tcPr>
            <w:tcW w:type="dxa" w:w="234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right"/>
            </w:pPr>
            <w:r>
              <w:rPr>
                <w:b w:val="false"/>
                <w:bCs w:val="false"/>
                <w:sz w:val="20"/>
                <w:szCs w:val="20"/>
              </w:rPr>
              <w:t xml:space="preserve">18 390</w:t>
            </w:r>
          </w:p>
        </w:tc>
      </w:tr>
      <w:tr>
        <w:tc>
          <w:tcPr>
            <w:tcW w:type="dxa" w:w="468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left"/>
            </w:pPr>
            <w:r>
              <w:rPr>
                <w:b/>
                <w:bCs/>
                <w:sz w:val="20"/>
                <w:szCs w:val="20"/>
              </w:rPr>
              <w:t xml:space="preserve">Záväzky spolu</w:t>
            </w:r>
          </w:p>
        </w:tc>
        <w:tc>
          <w:tcPr>
            <w:tcW w:type="dxa" w:w="234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right"/>
            </w:pPr>
            <w:r>
              <w:rPr>
                <w:b/>
                <w:bCs/>
                <w:sz w:val="20"/>
                <w:szCs w:val="20"/>
              </w:rPr>
              <w:t xml:space="preserve">241 966</w:t>
            </w:r>
          </w:p>
        </w:tc>
        <w:tc>
          <w:tcPr>
            <w:tcW w:type="dxa" w:w="234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right"/>
            </w:pPr>
            <w:r>
              <w:rPr>
                <w:b/>
                <w:bCs/>
                <w:sz w:val="20"/>
                <w:szCs w:val="20"/>
              </w:rPr>
              <w:t xml:space="preserve">241 626</w:t>
            </w:r>
          </w:p>
        </w:tc>
      </w:tr>
    </w:tbl>
    <w:p>
      <w:pPr>
        <w:spacing w:after="240" w:before="80"/>
      </w:pPr>
      <w:r>
        <w:rPr>
          <w:i/>
          <w:iCs/>
          <w:sz w:val="18"/>
          <w:szCs w:val="18"/>
        </w:rPr>
        <w:t xml:space="preserve">Ostatné krátkodobé záväzky predstavujú záväzky voči spoločníkom a sú uvedené súhrnne, bez identifikácie konkrétnej osoby.</w:t>
      </w:r>
    </w:p>
    <w:p>
      <w:pPr>
        <w:pStyle w:val="Heading1"/>
      </w:pPr>
      <w:r>
        <w:t xml:space="preserve">5. Vlastné imanie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2340"/>
        <w:gridCol w:w="2340"/>
      </w:tblGrid>
      <w:tr>
        <w:trPr>
          <w:tblHeader/>
        </w:trPr>
        <w:tc>
          <w:tcPr>
            <w:tcW w:type="dxa" w:w="4680"/>
            <w:tcBorders>
              <w:top w:val="single" w:color="BFBFBF" w:sz="1"/>
              <w:left w:val="single" w:color="BFBFBF" w:sz="1"/>
              <w:bottom w:val="single" w:color="BFBFBF" w:sz="1"/>
              <w:right w:val="single" w:color="BFBFBF" w:sz="1"/>
            </w:tcBorders>
            <w:shd w:fill="1F4E79" w:val="clear"/>
            <w:tcMar>
              <w:top w:type="dxa" w:w="80"/>
              <w:left w:type="dxa" w:w="120"/>
              <w:bottom w:type="dxa" w:w="80"/>
              <w:right w:type="dxa" w:w="120"/>
            </w:tcMar>
            <w:vAlign w:val="center"/>
          </w:tcPr>
          <w:p>
            <w:r>
              <w:rPr>
                <w:b/>
                <w:bCs/>
                <w:color w:val="FFFFFF"/>
                <w:sz w:val="20"/>
                <w:szCs w:val="20"/>
              </w:rPr>
              <w:t xml:space="preserve">Zložka vlastného imania</w:t>
            </w:r>
          </w:p>
        </w:tc>
        <w:tc>
          <w:tcPr>
            <w:tcW w:type="dxa" w:w="2340"/>
            <w:tcBorders>
              <w:top w:val="single" w:color="BFBFBF" w:sz="1"/>
              <w:left w:val="single" w:color="BFBFBF" w:sz="1"/>
              <w:bottom w:val="single" w:color="BFBFBF" w:sz="1"/>
              <w:right w:val="single" w:color="BFBFBF" w:sz="1"/>
            </w:tcBorders>
            <w:shd w:fill="1F4E79" w:val="clear"/>
            <w:tcMar>
              <w:top w:type="dxa" w:w="80"/>
              <w:left w:type="dxa" w:w="120"/>
              <w:bottom w:type="dxa" w:w="80"/>
              <w:right w:type="dxa" w:w="120"/>
            </w:tcMar>
            <w:vAlign w:val="center"/>
          </w:tcPr>
          <w:p>
            <w:r>
              <w:rPr>
                <w:b/>
                <w:bCs/>
                <w:color w:val="FFFFFF"/>
                <w:sz w:val="20"/>
                <w:szCs w:val="20"/>
              </w:rPr>
              <w:t xml:space="preserve">31. 12. 2025 (€)</w:t>
            </w:r>
          </w:p>
        </w:tc>
        <w:tc>
          <w:tcPr>
            <w:tcW w:type="dxa" w:w="2340"/>
            <w:tcBorders>
              <w:top w:val="single" w:color="BFBFBF" w:sz="1"/>
              <w:left w:val="single" w:color="BFBFBF" w:sz="1"/>
              <w:bottom w:val="single" w:color="BFBFBF" w:sz="1"/>
              <w:right w:val="single" w:color="BFBFBF" w:sz="1"/>
            </w:tcBorders>
            <w:shd w:fill="1F4E79" w:val="clear"/>
            <w:tcMar>
              <w:top w:type="dxa" w:w="80"/>
              <w:left w:type="dxa" w:w="120"/>
              <w:bottom w:type="dxa" w:w="80"/>
              <w:right w:type="dxa" w:w="120"/>
            </w:tcMar>
            <w:vAlign w:val="center"/>
          </w:tcPr>
          <w:p>
            <w:r>
              <w:rPr>
                <w:b/>
                <w:bCs/>
                <w:color w:val="FFFFFF"/>
                <w:sz w:val="20"/>
                <w:szCs w:val="20"/>
              </w:rPr>
              <w:t xml:space="preserve">31. 12. 2024 (€)</w:t>
            </w:r>
          </w:p>
        </w:tc>
      </w:tr>
      <w:tr>
        <w:tc>
          <w:tcPr>
            <w:tcW w:type="dxa" w:w="468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left"/>
            </w:pPr>
            <w:r>
              <w:rPr>
                <w:b w:val="false"/>
                <w:bCs w:val="false"/>
                <w:sz w:val="20"/>
                <w:szCs w:val="20"/>
              </w:rPr>
              <w:t xml:space="preserve">Základné imanie</w:t>
            </w:r>
          </w:p>
        </w:tc>
        <w:tc>
          <w:tcPr>
            <w:tcW w:type="dxa" w:w="234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right"/>
            </w:pPr>
            <w:r>
              <w:rPr>
                <w:b w:val="false"/>
                <w:bCs w:val="false"/>
                <w:sz w:val="20"/>
                <w:szCs w:val="20"/>
              </w:rPr>
              <w:t xml:space="preserve">6 639</w:t>
            </w:r>
          </w:p>
        </w:tc>
        <w:tc>
          <w:tcPr>
            <w:tcW w:type="dxa" w:w="234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right"/>
            </w:pPr>
            <w:r>
              <w:rPr>
                <w:b w:val="false"/>
                <w:bCs w:val="false"/>
                <w:sz w:val="20"/>
                <w:szCs w:val="20"/>
              </w:rPr>
              <w:t xml:space="preserve">6 639</w:t>
            </w:r>
          </w:p>
        </w:tc>
      </w:tr>
      <w:tr>
        <w:tc>
          <w:tcPr>
            <w:tcW w:type="dxa" w:w="468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left"/>
            </w:pPr>
            <w:r>
              <w:rPr>
                <w:b w:val="false"/>
                <w:bCs w:val="false"/>
                <w:sz w:val="20"/>
                <w:szCs w:val="20"/>
              </w:rPr>
              <w:t xml:space="preserve">Kapitálové fondy</w:t>
            </w:r>
          </w:p>
        </w:tc>
        <w:tc>
          <w:tcPr>
            <w:tcW w:type="dxa" w:w="234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right"/>
            </w:pPr>
            <w:r>
              <w:rPr>
                <w:b w:val="false"/>
                <w:bCs w:val="false"/>
                <w:sz w:val="20"/>
                <w:szCs w:val="20"/>
              </w:rPr>
              <w:t xml:space="preserve">71 401</w:t>
            </w:r>
          </w:p>
        </w:tc>
        <w:tc>
          <w:tcPr>
            <w:tcW w:type="dxa" w:w="234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right"/>
            </w:pPr>
            <w:r>
              <w:rPr>
                <w:b w:val="false"/>
                <w:bCs w:val="false"/>
                <w:sz w:val="20"/>
                <w:szCs w:val="20"/>
              </w:rPr>
              <w:t xml:space="preserve">71 401</w:t>
            </w:r>
          </w:p>
        </w:tc>
      </w:tr>
      <w:tr>
        <w:tc>
          <w:tcPr>
            <w:tcW w:type="dxa" w:w="468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left"/>
            </w:pPr>
            <w:r>
              <w:rPr>
                <w:b w:val="false"/>
                <w:bCs w:val="false"/>
                <w:sz w:val="20"/>
                <w:szCs w:val="20"/>
              </w:rPr>
              <w:t xml:space="preserve">Fondy zo zisku</w:t>
            </w:r>
          </w:p>
        </w:tc>
        <w:tc>
          <w:tcPr>
            <w:tcW w:type="dxa" w:w="234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right"/>
            </w:pPr>
            <w:r>
              <w:rPr>
                <w:b w:val="false"/>
                <w:bCs w:val="false"/>
                <w:sz w:val="20"/>
                <w:szCs w:val="20"/>
              </w:rPr>
              <w:t xml:space="preserve">664</w:t>
            </w:r>
          </w:p>
        </w:tc>
        <w:tc>
          <w:tcPr>
            <w:tcW w:type="dxa" w:w="234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right"/>
            </w:pPr>
            <w:r>
              <w:rPr>
                <w:b w:val="false"/>
                <w:bCs w:val="false"/>
                <w:sz w:val="20"/>
                <w:szCs w:val="20"/>
              </w:rPr>
              <w:t xml:space="preserve">664</w:t>
            </w:r>
          </w:p>
        </w:tc>
      </w:tr>
      <w:tr>
        <w:tc>
          <w:tcPr>
            <w:tcW w:type="dxa" w:w="468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left"/>
            </w:pPr>
            <w:r>
              <w:rPr>
                <w:b w:val="false"/>
                <w:bCs w:val="false"/>
                <w:sz w:val="20"/>
                <w:szCs w:val="20"/>
              </w:rPr>
              <w:t xml:space="preserve">Nerozdelený zisk/neuhradená strata minulých rokov</w:t>
            </w:r>
          </w:p>
        </w:tc>
        <w:tc>
          <w:tcPr>
            <w:tcW w:type="dxa" w:w="234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right"/>
            </w:pPr>
            <w:r>
              <w:rPr>
                <w:b w:val="false"/>
                <w:bCs w:val="false"/>
                <w:sz w:val="20"/>
                <w:szCs w:val="20"/>
              </w:rPr>
              <w:t xml:space="preserve">-78 143</w:t>
            </w:r>
          </w:p>
        </w:tc>
        <w:tc>
          <w:tcPr>
            <w:tcW w:type="dxa" w:w="234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right"/>
            </w:pPr>
            <w:r>
              <w:rPr>
                <w:b w:val="false"/>
                <w:bCs w:val="false"/>
                <w:sz w:val="20"/>
                <w:szCs w:val="20"/>
              </w:rPr>
              <w:t xml:space="preserve">-77 803</w:t>
            </w:r>
          </w:p>
        </w:tc>
      </w:tr>
      <w:tr>
        <w:tc>
          <w:tcPr>
            <w:tcW w:type="dxa" w:w="468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left"/>
            </w:pPr>
            <w:r>
              <w:rPr>
                <w:b w:val="false"/>
                <w:bCs w:val="false"/>
                <w:sz w:val="20"/>
                <w:szCs w:val="20"/>
              </w:rPr>
              <w:t xml:space="preserve">Výsledok hospodárenia za účtovné obdobie</w:t>
            </w:r>
          </w:p>
        </w:tc>
        <w:tc>
          <w:tcPr>
            <w:tcW w:type="dxa" w:w="234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right"/>
            </w:pPr>
            <w:r>
              <w:rPr>
                <w:b w:val="false"/>
                <w:bCs w:val="false"/>
                <w:sz w:val="20"/>
                <w:szCs w:val="20"/>
              </w:rPr>
              <w:t xml:space="preserve">-340</w:t>
            </w:r>
          </w:p>
        </w:tc>
        <w:tc>
          <w:tcPr>
            <w:tcW w:type="dxa" w:w="234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right"/>
            </w:pPr>
            <w:r>
              <w:rPr>
                <w:b w:val="false"/>
                <w:bCs w:val="false"/>
                <w:sz w:val="20"/>
                <w:szCs w:val="20"/>
              </w:rPr>
              <w:t xml:space="preserve">-340</w:t>
            </w:r>
          </w:p>
        </w:tc>
      </w:tr>
      <w:tr>
        <w:tc>
          <w:tcPr>
            <w:tcW w:type="dxa" w:w="468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left"/>
            </w:pPr>
            <w:r>
              <w:rPr>
                <w:b/>
                <w:bCs/>
                <w:sz w:val="20"/>
                <w:szCs w:val="20"/>
              </w:rPr>
              <w:t xml:space="preserve">Vlastné imanie spolu</w:t>
            </w:r>
          </w:p>
        </w:tc>
        <w:tc>
          <w:tcPr>
            <w:tcW w:type="dxa" w:w="234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right"/>
            </w:pPr>
            <w:r>
              <w:rPr>
                <w:b/>
                <w:bCs/>
                <w:sz w:val="20"/>
                <w:szCs w:val="20"/>
              </w:rPr>
              <w:t xml:space="preserve">221</w:t>
            </w:r>
          </w:p>
        </w:tc>
        <w:tc>
          <w:tcPr>
            <w:tcW w:type="dxa" w:w="234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right"/>
            </w:pPr>
            <w:r>
              <w:rPr>
                <w:b/>
                <w:bCs/>
                <w:sz w:val="20"/>
                <w:szCs w:val="20"/>
              </w:rPr>
              <w:t xml:space="preserve">561</w:t>
            </w:r>
          </w:p>
        </w:tc>
      </w:tr>
    </w:tbl>
    <w:p>
      <w:pPr>
        <w:spacing w:after="240" w:before="80"/>
      </w:pPr>
      <w:r>
        <w:rPr>
          <w:i/>
          <w:iCs/>
          <w:sz w:val="18"/>
          <w:szCs w:val="18"/>
        </w:rPr>
        <w:t xml:space="preserve">Nerozdelený zisk a neuhradená strata minulých rokov sú v mikroúčtovnej jednotke vykazované spoločne v jednej položke, neuhradená strata je uvedená súhrnne.</w:t>
      </w:r>
    </w:p>
    <w:p>
      <w:pPr>
        <w:pStyle w:val="Heading1"/>
      </w:pPr>
      <w:r>
        <w:t xml:space="preserve">6. Výsledok hospodárenia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2340"/>
        <w:gridCol w:w="2340"/>
      </w:tblGrid>
      <w:tr>
        <w:trPr>
          <w:tblHeader/>
        </w:trPr>
        <w:tc>
          <w:tcPr>
            <w:tcW w:type="dxa" w:w="4680"/>
            <w:tcBorders>
              <w:top w:val="single" w:color="BFBFBF" w:sz="1"/>
              <w:left w:val="single" w:color="BFBFBF" w:sz="1"/>
              <w:bottom w:val="single" w:color="BFBFBF" w:sz="1"/>
              <w:right w:val="single" w:color="BFBFBF" w:sz="1"/>
            </w:tcBorders>
            <w:shd w:fill="1F4E79" w:val="clear"/>
            <w:tcMar>
              <w:top w:type="dxa" w:w="80"/>
              <w:left w:type="dxa" w:w="120"/>
              <w:bottom w:type="dxa" w:w="80"/>
              <w:right w:type="dxa" w:w="120"/>
            </w:tcMar>
            <w:vAlign w:val="center"/>
          </w:tcPr>
          <w:p>
            <w:r>
              <w:rPr>
                <w:b/>
                <w:bCs/>
                <w:color w:val="FFFFFF"/>
                <w:sz w:val="20"/>
                <w:szCs w:val="20"/>
              </w:rPr>
              <w:t xml:space="preserve">Ukazovateľ</w:t>
            </w:r>
          </w:p>
        </w:tc>
        <w:tc>
          <w:tcPr>
            <w:tcW w:type="dxa" w:w="2340"/>
            <w:tcBorders>
              <w:top w:val="single" w:color="BFBFBF" w:sz="1"/>
              <w:left w:val="single" w:color="BFBFBF" w:sz="1"/>
              <w:bottom w:val="single" w:color="BFBFBF" w:sz="1"/>
              <w:right w:val="single" w:color="BFBFBF" w:sz="1"/>
            </w:tcBorders>
            <w:shd w:fill="1F4E79" w:val="clear"/>
            <w:tcMar>
              <w:top w:type="dxa" w:w="80"/>
              <w:left w:type="dxa" w:w="120"/>
              <w:bottom w:type="dxa" w:w="80"/>
              <w:right w:type="dxa" w:w="120"/>
            </w:tcMar>
            <w:vAlign w:val="center"/>
          </w:tcPr>
          <w:p>
            <w:r>
              <w:rPr>
                <w:b/>
                <w:bCs/>
                <w:color w:val="FFFFFF"/>
                <w:sz w:val="20"/>
                <w:szCs w:val="20"/>
              </w:rPr>
              <w:t xml:space="preserve">Bežné obdobie (€)</w:t>
            </w:r>
          </w:p>
        </w:tc>
        <w:tc>
          <w:tcPr>
            <w:tcW w:type="dxa" w:w="2340"/>
            <w:tcBorders>
              <w:top w:val="single" w:color="BFBFBF" w:sz="1"/>
              <w:left w:val="single" w:color="BFBFBF" w:sz="1"/>
              <w:bottom w:val="single" w:color="BFBFBF" w:sz="1"/>
              <w:right w:val="single" w:color="BFBFBF" w:sz="1"/>
            </w:tcBorders>
            <w:shd w:fill="1F4E79" w:val="clear"/>
            <w:tcMar>
              <w:top w:type="dxa" w:w="80"/>
              <w:left w:type="dxa" w:w="120"/>
              <w:bottom w:type="dxa" w:w="80"/>
              <w:right w:type="dxa" w:w="120"/>
            </w:tcMar>
            <w:vAlign w:val="center"/>
          </w:tcPr>
          <w:p>
            <w:r>
              <w:rPr>
                <w:b/>
                <w:bCs/>
                <w:color w:val="FFFFFF"/>
                <w:sz w:val="20"/>
                <w:szCs w:val="20"/>
              </w:rPr>
              <w:t xml:space="preserve">Predchádzajúce obdobie (€)</w:t>
            </w:r>
          </w:p>
        </w:tc>
      </w:tr>
      <w:tr>
        <w:tc>
          <w:tcPr>
            <w:tcW w:type="dxa" w:w="468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left"/>
            </w:pPr>
            <w:r>
              <w:rPr>
                <w:b w:val="false"/>
                <w:bCs w:val="false"/>
                <w:sz w:val="20"/>
                <w:szCs w:val="20"/>
              </w:rPr>
              <w:t xml:space="preserve">Výsledok hospodárenia z hospodárskej činnosti</w:t>
            </w:r>
          </w:p>
        </w:tc>
        <w:tc>
          <w:tcPr>
            <w:tcW w:type="dxa" w:w="234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right"/>
            </w:pPr>
            <w:r>
              <w:rPr>
                <w:b w:val="false"/>
                <w:bCs w:val="false"/>
                <w:sz w:val="20"/>
                <w:szCs w:val="20"/>
              </w:rPr>
              <w:t xml:space="preserve">0</w:t>
            </w:r>
          </w:p>
        </w:tc>
        <w:tc>
          <w:tcPr>
            <w:tcW w:type="dxa" w:w="234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right"/>
            </w:pPr>
            <w:r>
              <w:rPr>
                <w:b w:val="false"/>
                <w:bCs w:val="false"/>
                <w:sz w:val="20"/>
                <w:szCs w:val="20"/>
              </w:rPr>
              <w:t xml:space="preserve">0</w:t>
            </w:r>
          </w:p>
        </w:tc>
      </w:tr>
      <w:tr>
        <w:tc>
          <w:tcPr>
            <w:tcW w:type="dxa" w:w="468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left"/>
            </w:pPr>
            <w:r>
              <w:rPr>
                <w:b w:val="false"/>
                <w:bCs w:val="false"/>
                <w:sz w:val="20"/>
                <w:szCs w:val="20"/>
              </w:rPr>
              <w:t xml:space="preserve">Výsledok hospodárenia z finančnej činnosti</w:t>
            </w:r>
          </w:p>
        </w:tc>
        <w:tc>
          <w:tcPr>
            <w:tcW w:type="dxa" w:w="234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right"/>
            </w:pPr>
            <w:r>
              <w:rPr>
                <w:b w:val="false"/>
                <w:bCs w:val="false"/>
                <w:sz w:val="20"/>
                <w:szCs w:val="20"/>
              </w:rPr>
              <w:t xml:space="preserve">0</w:t>
            </w:r>
          </w:p>
        </w:tc>
        <w:tc>
          <w:tcPr>
            <w:tcW w:type="dxa" w:w="234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right"/>
            </w:pPr>
            <w:r>
              <w:rPr>
                <w:b w:val="false"/>
                <w:bCs w:val="false"/>
                <w:sz w:val="20"/>
                <w:szCs w:val="20"/>
              </w:rPr>
              <w:t xml:space="preserve">0</w:t>
            </w:r>
          </w:p>
        </w:tc>
      </w:tr>
      <w:tr>
        <w:tc>
          <w:tcPr>
            <w:tcW w:type="dxa" w:w="468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left"/>
            </w:pPr>
            <w:r>
              <w:rPr>
                <w:b w:val="false"/>
                <w:bCs w:val="false"/>
                <w:sz w:val="20"/>
                <w:szCs w:val="20"/>
              </w:rPr>
              <w:t xml:space="preserve">Výsledok hospodárenia pred zdanením</w:t>
            </w:r>
          </w:p>
        </w:tc>
        <w:tc>
          <w:tcPr>
            <w:tcW w:type="dxa" w:w="234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right"/>
            </w:pPr>
            <w:r>
              <w:rPr>
                <w:b w:val="false"/>
                <w:bCs w:val="false"/>
                <w:sz w:val="20"/>
                <w:szCs w:val="20"/>
              </w:rPr>
              <w:t xml:space="preserve">0</w:t>
            </w:r>
          </w:p>
        </w:tc>
        <w:tc>
          <w:tcPr>
            <w:tcW w:type="dxa" w:w="234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right"/>
            </w:pPr>
            <w:r>
              <w:rPr>
                <w:b w:val="false"/>
                <w:bCs w:val="false"/>
                <w:sz w:val="20"/>
                <w:szCs w:val="20"/>
              </w:rPr>
              <w:t xml:space="preserve">0</w:t>
            </w:r>
          </w:p>
        </w:tc>
      </w:tr>
      <w:tr>
        <w:tc>
          <w:tcPr>
            <w:tcW w:type="dxa" w:w="468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left"/>
            </w:pPr>
            <w:r>
              <w:rPr>
                <w:b w:val="false"/>
                <w:bCs w:val="false"/>
                <w:sz w:val="20"/>
                <w:szCs w:val="20"/>
              </w:rPr>
              <w:t xml:space="preserve">Daň z príjmov</w:t>
            </w:r>
          </w:p>
        </w:tc>
        <w:tc>
          <w:tcPr>
            <w:tcW w:type="dxa" w:w="234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right"/>
            </w:pPr>
            <w:r>
              <w:rPr>
                <w:b w:val="false"/>
                <w:bCs w:val="false"/>
                <w:sz w:val="20"/>
                <w:szCs w:val="20"/>
              </w:rPr>
              <w:t xml:space="preserve">340</w:t>
            </w:r>
          </w:p>
        </w:tc>
        <w:tc>
          <w:tcPr>
            <w:tcW w:type="dxa" w:w="234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right"/>
            </w:pPr>
            <w:r>
              <w:rPr>
                <w:b w:val="false"/>
                <w:bCs w:val="false"/>
                <w:sz w:val="20"/>
                <w:szCs w:val="20"/>
              </w:rPr>
              <w:t xml:space="preserve">340</w:t>
            </w:r>
          </w:p>
        </w:tc>
      </w:tr>
      <w:tr>
        <w:tc>
          <w:tcPr>
            <w:tcW w:type="dxa" w:w="468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left"/>
            </w:pPr>
            <w:r>
              <w:rPr>
                <w:b/>
                <w:bCs/>
                <w:sz w:val="20"/>
                <w:szCs w:val="20"/>
              </w:rPr>
              <w:t xml:space="preserve">Výsledok hospodárenia po zdanení</w:t>
            </w:r>
          </w:p>
        </w:tc>
        <w:tc>
          <w:tcPr>
            <w:tcW w:type="dxa" w:w="234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right"/>
            </w:pPr>
            <w:r>
              <w:rPr>
                <w:b/>
                <w:bCs/>
                <w:sz w:val="20"/>
                <w:szCs w:val="20"/>
              </w:rPr>
              <w:t xml:space="preserve">-340</w:t>
            </w:r>
          </w:p>
        </w:tc>
        <w:tc>
          <w:tcPr>
            <w:tcW w:type="dxa" w:w="234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right"/>
            </w:pPr>
            <w:r>
              <w:rPr>
                <w:b/>
                <w:bCs/>
                <w:sz w:val="20"/>
                <w:szCs w:val="20"/>
              </w:rPr>
              <w:t xml:space="preserve">-340</w:t>
            </w:r>
          </w:p>
        </w:tc>
      </w:tr>
    </w:tbl>
    <w:p>
      <w:pPr>
        <w:pStyle w:val="Heading1"/>
      </w:pPr>
      <w:r>
        <w:t xml:space="preserve">7. Daň z príjmov</w:t>
      </w:r>
    </w:p>
    <w:p>
      <w:pPr>
        <w:spacing w:after="160"/>
      </w:pPr>
      <w:r>
        <w:t xml:space="preserve">Spoločnosť vykázala za účtovné obdobie výsledok hospodárenia pred zdanením vo výške 0 €. Keďže vypočítaná daň z príjmov by bola nulová, spoločnosti vznikla povinnosť platiť minimálnu daň podľa § 46b zákona o dani z príjmov, a to vo výške 340 €.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80"/>
        <w:gridCol w:w="2880"/>
      </w:tblGrid>
      <w:tr>
        <w:trPr>
          <w:tblHeader/>
        </w:trPr>
        <w:tc>
          <w:tcPr>
            <w:tcW w:type="dxa" w:w="6480"/>
            <w:tcBorders>
              <w:top w:val="single" w:color="BFBFBF" w:sz="1"/>
              <w:left w:val="single" w:color="BFBFBF" w:sz="1"/>
              <w:bottom w:val="single" w:color="BFBFBF" w:sz="1"/>
              <w:right w:val="single" w:color="BFBFBF" w:sz="1"/>
            </w:tcBorders>
            <w:shd w:fill="1F4E79" w:val="clear"/>
            <w:tcMar>
              <w:top w:type="dxa" w:w="80"/>
              <w:left w:type="dxa" w:w="120"/>
              <w:bottom w:type="dxa" w:w="80"/>
              <w:right w:type="dxa" w:w="120"/>
            </w:tcMar>
            <w:vAlign w:val="center"/>
          </w:tcPr>
          <w:p>
            <w:r>
              <w:rPr>
                <w:b/>
                <w:bCs/>
                <w:color w:val="FFFFFF"/>
                <w:sz w:val="20"/>
                <w:szCs w:val="20"/>
              </w:rPr>
              <w:t xml:space="preserve">Ukazovateľ</w:t>
            </w:r>
          </w:p>
        </w:tc>
        <w:tc>
          <w:tcPr>
            <w:tcW w:type="dxa" w:w="2880"/>
            <w:tcBorders>
              <w:top w:val="single" w:color="BFBFBF" w:sz="1"/>
              <w:left w:val="single" w:color="BFBFBF" w:sz="1"/>
              <w:bottom w:val="single" w:color="BFBFBF" w:sz="1"/>
              <w:right w:val="single" w:color="BFBFBF" w:sz="1"/>
            </w:tcBorders>
            <w:shd w:fill="1F4E79" w:val="clear"/>
            <w:tcMar>
              <w:top w:type="dxa" w:w="80"/>
              <w:left w:type="dxa" w:w="120"/>
              <w:bottom w:type="dxa" w:w="80"/>
              <w:right w:type="dxa" w:w="120"/>
            </w:tcMar>
            <w:vAlign w:val="center"/>
          </w:tcPr>
          <w:p>
            <w:r>
              <w:rPr>
                <w:b/>
                <w:bCs/>
                <w:color w:val="FFFFFF"/>
                <w:sz w:val="20"/>
                <w:szCs w:val="20"/>
              </w:rPr>
              <w:t xml:space="preserve">Suma (€)</w:t>
            </w:r>
          </w:p>
        </w:tc>
      </w:tr>
      <w:tr>
        <w:tc>
          <w:tcPr>
            <w:tcW w:type="dxa" w:w="648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left"/>
            </w:pPr>
            <w:r>
              <w:rPr>
                <w:b w:val="false"/>
                <w:bCs w:val="false"/>
                <w:sz w:val="20"/>
                <w:szCs w:val="20"/>
              </w:rPr>
              <w:t xml:space="preserve">Výsledok hospodárenia pred zdanením</w:t>
            </w:r>
          </w:p>
        </w:tc>
        <w:tc>
          <w:tcPr>
            <w:tcW w:type="dxa" w:w="288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right"/>
            </w:pPr>
            <w:r>
              <w:rPr>
                <w:b w:val="false"/>
                <w:bCs w:val="false"/>
                <w:sz w:val="20"/>
                <w:szCs w:val="20"/>
              </w:rPr>
              <w:t xml:space="preserve">0</w:t>
            </w:r>
          </w:p>
        </w:tc>
      </w:tr>
      <w:tr>
        <w:tc>
          <w:tcPr>
            <w:tcW w:type="dxa" w:w="648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left"/>
            </w:pPr>
            <w:r>
              <w:rPr>
                <w:b w:val="false"/>
                <w:bCs w:val="false"/>
                <w:sz w:val="20"/>
                <w:szCs w:val="20"/>
              </w:rPr>
              <w:t xml:space="preserve">Daň z príjmov (minimálna daň)</w:t>
            </w:r>
          </w:p>
        </w:tc>
        <w:tc>
          <w:tcPr>
            <w:tcW w:type="dxa" w:w="288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right"/>
            </w:pPr>
            <w:r>
              <w:rPr>
                <w:b w:val="false"/>
                <w:bCs w:val="false"/>
                <w:sz w:val="20"/>
                <w:szCs w:val="20"/>
              </w:rPr>
              <w:t xml:space="preserve">340</w:t>
            </w:r>
          </w:p>
        </w:tc>
      </w:tr>
      <w:tr>
        <w:tc>
          <w:tcPr>
            <w:tcW w:type="dxa" w:w="648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left"/>
            </w:pPr>
            <w:r>
              <w:rPr>
                <w:b/>
                <w:bCs/>
                <w:sz w:val="20"/>
                <w:szCs w:val="20"/>
              </w:rPr>
              <w:t xml:space="preserve">Výsledok hospodárenia po zdanení</w:t>
            </w:r>
          </w:p>
        </w:tc>
        <w:tc>
          <w:tcPr>
            <w:tcW w:type="dxa" w:w="288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right"/>
            </w:pPr>
            <w:r>
              <w:rPr>
                <w:b/>
                <w:bCs/>
                <w:sz w:val="20"/>
                <w:szCs w:val="20"/>
              </w:rPr>
              <w:t xml:space="preserve">-340</w:t>
            </w:r>
          </w:p>
        </w:tc>
      </w:tr>
    </w:tbl>
    <w:p>
      <w:pPr>
        <w:pStyle w:val="Heading1"/>
      </w:pPr>
      <w:r>
        <w:t xml:space="preserve">8. Finančné prostriedky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2340"/>
        <w:gridCol w:w="2340"/>
      </w:tblGrid>
      <w:tr>
        <w:trPr>
          <w:tblHeader/>
        </w:trPr>
        <w:tc>
          <w:tcPr>
            <w:tcW w:type="dxa" w:w="4680"/>
            <w:tcBorders>
              <w:top w:val="single" w:color="BFBFBF" w:sz="1"/>
              <w:left w:val="single" w:color="BFBFBF" w:sz="1"/>
              <w:bottom w:val="single" w:color="BFBFBF" w:sz="1"/>
              <w:right w:val="single" w:color="BFBFBF" w:sz="1"/>
            </w:tcBorders>
            <w:shd w:fill="1F4E79" w:val="clear"/>
            <w:tcMar>
              <w:top w:type="dxa" w:w="80"/>
              <w:left w:type="dxa" w:w="120"/>
              <w:bottom w:type="dxa" w:w="80"/>
              <w:right w:type="dxa" w:w="120"/>
            </w:tcMar>
            <w:vAlign w:val="center"/>
          </w:tcPr>
          <w:p>
            <w:r>
              <w:rPr>
                <w:b/>
                <w:bCs/>
                <w:color w:val="FFFFFF"/>
                <w:sz w:val="20"/>
                <w:szCs w:val="20"/>
              </w:rPr>
              <w:t xml:space="preserve">Druh finančných prostriedkov</w:t>
            </w:r>
          </w:p>
        </w:tc>
        <w:tc>
          <w:tcPr>
            <w:tcW w:type="dxa" w:w="2340"/>
            <w:tcBorders>
              <w:top w:val="single" w:color="BFBFBF" w:sz="1"/>
              <w:left w:val="single" w:color="BFBFBF" w:sz="1"/>
              <w:bottom w:val="single" w:color="BFBFBF" w:sz="1"/>
              <w:right w:val="single" w:color="BFBFBF" w:sz="1"/>
            </w:tcBorders>
            <w:shd w:fill="1F4E79" w:val="clear"/>
            <w:tcMar>
              <w:top w:type="dxa" w:w="80"/>
              <w:left w:type="dxa" w:w="120"/>
              <w:bottom w:type="dxa" w:w="80"/>
              <w:right w:type="dxa" w:w="120"/>
            </w:tcMar>
            <w:vAlign w:val="center"/>
          </w:tcPr>
          <w:p>
            <w:r>
              <w:rPr>
                <w:b/>
                <w:bCs/>
                <w:color w:val="FFFFFF"/>
                <w:sz w:val="20"/>
                <w:szCs w:val="20"/>
              </w:rPr>
              <w:t xml:space="preserve">31. 12. 2025 (€)</w:t>
            </w:r>
          </w:p>
        </w:tc>
        <w:tc>
          <w:tcPr>
            <w:tcW w:type="dxa" w:w="2340"/>
            <w:tcBorders>
              <w:top w:val="single" w:color="BFBFBF" w:sz="1"/>
              <w:left w:val="single" w:color="BFBFBF" w:sz="1"/>
              <w:bottom w:val="single" w:color="BFBFBF" w:sz="1"/>
              <w:right w:val="single" w:color="BFBFBF" w:sz="1"/>
            </w:tcBorders>
            <w:shd w:fill="1F4E79" w:val="clear"/>
            <w:tcMar>
              <w:top w:type="dxa" w:w="80"/>
              <w:left w:type="dxa" w:w="120"/>
              <w:bottom w:type="dxa" w:w="80"/>
              <w:right w:type="dxa" w:w="120"/>
            </w:tcMar>
            <w:vAlign w:val="center"/>
          </w:tcPr>
          <w:p>
            <w:r>
              <w:rPr>
                <w:b/>
                <w:bCs/>
                <w:color w:val="FFFFFF"/>
                <w:sz w:val="20"/>
                <w:szCs w:val="20"/>
              </w:rPr>
              <w:t xml:space="preserve">31. 12. 2024 (€)</w:t>
            </w:r>
          </w:p>
        </w:tc>
      </w:tr>
      <w:tr>
        <w:tc>
          <w:tcPr>
            <w:tcW w:type="dxa" w:w="468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left"/>
            </w:pPr>
            <w:r>
              <w:rPr>
                <w:b/>
                <w:bCs/>
                <w:sz w:val="20"/>
                <w:szCs w:val="20"/>
              </w:rPr>
              <w:t xml:space="preserve">Peniaze a účty v bankách</w:t>
            </w:r>
          </w:p>
        </w:tc>
        <w:tc>
          <w:tcPr>
            <w:tcW w:type="dxa" w:w="234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right"/>
            </w:pPr>
            <w:r>
              <w:rPr>
                <w:b/>
                <w:bCs/>
                <w:sz w:val="20"/>
                <w:szCs w:val="20"/>
              </w:rPr>
              <w:t xml:space="preserve">-26 130</w:t>
            </w:r>
          </w:p>
        </w:tc>
        <w:tc>
          <w:tcPr>
            <w:tcW w:type="dxa" w:w="2340"/>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jc w:val="right"/>
            </w:pPr>
            <w:r>
              <w:rPr>
                <w:b/>
                <w:bCs/>
                <w:sz w:val="20"/>
                <w:szCs w:val="20"/>
              </w:rPr>
              <w:t xml:space="preserve">-26 130</w:t>
            </w:r>
          </w:p>
        </w:tc>
      </w:tr>
    </w:tbl>
    <w:p>
      <w:pPr>
        <w:pStyle w:val="Heading1"/>
      </w:pPr>
      <w:r>
        <w:t xml:space="preserve">9. Udalosti po dátume, ku ktorému sa zostavuje účtovná závierka</w:t>
      </w:r>
    </w:p>
    <w:p>
      <w:pPr>
        <w:spacing w:after="160"/>
      </w:pPr>
      <w:r>
        <w:t xml:space="preserve">Po dátume, ku ktorému sa zostavuje účtovná závierka, do dňa zostavenia účtovnej závierky nenastali žiadne udalosti osobitného významu, ktoré by mali vplyv na verný a pravdivý obraz skutočností, ktoré sú predmetom účtovníctva v účtovnej závierke za účtovné obdobie.</w:t>
      </w:r>
    </w:p>
    <w:p>
      <w:pPr>
        <w:pStyle w:val="Heading1"/>
      </w:pPr>
      <w:r>
        <w:t xml:space="preserve">10. Iné informácie</w:t>
      </w:r>
    </w:p>
    <w:p>
      <w:pPr>
        <w:spacing w:after="160"/>
      </w:pPr>
      <w:r>
        <w:t xml:space="preserve">Účtovná jednotka nemá voči nej vedené žiadne súdne spory, ktoré by mali významný vplyv na jej účtovnú závierku. Účtovná jednotka neeviduje žiadne mimoriadne záväzky vyplývajúce zo záruk, zabezpečovacích inštrumentov ani iných skutočností, ktoré nie sú vykázané v účtovníctve.</w:t>
      </w:r>
    </w:p>
    <w:sectPr>
      <w:head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F4E79" w:sz="6" w:space="4"/>
      </w:pBdr>
      <w:jc w:val="center"/>
    </w:pPr>
    <w:r>
      <w:rPr>
        <w:b/>
        <w:bCs/>
        <w:color w:val="1F4E79"/>
        <w:sz w:val="18"/>
        <w:szCs w:val="18"/>
      </w:rPr>
      <w:t xml:space="preserve">MIKROÚČTOVNÁ JEDNOTKA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Arial" w:cs="Arial" w:eastAsia="Arial" w:hAnsi="Arial"/>
      <w:b/>
      <w:bCs/>
      <w:color w:val="1F4E79"/>
      <w:sz w:val="28"/>
      <w:szCs w:val="28"/>
    </w:rPr>
  </w:style>
  <w:style w:type="paragraph" w:styleId="Heading2">
    <w:name w:val="Heading 2"/>
    <w:basedOn w:val="Normal"/>
    <w:next w:val="Normal"/>
    <w:qFormat/>
    <w:pPr>
      <w:spacing w:after="160" w:before="240"/>
      <w:outlineLvl w:val="1"/>
    </w:pPr>
    <w:rPr>
      <w:rFonts w:ascii="Arial" w:cs="Arial" w:eastAsia="Arial" w:hAnsi="Arial"/>
      <w:b/>
      <w:bCs/>
      <w:color w:val="1F4E79"/>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2026-06-30T11:11:42.111Z</dcterms:created>
  <dcterms:modified xsi:type="dcterms:W3CDTF">2026-06-30T11:11:42.126Z</dcterms:modified>
</cp:coreProperties>
</file>

<file path=docProps/custom.xml><?xml version="1.0" encoding="utf-8"?>
<Properties xmlns="http://schemas.openxmlformats.org/officeDocument/2006/custom-properties" xmlns:vt="http://schemas.openxmlformats.org/officeDocument/2006/docPropsVTypes"/>
</file>