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tabs>
          <w:tab w:val="right" w:pos="9360"/>
        </w:tabs>
        <w:spacing w:after="40"/>
      </w:pPr>
      <w:r>
        <w:rPr>
          <w:rFonts w:ascii="Calibri" w:cs="Calibri" w:eastAsia="Calibri" w:hAnsi="Calibri"/>
          <w:sz w:val="16"/>
          <w:szCs w:val="16"/>
        </w:rPr>
        <w:t xml:space="preserve">Poznámky (Úč NUJ 3-01)</w:t>
      </w:r>
      <w:r>
        <w:rPr>
          <w:rFonts w:ascii="Calibri" w:cs="Calibri" w:eastAsia="Calibri" w:hAnsi="Calibri"/>
          <w:sz w:val="16"/>
          <w:szCs w:val="16"/>
        </w:rPr>
        <w:t xml:space="preserve">	IČO 50330047</w:t>
      </w:r>
    </w:p>
    <w:p>
      <w:pPr>
        <w:spacing w:after="200" w:before="120"/>
        <w:jc w:val="center"/>
      </w:pPr>
      <w:r>
        <w:rPr>
          <w:rFonts w:ascii="Calibri" w:cs="Calibri" w:eastAsia="Calibri" w:hAnsi="Calibri"/>
          <w:b/>
          <w:bCs/>
          <w:sz w:val="26"/>
          <w:szCs w:val="26"/>
        </w:rPr>
        <w:t xml:space="preserve">Poznámky k individuálnej účtovnej závierke k 31.12.2025</w:t>
      </w:r>
    </w:p>
    <w:p>
      <w:pPr>
        <w:spacing w:after="120" w:before="220"/>
      </w:pPr>
      <w:r>
        <w:rPr>
          <w:rFonts w:ascii="Calibri" w:cs="Calibri" w:eastAsia="Calibri" w:hAnsi="Calibri"/>
          <w:b/>
          <w:bCs/>
          <w:sz w:val="24"/>
          <w:szCs w:val="24"/>
        </w:rPr>
        <w:t xml:space="preserve">I. VŠEOBECNÉ ÚDAJE</w:t>
      </w:r>
    </w:p>
    <w:p>
      <w:pPr>
        <w:spacing w:after="80" w:before="160"/>
      </w:pPr>
      <w:r>
        <w:rPr>
          <w:rFonts w:ascii="Calibri" w:cs="Calibri" w:eastAsia="Calibri" w:hAnsi="Calibri"/>
          <w:b/>
          <w:bCs/>
          <w:sz w:val="22"/>
          <w:szCs w:val="22"/>
        </w:rPr>
        <w:t xml:space="preserve">1. Identifikačné údaje Organizácie:</w:t>
      </w:r>
    </w:p>
    <w:p>
      <w:pPr>
        <w:spacing w:after="80"/>
        <w:jc w:val="both"/>
      </w:pPr>
      <w:r>
        <w:rPr>
          <w:rFonts w:ascii="Calibri" w:cs="Calibri" w:eastAsia="Calibri" w:hAnsi="Calibri"/>
          <w:b w:val="false"/>
          <w:bCs w:val="false"/>
          <w:i w:val="false"/>
          <w:iCs w:val="false"/>
          <w:sz w:val="20"/>
          <w:szCs w:val="20"/>
        </w:rPr>
        <w:t xml:space="preserve">Názov Organizácie: mimoOs</w:t>
      </w:r>
    </w:p>
    <w:p>
      <w:pPr>
        <w:spacing w:after="80"/>
        <w:jc w:val="both"/>
      </w:pPr>
      <w:r>
        <w:rPr>
          <w:rFonts w:ascii="Calibri" w:cs="Calibri" w:eastAsia="Calibri" w:hAnsi="Calibri"/>
          <w:b w:val="false"/>
          <w:bCs w:val="false"/>
          <w:i w:val="false"/>
          <w:iCs w:val="false"/>
          <w:sz w:val="20"/>
          <w:szCs w:val="20"/>
        </w:rPr>
        <w:t xml:space="preserve">Sídlo Organizácie: Mierová 83, 821 05 Bratislava</w:t>
      </w:r>
    </w:p>
    <w:p>
      <w:pPr>
        <w:spacing w:after="80"/>
        <w:jc w:val="both"/>
      </w:pPr>
      <w:r>
        <w:rPr>
          <w:rFonts w:ascii="Calibri" w:cs="Calibri" w:eastAsia="Calibri" w:hAnsi="Calibri"/>
          <w:b w:val="false"/>
          <w:bCs w:val="false"/>
          <w:i w:val="false"/>
          <w:iCs w:val="false"/>
          <w:sz w:val="20"/>
          <w:szCs w:val="20"/>
        </w:rPr>
        <w:t xml:space="preserve">IČO Organizácie: 50330047</w:t>
      </w:r>
    </w:p>
    <w:p>
      <w:pPr>
        <w:spacing w:after="80"/>
        <w:jc w:val="both"/>
      </w:pPr>
      <w:r>
        <w:rPr>
          <w:rFonts w:ascii="Calibri" w:cs="Calibri" w:eastAsia="Calibri" w:hAnsi="Calibri"/>
          <w:b w:val="false"/>
          <w:bCs w:val="false"/>
          <w:i w:val="false"/>
          <w:iCs w:val="false"/>
          <w:sz w:val="20"/>
          <w:szCs w:val="20"/>
        </w:rPr>
        <w:t xml:space="preserve">DIČ Organizácie: 8134147215</w:t>
      </w:r>
    </w:p>
    <w:p>
      <w:pPr>
        <w:spacing w:after="80"/>
        <w:jc w:val="both"/>
      </w:pPr>
      <w:r>
        <w:rPr>
          <w:rFonts w:ascii="Calibri" w:cs="Calibri" w:eastAsia="Calibri" w:hAnsi="Calibri"/>
          <w:b w:val="false"/>
          <w:bCs w:val="false"/>
          <w:i w:val="false"/>
          <w:iCs w:val="false"/>
          <w:sz w:val="20"/>
          <w:szCs w:val="20"/>
        </w:rPr>
        <w:t xml:space="preserve">Založená: 2016</w:t>
      </w:r>
    </w:p>
    <w:p>
      <w:pPr>
        <w:spacing w:after="80"/>
        <w:jc w:val="both"/>
      </w:pPr>
      <w:r>
        <w:rPr>
          <w:rFonts w:ascii="Calibri" w:cs="Calibri" w:eastAsia="Calibri" w:hAnsi="Calibri"/>
          <w:b w:val="false"/>
          <w:bCs w:val="false"/>
          <w:i w:val="false"/>
          <w:iCs w:val="false"/>
          <w:sz w:val="20"/>
          <w:szCs w:val="20"/>
        </w:rPr>
        <w:t xml:space="preserve">Štatutárny orgán: Mgr. art. Barbora Janáková</w:t>
      </w:r>
    </w:p>
    <w:p>
      <w:pPr>
        <w:spacing w:after="80"/>
        <w:jc w:val="both"/>
      </w:pPr>
      <w:r>
        <w:rPr>
          <w:rFonts w:ascii="Calibri" w:cs="Calibri" w:eastAsia="Calibri" w:hAnsi="Calibri"/>
          <w:b w:val="false"/>
          <w:bCs w:val="false"/>
          <w:i w:val="false"/>
          <w:iCs w:val="false"/>
          <w:sz w:val="20"/>
          <w:szCs w:val="20"/>
        </w:rPr>
        <w:t xml:space="preserve">Organizácia mimoOs o.z. (ďalej len „Organizácia“) bola založená 21. 07. 2016 registrovaním, pričom Registrovým orgánom je Ministerstvo vnútra SR, sekcia verejnej správy, odbor vnútorných vecí, Drieňová 22, 826 86 Bratislava 29. Je vedená pod číslom VVS/1-900/90-48738.</w:t>
      </w:r>
    </w:p>
    <w:p>
      <w:pPr>
        <w:spacing w:after="80" w:before="160"/>
      </w:pPr>
      <w:r>
        <w:rPr>
          <w:rFonts w:ascii="Calibri" w:cs="Calibri" w:eastAsia="Calibri" w:hAnsi="Calibri"/>
          <w:b/>
          <w:bCs/>
          <w:sz w:val="22"/>
          <w:szCs w:val="22"/>
        </w:rPr>
        <w:t xml:space="preserve">Právny dôvod na zostavenie účtovnej závierky</w:t>
      </w:r>
    </w:p>
    <w:p>
      <w:pPr>
        <w:spacing w:after="80"/>
        <w:jc w:val="both"/>
      </w:pPr>
      <w:r>
        <w:rPr>
          <w:rFonts w:ascii="Calibri" w:cs="Calibri" w:eastAsia="Calibri" w:hAnsi="Calibri"/>
          <w:b w:val="false"/>
          <w:bCs w:val="false"/>
          <w:i w:val="false"/>
          <w:iCs w:val="false"/>
          <w:sz w:val="20"/>
          <w:szCs w:val="20"/>
        </w:rPr>
        <w:t xml:space="preserve">Účtovná závierka Organizácie k 31. decembru 2025 je zostavená ako riadna účtovná závierka podľa § 17 ods. 6 zákona NR SR č. 431/2002 Z.z. o účtovníctve (ďalej len „zákon o účtovníctve“) za účtovné obdobie od 1. januára 2025 do 31. decembra 2025.</w:t>
      </w:r>
    </w:p>
    <w:p>
      <w:pPr>
        <w:spacing w:after="80" w:before="160"/>
      </w:pPr>
      <w:r>
        <w:rPr>
          <w:rFonts w:ascii="Calibri" w:cs="Calibri" w:eastAsia="Calibri" w:hAnsi="Calibri"/>
          <w:b/>
          <w:bCs/>
          <w:sz w:val="22"/>
          <w:szCs w:val="22"/>
        </w:rPr>
        <w:t xml:space="preserve">2. Informácie o orgánoch Organizácie:</w:t>
      </w:r>
    </w:p>
    <w:p>
      <w:pPr>
        <w:spacing w:after="80"/>
        <w:jc w:val="both"/>
      </w:pPr>
      <w:r>
        <w:rPr>
          <w:rFonts w:ascii="Calibri" w:cs="Calibri" w:eastAsia="Calibri" w:hAnsi="Calibri"/>
          <w:b w:val="false"/>
          <w:bCs w:val="false"/>
          <w:i w:val="false"/>
          <w:iCs w:val="false"/>
          <w:sz w:val="20"/>
          <w:szCs w:val="20"/>
        </w:rPr>
        <w:t xml:space="preserve">Orgánmi občianskeho združenia sú predsedníčka a členovia.</w:t>
      </w:r>
    </w:p>
    <w:p>
      <w:pPr>
        <w:spacing w:after="80" w:before="160"/>
      </w:pPr>
      <w:r>
        <w:rPr>
          <w:rFonts w:ascii="Calibri" w:cs="Calibri" w:eastAsia="Calibri" w:hAnsi="Calibri"/>
          <w:b/>
          <w:bCs/>
          <w:sz w:val="22"/>
          <w:szCs w:val="22"/>
        </w:rPr>
        <w:t xml:space="preserve">3. Hlavné činnosti Organizácie</w:t>
      </w:r>
    </w:p>
    <w:p>
      <w:pPr>
        <w:spacing w:after="80"/>
        <w:jc w:val="both"/>
      </w:pPr>
      <w:r>
        <w:rPr>
          <w:rFonts w:ascii="Calibri" w:cs="Calibri" w:eastAsia="Calibri" w:hAnsi="Calibri"/>
          <w:b w:val="false"/>
          <w:bCs w:val="false"/>
          <w:i w:val="false"/>
          <w:iCs w:val="false"/>
          <w:sz w:val="20"/>
          <w:szCs w:val="20"/>
        </w:rPr>
        <w:t xml:space="preserve">Organizácia sa zaoberá scénickým umením so špecifikáciou na scénický tanec a pohybové umenie.</w:t>
      </w:r>
    </w:p>
    <w:p>
      <w:pPr>
        <w:spacing w:after="80"/>
        <w:jc w:val="both"/>
      </w:pPr>
      <w:r>
        <w:rPr>
          <w:rFonts w:ascii="Calibri" w:cs="Calibri" w:eastAsia="Calibri" w:hAnsi="Calibri"/>
          <w:b w:val="false"/>
          <w:bCs w:val="false"/>
          <w:i w:val="false"/>
          <w:iCs w:val="false"/>
          <w:sz w:val="20"/>
          <w:szCs w:val="20"/>
        </w:rPr>
        <w:t xml:space="preserve">Dôvody zriadenia Organizácie:</w:t>
      </w:r>
    </w:p>
    <w:p>
      <w:pPr>
        <w:spacing w:after="80"/>
        <w:jc w:val="both"/>
      </w:pPr>
      <w:r>
        <w:rPr>
          <w:rFonts w:ascii="Calibri" w:cs="Calibri" w:eastAsia="Calibri" w:hAnsi="Calibri"/>
          <w:b w:val="false"/>
          <w:bCs w:val="false"/>
          <w:i w:val="false"/>
          <w:iCs w:val="false"/>
          <w:sz w:val="20"/>
          <w:szCs w:val="20"/>
        </w:rPr>
        <w:t xml:space="preserve">- Rozvoj pohybového umenia;</w:t>
      </w:r>
    </w:p>
    <w:p>
      <w:pPr>
        <w:spacing w:after="80"/>
        <w:jc w:val="both"/>
      </w:pPr>
      <w:r>
        <w:rPr>
          <w:rFonts w:ascii="Calibri" w:cs="Calibri" w:eastAsia="Calibri" w:hAnsi="Calibri"/>
          <w:b w:val="false"/>
          <w:bCs w:val="false"/>
          <w:i w:val="false"/>
          <w:iCs w:val="false"/>
          <w:sz w:val="20"/>
          <w:szCs w:val="20"/>
        </w:rPr>
        <w:t xml:space="preserve">- Vzdelávanie v oblasti scénického tanca a pohybového umenia;</w:t>
      </w:r>
    </w:p>
    <w:p>
      <w:pPr>
        <w:spacing w:after="80"/>
        <w:jc w:val="both"/>
      </w:pPr>
      <w:r>
        <w:rPr>
          <w:rFonts w:ascii="Calibri" w:cs="Calibri" w:eastAsia="Calibri" w:hAnsi="Calibri"/>
          <w:b w:val="false"/>
          <w:bCs w:val="false"/>
          <w:i w:val="false"/>
          <w:iCs w:val="false"/>
          <w:sz w:val="20"/>
          <w:szCs w:val="20"/>
        </w:rPr>
        <w:t xml:space="preserve">- Záujmová činnosť;</w:t>
      </w:r>
    </w:p>
    <w:p>
      <w:pPr>
        <w:spacing w:after="80" w:before="160"/>
      </w:pPr>
      <w:r>
        <w:rPr>
          <w:rFonts w:ascii="Calibri" w:cs="Calibri" w:eastAsia="Calibri" w:hAnsi="Calibri"/>
          <w:b/>
          <w:bCs/>
          <w:sz w:val="22"/>
          <w:szCs w:val="22"/>
        </w:rPr>
        <w:t xml:space="preserve">4. Informácie o organizačnej štruktúre a vedúcich predstaviteľov Organizácie:</w:t>
      </w:r>
    </w:p>
    <w:p>
      <w:pPr>
        <w:spacing w:after="80"/>
        <w:jc w:val="both"/>
      </w:pPr>
      <w:r>
        <w:rPr>
          <w:rFonts w:ascii="Calibri" w:cs="Calibri" w:eastAsia="Calibri" w:hAnsi="Calibri"/>
          <w:b w:val="false"/>
          <w:bCs w:val="false"/>
          <w:i w:val="false"/>
          <w:iCs w:val="false"/>
          <w:sz w:val="20"/>
          <w:szCs w:val="20"/>
        </w:rPr>
        <w:t xml:space="preserve">Vedúci predstavitelia:</w:t>
      </w:r>
    </w:p>
    <w:p>
      <w:pPr>
        <w:spacing w:after="80"/>
        <w:jc w:val="both"/>
      </w:pPr>
      <w:r>
        <w:rPr>
          <w:rFonts w:ascii="Calibri" w:cs="Calibri" w:eastAsia="Calibri" w:hAnsi="Calibri"/>
          <w:b w:val="false"/>
          <w:bCs w:val="false"/>
          <w:i w:val="false"/>
          <w:iCs w:val="false"/>
          <w:sz w:val="20"/>
          <w:szCs w:val="20"/>
        </w:rPr>
        <w:t xml:space="preserve">Mgr. art. Barbora Janáková – predsedníčka organizácie a zastáva úlohu choreografky, dramaturgičky, interpretky, umelkyne.</w:t>
      </w:r>
    </w:p>
    <w:p>
      <w:pPr>
        <w:spacing w:after="80"/>
        <w:jc w:val="both"/>
      </w:pPr>
      <w:r>
        <w:rPr>
          <w:rFonts w:ascii="Calibri" w:cs="Calibri" w:eastAsia="Calibri" w:hAnsi="Calibri"/>
          <w:b w:val="false"/>
          <w:bCs w:val="false"/>
          <w:i w:val="false"/>
          <w:iCs w:val="false"/>
          <w:sz w:val="20"/>
          <w:szCs w:val="20"/>
        </w:rPr>
        <w:t xml:space="preserve">Ďalší významní predstavitelia organizácie: Eva Priečková, Andrej Štepita, Tomáš Janypka, Michal Jasaň, Juraj Čech, Soňa Kúdeľová, Jazmína Piktorová, Katarína Palúchová, Anna Hurajtová, Šymon Kliman, Martin Goga, Natália Zajačiková, Jozef Čabo, Ivan Sajdák, Peter Mazalán, Zuzana Hudek, Maja Hriešik, Vladimír Slaninka, Boris Adamčík, Silvia Sviteková, Nina Pacherová, Nika Pečarina, Sonja Pregrad, Martin Polák, Lenka Novosedlíková, Magdaléna Mátušová.</w:t>
      </w:r>
    </w:p>
    <w:p>
      <w:pPr>
        <w:spacing w:after="80" w:before="160"/>
      </w:pPr>
      <w:r>
        <w:rPr>
          <w:rFonts w:ascii="Calibri" w:cs="Calibri" w:eastAsia="Calibri" w:hAnsi="Calibri"/>
          <w:b/>
          <w:bCs/>
          <w:sz w:val="22"/>
          <w:szCs w:val="22"/>
        </w:rPr>
        <w:t xml:space="preserve">5. Počet zamestnancov</w:t>
      </w:r>
    </w:p>
    <w:p>
      <w:pPr>
        <w:spacing w:after="80"/>
        <w:jc w:val="both"/>
      </w:pPr>
      <w:r>
        <w:rPr>
          <w:rFonts w:ascii="Calibri" w:cs="Calibri" w:eastAsia="Calibri" w:hAnsi="Calibri"/>
          <w:b w:val="false"/>
          <w:bCs w:val="false"/>
          <w:i w:val="false"/>
          <w:iCs w:val="false"/>
          <w:sz w:val="20"/>
          <w:szCs w:val="20"/>
        </w:rPr>
        <w:t xml:space="preserve">Organizácia nemá zamestnancov.</w:t>
      </w:r>
    </w:p>
    <w:p>
      <w:pPr>
        <w:spacing w:after="120" w:before="220"/>
      </w:pPr>
      <w:r>
        <w:rPr>
          <w:rFonts w:ascii="Calibri" w:cs="Calibri" w:eastAsia="Calibri" w:hAnsi="Calibri"/>
          <w:b/>
          <w:bCs/>
          <w:sz w:val="24"/>
          <w:szCs w:val="24"/>
        </w:rPr>
        <w:t xml:space="preserve">II. INFORMÁCIE O ÚČTOVNÝCH ZÁSADÁCH A ÚČTOVNÝCH METÓDACH</w:t>
      </w:r>
    </w:p>
    <w:p>
      <w:pPr>
        <w:spacing w:after="80" w:before="160"/>
      </w:pPr>
      <w:r>
        <w:rPr>
          <w:rFonts w:ascii="Calibri" w:cs="Calibri" w:eastAsia="Calibri" w:hAnsi="Calibri"/>
          <w:b/>
          <w:bCs/>
          <w:sz w:val="22"/>
          <w:szCs w:val="22"/>
        </w:rPr>
        <w:t xml:space="preserve">1. Východiská pre zostavenie účtovnej závierky</w:t>
      </w:r>
    </w:p>
    <w:p>
      <w:pPr>
        <w:spacing w:after="80"/>
        <w:jc w:val="both"/>
      </w:pPr>
      <w:r>
        <w:rPr>
          <w:rFonts w:ascii="Calibri" w:cs="Calibri" w:eastAsia="Calibri" w:hAnsi="Calibri"/>
          <w:b w:val="false"/>
          <w:bCs w:val="false"/>
          <w:i w:val="false"/>
          <w:iCs w:val="false"/>
          <w:sz w:val="20"/>
          <w:szCs w:val="20"/>
        </w:rPr>
        <w:t xml:space="preserve">Účtovná závierka Organizácie bola zostavená za predpokladu nepretržitého trvania jej činnosti v súlade so zákonom o účtovníctve platným v Slovenskej republike a nadväzujúcimi postupmi účtovania. Účtovné metódy a všeobecné účtovné zásady Organizácia aplikovala konzistentne s predchádzajúcim účtovným obdobím. Organizácia v roku 2025 pokračovala v účtovaní v sústave podvojného účtovníctva.</w:t>
      </w:r>
    </w:p>
    <w:p>
      <w:pPr>
        <w:spacing w:after="80" w:before="160"/>
      </w:pPr>
      <w:r>
        <w:rPr>
          <w:rFonts w:ascii="Calibri" w:cs="Calibri" w:eastAsia="Calibri" w:hAnsi="Calibri"/>
          <w:b/>
          <w:bCs/>
          <w:sz w:val="22"/>
          <w:szCs w:val="22"/>
        </w:rPr>
        <w:t xml:space="preserve">2. Dlhodobý nehmotný a dlhodobý hmotný majetok</w:t>
      </w:r>
    </w:p>
    <w:p>
      <w:pPr>
        <w:spacing w:after="80"/>
        <w:jc w:val="both"/>
      </w:pPr>
      <w:r>
        <w:rPr>
          <w:rFonts w:ascii="Calibri" w:cs="Calibri" w:eastAsia="Calibri" w:hAnsi="Calibri"/>
          <w:b w:val="false"/>
          <w:bCs w:val="false"/>
          <w:i w:val="false"/>
          <w:iCs w:val="false"/>
          <w:sz w:val="20"/>
          <w:szCs w:val="20"/>
        </w:rPr>
        <w:t xml:space="preserve">Dlhodobý majetok nakupovaný sa oceňuje obstarávacou cenou, ktorá zahrňuje cenu obstarania a náklady súvisiace s obstaraním. Drobný dlhodobý hmotný a nehmotný majetok, ktorého obstarávacia cena je 1 700 EUR a nižšia, sa odpisuje jednorazovo pri uvedení do používania.</w:t>
      </w:r>
    </w:p>
    <w:p>
      <w:pPr>
        <w:spacing w:after="80" w:before="160"/>
      </w:pPr>
      <w:r>
        <w:rPr>
          <w:rFonts w:ascii="Calibri" w:cs="Calibri" w:eastAsia="Calibri" w:hAnsi="Calibri"/>
          <w:b/>
          <w:bCs/>
          <w:sz w:val="22"/>
          <w:szCs w:val="22"/>
        </w:rPr>
        <w:t xml:space="preserve">3. Zásoby</w:t>
      </w:r>
    </w:p>
    <w:p>
      <w:pPr>
        <w:spacing w:after="80"/>
        <w:jc w:val="both"/>
      </w:pPr>
      <w:r>
        <w:rPr>
          <w:rFonts w:ascii="Calibri" w:cs="Calibri" w:eastAsia="Calibri" w:hAnsi="Calibri"/>
          <w:b w:val="false"/>
          <w:bCs w:val="false"/>
          <w:i w:val="false"/>
          <w:iCs w:val="false"/>
          <w:sz w:val="20"/>
          <w:szCs w:val="20"/>
        </w:rPr>
        <w:t xml:space="preserve">Zásoby nakupované sa oceňujú obstarávacou cenou. Organizácia účtuje o zásobách spôsobom A. Úbytok zásob sa účtuje v cene zistenej metódou váženého aritmetického priemeru.</w:t>
      </w:r>
    </w:p>
    <w:p>
      <w:pPr>
        <w:spacing w:after="80" w:before="160"/>
      </w:pPr>
      <w:r>
        <w:rPr>
          <w:rFonts w:ascii="Calibri" w:cs="Calibri" w:eastAsia="Calibri" w:hAnsi="Calibri"/>
          <w:b/>
          <w:bCs/>
          <w:sz w:val="22"/>
          <w:szCs w:val="22"/>
        </w:rPr>
        <w:t xml:space="preserve">4. Pohľadávky</w:t>
      </w:r>
    </w:p>
    <w:p>
      <w:pPr>
        <w:spacing w:after="80"/>
        <w:jc w:val="both"/>
      </w:pPr>
      <w:r>
        <w:rPr>
          <w:rFonts w:ascii="Calibri" w:cs="Calibri" w:eastAsia="Calibri" w:hAnsi="Calibri"/>
          <w:b w:val="false"/>
          <w:bCs w:val="false"/>
          <w:i w:val="false"/>
          <w:iCs w:val="false"/>
          <w:sz w:val="20"/>
          <w:szCs w:val="20"/>
        </w:rPr>
        <w:t xml:space="preserve">Pohľadávky sa pri ich vzniku oceňujú menovitou hodnotou. Opravná položka sa vytvára k pochybným a nedobytným pohľadávkam.</w:t>
      </w:r>
    </w:p>
    <w:p>
      <w:pPr>
        <w:spacing w:after="80" w:before="160"/>
      </w:pPr>
      <w:r>
        <w:rPr>
          <w:rFonts w:ascii="Calibri" w:cs="Calibri" w:eastAsia="Calibri" w:hAnsi="Calibri"/>
          <w:b/>
          <w:bCs/>
          <w:sz w:val="22"/>
          <w:szCs w:val="22"/>
        </w:rPr>
        <w:t xml:space="preserve">5. Finančné účty</w:t>
      </w:r>
    </w:p>
    <w:p>
      <w:pPr>
        <w:spacing w:after="80"/>
        <w:jc w:val="both"/>
      </w:pPr>
      <w:r>
        <w:rPr>
          <w:rFonts w:ascii="Calibri" w:cs="Calibri" w:eastAsia="Calibri" w:hAnsi="Calibri"/>
          <w:b w:val="false"/>
          <w:bCs w:val="false"/>
          <w:i w:val="false"/>
          <w:iCs w:val="false"/>
          <w:sz w:val="20"/>
          <w:szCs w:val="20"/>
        </w:rPr>
        <w:t xml:space="preserve">Finančné účty tvorí peňažná hotovosť, zostatky na bankových účtoch a krátkodobý finančný majetok, pričom riziko zmeny hodnoty tohto majetku je zanedbateľne nízke.</w:t>
      </w:r>
    </w:p>
    <w:p>
      <w:pPr>
        <w:spacing w:after="80" w:before="160"/>
      </w:pPr>
      <w:r>
        <w:rPr>
          <w:rFonts w:ascii="Calibri" w:cs="Calibri" w:eastAsia="Calibri" w:hAnsi="Calibri"/>
          <w:b/>
          <w:bCs/>
          <w:sz w:val="22"/>
          <w:szCs w:val="22"/>
        </w:rPr>
        <w:t xml:space="preserve">6. Náklady budúcich období a výnosy budúcich období</w:t>
      </w:r>
    </w:p>
    <w:p>
      <w:pPr>
        <w:spacing w:after="80"/>
        <w:jc w:val="both"/>
      </w:pPr>
      <w:r>
        <w:rPr>
          <w:rFonts w:ascii="Calibri" w:cs="Calibri" w:eastAsia="Calibri" w:hAnsi="Calibri"/>
          <w:b w:val="false"/>
          <w:bCs w:val="false"/>
          <w:i w:val="false"/>
          <w:iCs w:val="false"/>
          <w:sz w:val="20"/>
          <w:szCs w:val="20"/>
        </w:rPr>
        <w:t xml:space="preserve">Náklady a výnosy budúcich období sú vykázané vo výške, ktorá je potrebná na dodržanie zásady vecnej a časovej súvislosti s účtovným obdobím.</w:t>
      </w:r>
    </w:p>
    <w:p>
      <w:pPr>
        <w:spacing w:after="80" w:before="160"/>
      </w:pPr>
      <w:r>
        <w:rPr>
          <w:rFonts w:ascii="Calibri" w:cs="Calibri" w:eastAsia="Calibri" w:hAnsi="Calibri"/>
          <w:b/>
          <w:bCs/>
          <w:sz w:val="22"/>
          <w:szCs w:val="22"/>
        </w:rPr>
        <w:t xml:space="preserve">7. Výnosy</w:t>
      </w:r>
    </w:p>
    <w:p>
      <w:pPr>
        <w:spacing w:after="80"/>
        <w:jc w:val="both"/>
      </w:pPr>
      <w:r>
        <w:rPr>
          <w:rFonts w:ascii="Calibri" w:cs="Calibri" w:eastAsia="Calibri" w:hAnsi="Calibri"/>
          <w:b w:val="false"/>
          <w:bCs w:val="false"/>
          <w:i w:val="false"/>
          <w:iCs w:val="false"/>
          <w:sz w:val="20"/>
          <w:szCs w:val="20"/>
        </w:rPr>
        <w:t xml:space="preserve">Tržby sú účtované ku dňu splnenia dodávky alebo služby. Organizácia nie je platiteľom dane z pridanej hodnoty.</w:t>
      </w:r>
    </w:p>
    <w:p>
      <w:pPr>
        <w:spacing w:after="80" w:before="160"/>
      </w:pPr>
      <w:r>
        <w:rPr>
          <w:rFonts w:ascii="Calibri" w:cs="Calibri" w:eastAsia="Calibri" w:hAnsi="Calibri"/>
          <w:b/>
          <w:bCs/>
          <w:sz w:val="22"/>
          <w:szCs w:val="22"/>
        </w:rPr>
        <w:t xml:space="preserve">8. Splatná daň z príjmu</w:t>
      </w:r>
    </w:p>
    <w:p>
      <w:pPr>
        <w:spacing w:after="80"/>
        <w:jc w:val="both"/>
      </w:pPr>
      <w:r>
        <w:rPr>
          <w:rFonts w:ascii="Calibri" w:cs="Calibri" w:eastAsia="Calibri" w:hAnsi="Calibri"/>
          <w:b w:val="false"/>
          <w:bCs w:val="false"/>
          <w:i w:val="false"/>
          <w:iCs w:val="false"/>
          <w:sz w:val="20"/>
          <w:szCs w:val="20"/>
        </w:rPr>
        <w:t xml:space="preserve">Daň z príjmov sa účtuje do nákladov Organizácie v období vzniku daňovej povinnosti.</w:t>
      </w:r>
    </w:p>
    <w:p>
      <w:pPr>
        <w:spacing w:after="120" w:before="220"/>
      </w:pPr>
      <w:r>
        <w:rPr>
          <w:rFonts w:ascii="Calibri" w:cs="Calibri" w:eastAsia="Calibri" w:hAnsi="Calibri"/>
          <w:b/>
          <w:bCs/>
          <w:sz w:val="24"/>
          <w:szCs w:val="24"/>
        </w:rPr>
        <w:t xml:space="preserve">III. INFORMÁCIE O ÚDAJOCH NA STRANE AKTÍV SÚVAHY</w:t>
      </w:r>
    </w:p>
    <w:p>
      <w:pPr>
        <w:spacing w:after="80" w:before="160"/>
      </w:pPr>
      <w:r>
        <w:rPr>
          <w:rFonts w:ascii="Calibri" w:cs="Calibri" w:eastAsia="Calibri" w:hAnsi="Calibri"/>
          <w:b/>
          <w:bCs/>
          <w:sz w:val="22"/>
          <w:szCs w:val="22"/>
        </w:rPr>
        <w:t xml:space="preserve">1. Dlhodobý nehmotný majetok a dlhodobý hmotný majetok</w:t>
      </w:r>
    </w:p>
    <w:p>
      <w:pPr>
        <w:spacing w:after="80"/>
        <w:jc w:val="both"/>
      </w:pPr>
      <w:r>
        <w:rPr>
          <w:rFonts w:ascii="Calibri" w:cs="Calibri" w:eastAsia="Calibri" w:hAnsi="Calibri"/>
          <w:b w:val="false"/>
          <w:bCs w:val="false"/>
          <w:i w:val="false"/>
          <w:iCs w:val="false"/>
          <w:sz w:val="20"/>
          <w:szCs w:val="20"/>
        </w:rPr>
        <w:t xml:space="preserve">Organizácia k 31. 12. 2025 neúčtovala o dlhodobom majetku.</w:t>
      </w:r>
    </w:p>
    <w:p>
      <w:pPr>
        <w:spacing w:after="80" w:before="160"/>
      </w:pPr>
      <w:r>
        <w:rPr>
          <w:rFonts w:ascii="Calibri" w:cs="Calibri" w:eastAsia="Calibri" w:hAnsi="Calibri"/>
          <w:b/>
          <w:bCs/>
          <w:sz w:val="22"/>
          <w:szCs w:val="22"/>
        </w:rPr>
        <w:t xml:space="preserve">2. Dlhodobý finančný majetok</w:t>
      </w:r>
    </w:p>
    <w:p>
      <w:pPr>
        <w:spacing w:after="80"/>
        <w:jc w:val="both"/>
      </w:pPr>
      <w:r>
        <w:rPr>
          <w:rFonts w:ascii="Calibri" w:cs="Calibri" w:eastAsia="Calibri" w:hAnsi="Calibri"/>
          <w:b w:val="false"/>
          <w:bCs w:val="false"/>
          <w:i w:val="false"/>
          <w:iCs w:val="false"/>
          <w:sz w:val="20"/>
          <w:szCs w:val="20"/>
        </w:rPr>
        <w:t xml:space="preserve">Organizácia k 31. 12. 2025 neúčtovala o dlhodobom finančnom majetku.</w:t>
      </w:r>
    </w:p>
    <w:p>
      <w:pPr>
        <w:spacing w:after="80" w:before="160"/>
      </w:pPr>
      <w:r>
        <w:rPr>
          <w:rFonts w:ascii="Calibri" w:cs="Calibri" w:eastAsia="Calibri" w:hAnsi="Calibri"/>
          <w:b/>
          <w:bCs/>
          <w:sz w:val="22"/>
          <w:szCs w:val="22"/>
        </w:rPr>
        <w:t xml:space="preserve">3. Zásoby</w:t>
      </w:r>
    </w:p>
    <w:p>
      <w:pPr>
        <w:spacing w:after="80"/>
        <w:jc w:val="both"/>
      </w:pPr>
      <w:r>
        <w:rPr>
          <w:rFonts w:ascii="Calibri" w:cs="Calibri" w:eastAsia="Calibri" w:hAnsi="Calibri"/>
          <w:b w:val="false"/>
          <w:bCs w:val="false"/>
          <w:i w:val="false"/>
          <w:iCs w:val="false"/>
          <w:sz w:val="20"/>
          <w:szCs w:val="20"/>
        </w:rPr>
        <w:t xml:space="preserve">Organizácia k 31. 12. 2025 neúčtovala o zásobách.</w:t>
      </w:r>
    </w:p>
    <w:p>
      <w:pPr>
        <w:spacing w:after="80" w:before="160"/>
      </w:pPr>
      <w:r>
        <w:rPr>
          <w:rFonts w:ascii="Calibri" w:cs="Calibri" w:eastAsia="Calibri" w:hAnsi="Calibri"/>
          <w:b/>
          <w:bCs/>
          <w:sz w:val="22"/>
          <w:szCs w:val="22"/>
        </w:rPr>
        <w:t xml:space="preserve">4. Pohľadávky</w:t>
      </w:r>
    </w:p>
    <w:p>
      <w:pPr>
        <w:spacing w:after="80"/>
        <w:jc w:val="both"/>
      </w:pPr>
      <w:r>
        <w:rPr>
          <w:rFonts w:ascii="Calibri" w:cs="Calibri" w:eastAsia="Calibri" w:hAnsi="Calibri"/>
          <w:b w:val="false"/>
          <w:bCs w:val="false"/>
          <w:i w:val="false"/>
          <w:iCs w:val="false"/>
          <w:sz w:val="20"/>
          <w:szCs w:val="20"/>
        </w:rPr>
        <w:t xml:space="preserve">Organizácia k 31. 12. 2025 neúčtovala o pohľadávkach.</w:t>
      </w:r>
    </w:p>
    <w:p>
      <w:pPr>
        <w:spacing w:after="80" w:before="160"/>
      </w:pPr>
      <w:r>
        <w:rPr>
          <w:rFonts w:ascii="Calibri" w:cs="Calibri" w:eastAsia="Calibri" w:hAnsi="Calibri"/>
          <w:b/>
          <w:bCs/>
          <w:sz w:val="22"/>
          <w:szCs w:val="22"/>
        </w:rPr>
        <w:t xml:space="preserve">5. Finančné účty</w:t>
      </w:r>
    </w:p>
    <w:p>
      <w:pPr>
        <w:spacing w:after="80"/>
        <w:jc w:val="both"/>
      </w:pPr>
      <w:r>
        <w:rPr>
          <w:rFonts w:ascii="Calibri" w:cs="Calibri" w:eastAsia="Calibri" w:hAnsi="Calibri"/>
          <w:b w:val="false"/>
          <w:bCs w:val="false"/>
          <w:i w:val="false"/>
          <w:iCs w:val="false"/>
          <w:sz w:val="20"/>
          <w:szCs w:val="20"/>
        </w:rPr>
        <w:t xml:space="preserve">Ako finančné účty sú vykázané účty v bankách, ktoré predstavujú sumu 27 262,02 € (spolu 2 účty so zostatkom). Účtami v bankách môže Organizácia voľne disponovať.</w:t>
      </w:r>
    </w:p>
    <w:p>
      <w:pPr>
        <w:spacing w:after="80" w:before="160"/>
      </w:pPr>
      <w:r>
        <w:rPr>
          <w:rFonts w:ascii="Calibri" w:cs="Calibri" w:eastAsia="Calibri" w:hAnsi="Calibri"/>
          <w:b/>
          <w:bCs/>
          <w:sz w:val="22"/>
          <w:szCs w:val="22"/>
        </w:rPr>
        <w:t xml:space="preserve">6. Krátkodobý finančný majetok</w:t>
      </w:r>
    </w:p>
    <w:p>
      <w:pPr>
        <w:spacing w:after="80"/>
        <w:jc w:val="both"/>
      </w:pPr>
      <w:r>
        <w:rPr>
          <w:rFonts w:ascii="Calibri" w:cs="Calibri" w:eastAsia="Calibri" w:hAnsi="Calibri"/>
          <w:b w:val="false"/>
          <w:bCs w:val="false"/>
          <w:i w:val="false"/>
          <w:iCs w:val="false"/>
          <w:sz w:val="20"/>
          <w:szCs w:val="20"/>
        </w:rPr>
        <w:t xml:space="preserve">Organizácia k 31. 12. 2025 neevidovala krátkodobý finančný majetok.</w:t>
      </w:r>
    </w:p>
    <w:p>
      <w:pPr>
        <w:spacing w:after="80" w:before="160"/>
      </w:pPr>
      <w:r>
        <w:rPr>
          <w:rFonts w:ascii="Calibri" w:cs="Calibri" w:eastAsia="Calibri" w:hAnsi="Calibri"/>
          <w:b/>
          <w:bCs/>
          <w:sz w:val="22"/>
          <w:szCs w:val="22"/>
        </w:rPr>
        <w:t xml:space="preserve">7. Poskytnuté návratné finančné výpomoci</w:t>
      </w:r>
    </w:p>
    <w:p>
      <w:pPr>
        <w:spacing w:after="80"/>
        <w:jc w:val="both"/>
      </w:pPr>
      <w:r>
        <w:rPr>
          <w:rFonts w:ascii="Calibri" w:cs="Calibri" w:eastAsia="Calibri" w:hAnsi="Calibri"/>
          <w:b w:val="false"/>
          <w:bCs w:val="false"/>
          <w:i w:val="false"/>
          <w:iCs w:val="false"/>
          <w:sz w:val="20"/>
          <w:szCs w:val="20"/>
        </w:rPr>
        <w:t xml:space="preserve">Organizácia k 31. 12. 2025 neeviduje návratné finančné výpomoci.</w:t>
      </w:r>
    </w:p>
    <w:p>
      <w:pPr>
        <w:spacing w:after="80" w:before="160"/>
      </w:pPr>
      <w:r>
        <w:rPr>
          <w:rFonts w:ascii="Calibri" w:cs="Calibri" w:eastAsia="Calibri" w:hAnsi="Calibri"/>
          <w:b/>
          <w:bCs/>
          <w:sz w:val="22"/>
          <w:szCs w:val="22"/>
        </w:rPr>
        <w:t xml:space="preserve">8. Časové rozlíšenie</w:t>
      </w:r>
    </w:p>
    <w:p>
      <w:pPr>
        <w:spacing w:after="80"/>
        <w:jc w:val="both"/>
      </w:pPr>
      <w:r>
        <w:rPr>
          <w:rFonts w:ascii="Calibri" w:cs="Calibri" w:eastAsia="Calibri" w:hAnsi="Calibri"/>
          <w:b w:val="false"/>
          <w:bCs w:val="false"/>
          <w:i w:val="false"/>
          <w:iCs w:val="false"/>
          <w:sz w:val="20"/>
          <w:szCs w:val="20"/>
        </w:rPr>
        <w:t xml:space="preserve">Organizácia k 31. 12. 2025 neúčtovala o časovom rozlíšení aktív.</w:t>
      </w:r>
    </w:p>
    <w:p>
      <w:pPr>
        <w:spacing w:after="120" w:before="220"/>
      </w:pPr>
      <w:r>
        <w:rPr>
          <w:rFonts w:ascii="Calibri" w:cs="Calibri" w:eastAsia="Calibri" w:hAnsi="Calibri"/>
          <w:b/>
          <w:bCs/>
          <w:sz w:val="24"/>
          <w:szCs w:val="24"/>
        </w:rPr>
        <w:t xml:space="preserve">IV. PASÍVA</w:t>
      </w:r>
    </w:p>
    <w:p>
      <w:pPr>
        <w:spacing w:after="80" w:before="160"/>
      </w:pPr>
      <w:r>
        <w:rPr>
          <w:rFonts w:ascii="Calibri" w:cs="Calibri" w:eastAsia="Calibri" w:hAnsi="Calibri"/>
          <w:b/>
          <w:bCs/>
          <w:sz w:val="22"/>
          <w:szCs w:val="22"/>
        </w:rPr>
        <w:t xml:space="preserve">1. Vlastné imanie</w:t>
      </w:r>
    </w:p>
    <w:p>
      <w:pPr>
        <w:spacing w:after="80"/>
        <w:jc w:val="both"/>
      </w:pPr>
      <w:r>
        <w:rPr>
          <w:rFonts w:ascii="Calibri" w:cs="Calibri" w:eastAsia="Calibri" w:hAnsi="Calibri"/>
          <w:b w:val="false"/>
          <w:bCs w:val="false"/>
          <w:i w:val="false"/>
          <w:iCs w:val="false"/>
          <w:sz w:val="20"/>
          <w:szCs w:val="20"/>
        </w:rPr>
        <w:t xml:space="preserve">Organizácia nemá povinnosť tvoriť základné imanie.</w:t>
      </w:r>
    </w:p>
    <w:p>
      <w:pPr>
        <w:spacing w:after="80"/>
        <w:jc w:val="both"/>
      </w:pPr>
      <w:r>
        <w:rPr>
          <w:rFonts w:ascii="Calibri" w:cs="Calibri" w:eastAsia="Calibri" w:hAnsi="Calibri"/>
          <w:b w:val="false"/>
          <w:bCs w:val="false"/>
          <w:i w:val="false"/>
          <w:iCs w:val="false"/>
          <w:sz w:val="20"/>
          <w:szCs w:val="20"/>
        </w:rPr>
        <w:t xml:space="preserve">Organizácia k 31.12.2025 účtuje o nevysporiadanom výsledku hospodárenia z minulých rokov v sume 946,92 EUR a o hospodárskom výsledku za rok 2025 v sume 6 315,10 EUR.</w:t>
      </w:r>
    </w:p>
    <w:p>
      <w:pPr>
        <w:spacing w:after="80" w:before="160"/>
      </w:pPr>
      <w:r>
        <w:rPr>
          <w:rFonts w:ascii="Calibri" w:cs="Calibri" w:eastAsia="Calibri" w:hAnsi="Calibri"/>
          <w:b/>
          <w:bCs/>
          <w:sz w:val="22"/>
          <w:szCs w:val="22"/>
        </w:rPr>
        <w:t xml:space="preserve">2. Rezervy a Fondy tvorené zo zisku</w:t>
      </w:r>
    </w:p>
    <w:p>
      <w:pPr>
        <w:spacing w:after="80"/>
        <w:jc w:val="both"/>
      </w:pPr>
      <w:r>
        <w:rPr>
          <w:rFonts w:ascii="Calibri" w:cs="Calibri" w:eastAsia="Calibri" w:hAnsi="Calibri"/>
          <w:b w:val="false"/>
          <w:bCs w:val="false"/>
          <w:i w:val="false"/>
          <w:iCs w:val="false"/>
          <w:sz w:val="20"/>
          <w:szCs w:val="20"/>
        </w:rPr>
        <w:t xml:space="preserve">Organizácia k 31. 12. 2025 účtovala o Fonde tvorenom zo zisku v sume 20 000,00 EUR.</w:t>
      </w:r>
    </w:p>
    <w:p>
      <w:pPr>
        <w:spacing w:after="80" w:before="160"/>
      </w:pPr>
      <w:r>
        <w:rPr>
          <w:rFonts w:ascii="Calibri" w:cs="Calibri" w:eastAsia="Calibri" w:hAnsi="Calibri"/>
          <w:b/>
          <w:bCs/>
          <w:sz w:val="22"/>
          <w:szCs w:val="22"/>
        </w:rPr>
        <w:t xml:space="preserve">3. Záväzky</w:t>
      </w:r>
    </w:p>
    <w:p>
      <w:pPr>
        <w:spacing w:after="80"/>
        <w:jc w:val="both"/>
      </w:pPr>
      <w:r>
        <w:rPr>
          <w:rFonts w:ascii="Calibri" w:cs="Calibri" w:eastAsia="Calibri" w:hAnsi="Calibri"/>
          <w:b w:val="false"/>
          <w:bCs w:val="false"/>
          <w:i w:val="false"/>
          <w:iCs w:val="false"/>
          <w:sz w:val="20"/>
          <w:szCs w:val="20"/>
        </w:rPr>
        <w:t xml:space="preserve">Organizácia k 31. 12. 2025 neeviduje záväzky voči zamestnancom a ostatné záväzky voči zamestnancom. Organizácia k 31. 12. 2025 neeviduje záväzky voči dodávateľom a ostatné.</w:t>
      </w:r>
    </w:p>
    <w:p>
      <w:pPr>
        <w:spacing w:after="80" w:before="160"/>
      </w:pPr>
      <w:r>
        <w:rPr>
          <w:rFonts w:ascii="Calibri" w:cs="Calibri" w:eastAsia="Calibri" w:hAnsi="Calibri"/>
          <w:b/>
          <w:bCs/>
          <w:sz w:val="22"/>
          <w:szCs w:val="22"/>
        </w:rPr>
        <w:t xml:space="preserve">4. Emitované dlhopisy</w:t>
      </w:r>
    </w:p>
    <w:p>
      <w:pPr>
        <w:spacing w:after="80"/>
        <w:jc w:val="both"/>
      </w:pPr>
      <w:r>
        <w:rPr>
          <w:rFonts w:ascii="Calibri" w:cs="Calibri" w:eastAsia="Calibri" w:hAnsi="Calibri"/>
          <w:b w:val="false"/>
          <w:bCs w:val="false"/>
          <w:i w:val="false"/>
          <w:iCs w:val="false"/>
          <w:sz w:val="20"/>
          <w:szCs w:val="20"/>
        </w:rPr>
        <w:t xml:space="preserve">Organizácia k 31. 12. 2025 neevidovala dlhopisy.</w:t>
      </w:r>
    </w:p>
    <w:p>
      <w:pPr>
        <w:spacing w:after="80" w:before="160"/>
      </w:pPr>
      <w:r>
        <w:rPr>
          <w:rFonts w:ascii="Calibri" w:cs="Calibri" w:eastAsia="Calibri" w:hAnsi="Calibri"/>
          <w:b/>
          <w:bCs/>
          <w:sz w:val="22"/>
          <w:szCs w:val="22"/>
        </w:rPr>
        <w:t xml:space="preserve">5. Bankové úvery a ostatné finančné výpomoci</w:t>
      </w:r>
    </w:p>
    <w:p>
      <w:pPr>
        <w:spacing w:after="80"/>
        <w:jc w:val="both"/>
      </w:pPr>
      <w:r>
        <w:rPr>
          <w:rFonts w:ascii="Calibri" w:cs="Calibri" w:eastAsia="Calibri" w:hAnsi="Calibri"/>
          <w:b w:val="false"/>
          <w:bCs w:val="false"/>
          <w:i w:val="false"/>
          <w:iCs w:val="false"/>
          <w:sz w:val="20"/>
          <w:szCs w:val="20"/>
        </w:rPr>
        <w:t xml:space="preserve">Organizácia k 31. 12. 2025 neúčtovala o bankových úveroch.</w:t>
      </w:r>
    </w:p>
    <w:p>
      <w:pPr>
        <w:spacing w:after="80" w:before="160"/>
      </w:pPr>
      <w:r>
        <w:rPr>
          <w:rFonts w:ascii="Calibri" w:cs="Calibri" w:eastAsia="Calibri" w:hAnsi="Calibri"/>
          <w:b/>
          <w:bCs/>
          <w:sz w:val="22"/>
          <w:szCs w:val="22"/>
        </w:rPr>
        <w:t xml:space="preserve">6. Časové rozlíšenie</w:t>
      </w:r>
    </w:p>
    <w:p>
      <w:pPr>
        <w:spacing w:after="80"/>
        <w:jc w:val="both"/>
      </w:pPr>
      <w:r>
        <w:rPr>
          <w:rFonts w:ascii="Calibri" w:cs="Calibri" w:eastAsia="Calibri" w:hAnsi="Calibri"/>
          <w:b w:val="false"/>
          <w:bCs w:val="false"/>
          <w:i w:val="false"/>
          <w:iCs w:val="false"/>
          <w:sz w:val="20"/>
          <w:szCs w:val="20"/>
        </w:rPr>
        <w:t xml:space="preserve">Organizácia k 31.12.2025 neúčtovala o výnosoch budúcich období.</w:t>
      </w:r>
    </w:p>
    <w:p>
      <w:pPr>
        <w:spacing w:after="120" w:before="220"/>
      </w:pPr>
      <w:r>
        <w:rPr>
          <w:rFonts w:ascii="Calibri" w:cs="Calibri" w:eastAsia="Calibri" w:hAnsi="Calibri"/>
          <w:b/>
          <w:bCs/>
          <w:sz w:val="24"/>
          <w:szCs w:val="24"/>
        </w:rPr>
        <w:t xml:space="preserve">V. VÝNOSY</w:t>
      </w:r>
    </w:p>
    <w:p>
      <w:pPr>
        <w:spacing w:after="80" w:before="160"/>
      </w:pPr>
      <w:r>
        <w:rPr>
          <w:rFonts w:ascii="Calibri" w:cs="Calibri" w:eastAsia="Calibri" w:hAnsi="Calibri"/>
          <w:b/>
          <w:bCs/>
          <w:sz w:val="22"/>
          <w:szCs w:val="22"/>
        </w:rPr>
        <w:t xml:space="preserve">1. Tržby za vlastné výkony a tovar</w:t>
      </w:r>
    </w:p>
    <w:p>
      <w:pPr>
        <w:spacing w:after="80"/>
        <w:jc w:val="both"/>
      </w:pPr>
      <w:r>
        <w:rPr>
          <w:rFonts w:ascii="Calibri" w:cs="Calibri" w:eastAsia="Calibri" w:hAnsi="Calibri"/>
          <w:b w:val="false"/>
          <w:bCs w:val="false"/>
          <w:i w:val="false"/>
          <w:iCs w:val="false"/>
          <w:sz w:val="20"/>
          <w:szCs w:val="20"/>
        </w:rPr>
        <w:t xml:space="preserve">Organizácia k 31. 12. 2025 účtovala o tržbách z predaja služieb v sume 7 984,71 EUR.</w:t>
      </w:r>
    </w:p>
    <w:p>
      <w:pPr>
        <w:spacing w:after="80" w:before="160"/>
      </w:pPr>
      <w:r>
        <w:rPr>
          <w:rFonts w:ascii="Calibri" w:cs="Calibri" w:eastAsia="Calibri" w:hAnsi="Calibri"/>
          <w:b/>
          <w:bCs/>
          <w:sz w:val="22"/>
          <w:szCs w:val="22"/>
        </w:rPr>
        <w:t xml:space="preserve">2. Zmena stavu vnútroorganizačných zásob</w:t>
      </w:r>
    </w:p>
    <w:p>
      <w:pPr>
        <w:spacing w:after="80"/>
        <w:jc w:val="both"/>
      </w:pPr>
      <w:r>
        <w:rPr>
          <w:rFonts w:ascii="Calibri" w:cs="Calibri" w:eastAsia="Calibri" w:hAnsi="Calibri"/>
          <w:b w:val="false"/>
          <w:bCs w:val="false"/>
          <w:i w:val="false"/>
          <w:iCs w:val="false"/>
          <w:sz w:val="20"/>
          <w:szCs w:val="20"/>
        </w:rPr>
        <w:t xml:space="preserve">Organizácia k 31. 12. 2025 neúčtovala o vnútroorganizačných zásobách.</w:t>
      </w:r>
    </w:p>
    <w:p>
      <w:pPr>
        <w:spacing w:after="80" w:before="160"/>
      </w:pPr>
      <w:r>
        <w:rPr>
          <w:rFonts w:ascii="Calibri" w:cs="Calibri" w:eastAsia="Calibri" w:hAnsi="Calibri"/>
          <w:b/>
          <w:bCs/>
          <w:sz w:val="22"/>
          <w:szCs w:val="22"/>
        </w:rPr>
        <w:t xml:space="preserve">3. Aktivácia</w:t>
      </w:r>
    </w:p>
    <w:p>
      <w:pPr>
        <w:spacing w:after="80"/>
        <w:jc w:val="both"/>
      </w:pPr>
      <w:r>
        <w:rPr>
          <w:rFonts w:ascii="Calibri" w:cs="Calibri" w:eastAsia="Calibri" w:hAnsi="Calibri"/>
          <w:b w:val="false"/>
          <w:bCs w:val="false"/>
          <w:i w:val="false"/>
          <w:iCs w:val="false"/>
          <w:sz w:val="20"/>
          <w:szCs w:val="20"/>
        </w:rPr>
        <w:t xml:space="preserve">Organizácia k 31. 12. 2025 nevytvorila majetok vlastnou činnosťou.</w:t>
      </w:r>
    </w:p>
    <w:p>
      <w:pPr>
        <w:spacing w:after="80" w:before="160"/>
      </w:pPr>
      <w:r>
        <w:rPr>
          <w:rFonts w:ascii="Calibri" w:cs="Calibri" w:eastAsia="Calibri" w:hAnsi="Calibri"/>
          <w:b/>
          <w:bCs/>
          <w:sz w:val="22"/>
          <w:szCs w:val="22"/>
        </w:rPr>
        <w:t xml:space="preserve">4. Daňové a colné výnosy a výnosy z poplatkov</w:t>
      </w:r>
    </w:p>
    <w:p>
      <w:pPr>
        <w:spacing w:after="80"/>
        <w:jc w:val="both"/>
      </w:pPr>
      <w:r>
        <w:rPr>
          <w:rFonts w:ascii="Calibri" w:cs="Calibri" w:eastAsia="Calibri" w:hAnsi="Calibri"/>
          <w:b w:val="false"/>
          <w:bCs w:val="false"/>
          <w:i w:val="false"/>
          <w:iCs w:val="false"/>
          <w:sz w:val="20"/>
          <w:szCs w:val="20"/>
        </w:rPr>
        <w:t xml:space="preserve">Organizácia k 31. 12. 2025 neúčtovala o daňových a colných výnosoch.</w:t>
      </w:r>
    </w:p>
    <w:p>
      <w:pPr>
        <w:spacing w:after="80" w:before="160"/>
      </w:pPr>
      <w:r>
        <w:rPr>
          <w:rFonts w:ascii="Calibri" w:cs="Calibri" w:eastAsia="Calibri" w:hAnsi="Calibri"/>
          <w:b/>
          <w:bCs/>
          <w:sz w:val="22"/>
          <w:szCs w:val="22"/>
        </w:rPr>
        <w:t xml:space="preserve">5. Finančné výnosy</w:t>
      </w:r>
    </w:p>
    <w:p>
      <w:pPr>
        <w:spacing w:after="80"/>
        <w:jc w:val="both"/>
      </w:pPr>
      <w:r>
        <w:rPr>
          <w:rFonts w:ascii="Calibri" w:cs="Calibri" w:eastAsia="Calibri" w:hAnsi="Calibri"/>
          <w:b w:val="false"/>
          <w:bCs w:val="false"/>
          <w:i w:val="false"/>
          <w:iCs w:val="false"/>
          <w:sz w:val="20"/>
          <w:szCs w:val="20"/>
        </w:rPr>
        <w:t xml:space="preserve">Organizácia k 31. 12. 2025 neúčtovala o finančných výnosoch. Organizácia k 31. 12. 2025 neúčtovala o kurzových rozdieloch.</w:t>
      </w:r>
    </w:p>
    <w:p>
      <w:pPr>
        <w:spacing w:after="80" w:before="160"/>
      </w:pPr>
      <w:r>
        <w:rPr>
          <w:rFonts w:ascii="Calibri" w:cs="Calibri" w:eastAsia="Calibri" w:hAnsi="Calibri"/>
          <w:b/>
          <w:bCs/>
          <w:sz w:val="22"/>
          <w:szCs w:val="22"/>
        </w:rPr>
        <w:t xml:space="preserve">6. Mimoriadne výnosy</w:t>
      </w:r>
    </w:p>
    <w:p>
      <w:pPr>
        <w:spacing w:after="80"/>
        <w:jc w:val="both"/>
      </w:pPr>
      <w:r>
        <w:rPr>
          <w:rFonts w:ascii="Calibri" w:cs="Calibri" w:eastAsia="Calibri" w:hAnsi="Calibri"/>
          <w:b w:val="false"/>
          <w:bCs w:val="false"/>
          <w:i w:val="false"/>
          <w:iCs w:val="false"/>
          <w:sz w:val="20"/>
          <w:szCs w:val="20"/>
        </w:rPr>
        <w:t xml:space="preserve">Organizácia k 31. 12. 2025 neúčtovala o mimoriadnych výnosoch.</w:t>
      </w:r>
    </w:p>
    <w:p>
      <w:pPr>
        <w:spacing w:after="80" w:before="160"/>
      </w:pPr>
      <w:r>
        <w:rPr>
          <w:rFonts w:ascii="Calibri" w:cs="Calibri" w:eastAsia="Calibri" w:hAnsi="Calibri"/>
          <w:b/>
          <w:bCs/>
          <w:sz w:val="22"/>
          <w:szCs w:val="22"/>
        </w:rPr>
        <w:t xml:space="preserve">7. Ostatné výnosy z prevádzkovej činnosti</w:t>
      </w:r>
    </w:p>
    <w:p>
      <w:pPr>
        <w:spacing w:after="80"/>
        <w:jc w:val="both"/>
      </w:pPr>
      <w:r>
        <w:rPr>
          <w:rFonts w:ascii="Calibri" w:cs="Calibri" w:eastAsia="Calibri" w:hAnsi="Calibri"/>
          <w:b w:val="false"/>
          <w:bCs w:val="false"/>
          <w:i w:val="false"/>
          <w:iCs w:val="false"/>
          <w:sz w:val="20"/>
          <w:szCs w:val="20"/>
        </w:rPr>
        <w:t xml:space="preserve">Organizácia k 31. 12. 2025 účtovala o týchto ostatných výnosoch v nasledujúcej štruktúre v Eurách: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tblGrid>
      <w:tr>
        <w:tc>
          <w:tcPr>
            <w:tcW w:type="dxa" w:w="6800"/>
            <w:shd w:fill="EEEEEE" w:val="clear"/>
          </w:tcPr>
          <w:p>
            <w:r>
              <w:rPr>
                <w:rFonts w:ascii="Calibri" w:cs="Calibri" w:eastAsia="Calibri" w:hAnsi="Calibri"/>
                <w:b/>
                <w:bCs/>
                <w:sz w:val="20"/>
                <w:szCs w:val="20"/>
              </w:rPr>
              <w:t xml:space="preserve">Výnos</w:t>
            </w:r>
          </w:p>
        </w:tc>
        <w:tc>
          <w:tcPr>
            <w:tcW w:type="dxa" w:w="2560"/>
            <w:shd w:fill="EEEEEE" w:val="clear"/>
          </w:tcPr>
          <w:p>
            <w:pPr>
              <w:jc w:val="right"/>
            </w:pPr>
            <w:r>
              <w:rPr>
                <w:rFonts w:ascii="Calibri" w:cs="Calibri" w:eastAsia="Calibri" w:hAnsi="Calibri"/>
                <w:b/>
                <w:bCs/>
                <w:sz w:val="20"/>
                <w:szCs w:val="20"/>
              </w:rPr>
              <w:t xml:space="preserve">EUR</w:t>
            </w:r>
          </w:p>
        </w:tc>
      </w:tr>
      <w:tr>
        <w:tc>
          <w:tcPr>
            <w:tcW w:type="dxa" w:w="6800"/>
          </w:tcPr>
          <w:p>
            <w:r>
              <w:rPr>
                <w:rFonts w:ascii="Calibri" w:cs="Calibri" w:eastAsia="Calibri" w:hAnsi="Calibri"/>
                <w:b w:val="false"/>
                <w:bCs w:val="false"/>
                <w:sz w:val="20"/>
                <w:szCs w:val="20"/>
              </w:rPr>
              <w:t xml:space="preserve">Prijaté príspevky od fyzických osôb</w:t>
            </w:r>
          </w:p>
        </w:tc>
        <w:tc>
          <w:tcPr>
            <w:tcW w:type="dxa" w:w="2560"/>
          </w:tcPr>
          <w:p>
            <w:pPr>
              <w:jc w:val="right"/>
            </w:pPr>
            <w:r>
              <w:rPr>
                <w:rFonts w:ascii="Calibri" w:cs="Calibri" w:eastAsia="Calibri" w:hAnsi="Calibri"/>
                <w:b w:val="false"/>
                <w:bCs w:val="false"/>
                <w:sz w:val="20"/>
                <w:szCs w:val="20"/>
              </w:rPr>
              <w:t xml:space="preserve">0,00</w:t>
            </w:r>
          </w:p>
        </w:tc>
      </w:tr>
      <w:tr>
        <w:tc>
          <w:tcPr>
            <w:tcW w:type="dxa" w:w="6800"/>
          </w:tcPr>
          <w:p>
            <w:r>
              <w:rPr>
                <w:rFonts w:ascii="Calibri" w:cs="Calibri" w:eastAsia="Calibri" w:hAnsi="Calibri"/>
                <w:b w:val="false"/>
                <w:bCs w:val="false"/>
                <w:sz w:val="20"/>
                <w:szCs w:val="20"/>
              </w:rPr>
              <w:t xml:space="preserve">Príspevky z podielu zaplatenej dane (2 %)</w:t>
            </w:r>
          </w:p>
        </w:tc>
        <w:tc>
          <w:tcPr>
            <w:tcW w:type="dxa" w:w="2560"/>
          </w:tcPr>
          <w:p>
            <w:pPr>
              <w:jc w:val="right"/>
            </w:pPr>
            <w:r>
              <w:rPr>
                <w:rFonts w:ascii="Calibri" w:cs="Calibri" w:eastAsia="Calibri" w:hAnsi="Calibri"/>
                <w:b w:val="false"/>
                <w:bCs w:val="false"/>
                <w:sz w:val="20"/>
                <w:szCs w:val="20"/>
              </w:rPr>
              <w:t xml:space="preserve">490,20</w:t>
            </w:r>
          </w:p>
        </w:tc>
      </w:tr>
      <w:tr>
        <w:tc>
          <w:tcPr>
            <w:tcW w:type="dxa" w:w="6800"/>
          </w:tcPr>
          <w:p>
            <w:r>
              <w:rPr>
                <w:rFonts w:ascii="Calibri" w:cs="Calibri" w:eastAsia="Calibri" w:hAnsi="Calibri"/>
                <w:b w:val="false"/>
                <w:bCs w:val="false"/>
                <w:sz w:val="20"/>
                <w:szCs w:val="20"/>
              </w:rPr>
              <w:t xml:space="preserve">Dotácie (zo ŠR a EÚ)</w:t>
            </w:r>
          </w:p>
        </w:tc>
        <w:tc>
          <w:tcPr>
            <w:tcW w:type="dxa" w:w="2560"/>
          </w:tcPr>
          <w:p>
            <w:pPr>
              <w:jc w:val="right"/>
            </w:pPr>
            <w:r>
              <w:rPr>
                <w:rFonts w:ascii="Calibri" w:cs="Calibri" w:eastAsia="Calibri" w:hAnsi="Calibri"/>
                <w:b w:val="false"/>
                <w:bCs w:val="false"/>
                <w:sz w:val="20"/>
                <w:szCs w:val="20"/>
              </w:rPr>
              <w:t xml:space="preserve">25 000,00</w:t>
            </w:r>
          </w:p>
        </w:tc>
      </w:tr>
    </w:tbl>
    <w:p>
      <w:pPr>
        <w:spacing w:after="120" w:before="220"/>
      </w:pPr>
      <w:r>
        <w:rPr>
          <w:rFonts w:ascii="Calibri" w:cs="Calibri" w:eastAsia="Calibri" w:hAnsi="Calibri"/>
          <w:b/>
          <w:bCs/>
          <w:sz w:val="24"/>
          <w:szCs w:val="24"/>
        </w:rPr>
        <w:t xml:space="preserve">V. NÁKLADY</w:t>
      </w:r>
    </w:p>
    <w:p>
      <w:pPr>
        <w:spacing w:after="80" w:before="160"/>
      </w:pPr>
      <w:r>
        <w:rPr>
          <w:rFonts w:ascii="Calibri" w:cs="Calibri" w:eastAsia="Calibri" w:hAnsi="Calibri"/>
          <w:b/>
          <w:bCs/>
          <w:sz w:val="22"/>
          <w:szCs w:val="22"/>
        </w:rPr>
        <w:t xml:space="preserve">1. Náklady na spotrebované nákupy</w:t>
      </w:r>
    </w:p>
    <w:p>
      <w:pPr>
        <w:spacing w:after="80"/>
        <w:jc w:val="both"/>
      </w:pPr>
      <w:r>
        <w:rPr>
          <w:rFonts w:ascii="Calibri" w:cs="Calibri" w:eastAsia="Calibri" w:hAnsi="Calibri"/>
          <w:b w:val="false"/>
          <w:bCs w:val="false"/>
          <w:i w:val="false"/>
          <w:iCs w:val="false"/>
          <w:sz w:val="20"/>
          <w:szCs w:val="20"/>
        </w:rPr>
        <w:t xml:space="preserve">Náklady na spotrebované nákupy boli v roku 2025 v nasledujúcej štruktúre v EUR: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tblGrid>
      <w:tr>
        <w:tc>
          <w:tcPr>
            <w:tcW w:type="dxa" w:w="6800"/>
            <w:shd w:fill="EEEEEE" w:val="clear"/>
          </w:tcPr>
          <w:p>
            <w:r>
              <w:rPr>
                <w:rFonts w:ascii="Calibri" w:cs="Calibri" w:eastAsia="Calibri" w:hAnsi="Calibri"/>
                <w:b/>
                <w:bCs/>
                <w:sz w:val="20"/>
                <w:szCs w:val="20"/>
              </w:rPr>
              <w:t xml:space="preserve">Náklad</w:t>
            </w:r>
          </w:p>
        </w:tc>
        <w:tc>
          <w:tcPr>
            <w:tcW w:type="dxa" w:w="2560"/>
            <w:shd w:fill="EEEEEE" w:val="clear"/>
          </w:tcPr>
          <w:p>
            <w:pPr>
              <w:jc w:val="right"/>
            </w:pPr>
            <w:r>
              <w:rPr>
                <w:rFonts w:ascii="Calibri" w:cs="Calibri" w:eastAsia="Calibri" w:hAnsi="Calibri"/>
                <w:b/>
                <w:bCs/>
                <w:sz w:val="20"/>
                <w:szCs w:val="20"/>
              </w:rPr>
              <w:t xml:space="preserve">EUR</w:t>
            </w:r>
          </w:p>
        </w:tc>
      </w:tr>
      <w:tr>
        <w:tc>
          <w:tcPr>
            <w:tcW w:type="dxa" w:w="6800"/>
          </w:tcPr>
          <w:p>
            <w:r>
              <w:rPr>
                <w:rFonts w:ascii="Calibri" w:cs="Calibri" w:eastAsia="Calibri" w:hAnsi="Calibri"/>
                <w:b w:val="false"/>
                <w:bCs w:val="false"/>
                <w:sz w:val="20"/>
                <w:szCs w:val="20"/>
              </w:rPr>
              <w:t xml:space="preserve">Spotrebovaný materiál na scénu a kostýmy</w:t>
            </w:r>
          </w:p>
        </w:tc>
        <w:tc>
          <w:tcPr>
            <w:tcW w:type="dxa" w:w="2560"/>
          </w:tcPr>
          <w:p>
            <w:pPr>
              <w:jc w:val="right"/>
            </w:pPr>
            <w:r>
              <w:rPr>
                <w:rFonts w:ascii="Calibri" w:cs="Calibri" w:eastAsia="Calibri" w:hAnsi="Calibri"/>
                <w:b w:val="false"/>
                <w:bCs w:val="false"/>
                <w:sz w:val="20"/>
                <w:szCs w:val="20"/>
              </w:rPr>
              <w:t xml:space="preserve">575,01</w:t>
            </w:r>
          </w:p>
        </w:tc>
      </w:tr>
      <w:tr>
        <w:tc>
          <w:tcPr>
            <w:tcW w:type="dxa" w:w="6800"/>
          </w:tcPr>
          <w:p>
            <w:r>
              <w:rPr>
                <w:rFonts w:ascii="Calibri" w:cs="Calibri" w:eastAsia="Calibri" w:hAnsi="Calibri"/>
                <w:b w:val="false"/>
                <w:bCs w:val="false"/>
                <w:sz w:val="20"/>
                <w:szCs w:val="20"/>
              </w:rPr>
              <w:t xml:space="preserve">Cestovné</w:t>
            </w:r>
          </w:p>
        </w:tc>
        <w:tc>
          <w:tcPr>
            <w:tcW w:type="dxa" w:w="2560"/>
          </w:tcPr>
          <w:p>
            <w:pPr>
              <w:jc w:val="right"/>
            </w:pPr>
            <w:r>
              <w:rPr>
                <w:rFonts w:ascii="Calibri" w:cs="Calibri" w:eastAsia="Calibri" w:hAnsi="Calibri"/>
                <w:b w:val="false"/>
                <w:bCs w:val="false"/>
                <w:sz w:val="20"/>
                <w:szCs w:val="20"/>
              </w:rPr>
              <w:t xml:space="preserve">1 148,27</w:t>
            </w:r>
          </w:p>
        </w:tc>
      </w:tr>
      <w:tr>
        <w:tc>
          <w:tcPr>
            <w:tcW w:type="dxa" w:w="6800"/>
          </w:tcPr>
          <w:p>
            <w:r>
              <w:rPr>
                <w:rFonts w:ascii="Calibri" w:cs="Calibri" w:eastAsia="Calibri" w:hAnsi="Calibri"/>
                <w:b w:val="false"/>
                <w:bCs w:val="false"/>
                <w:sz w:val="20"/>
                <w:szCs w:val="20"/>
              </w:rPr>
              <w:t xml:space="preserve">Náklady na reprezentáciu</w:t>
            </w:r>
          </w:p>
        </w:tc>
        <w:tc>
          <w:tcPr>
            <w:tcW w:type="dxa" w:w="2560"/>
          </w:tcPr>
          <w:p>
            <w:pPr>
              <w:jc w:val="right"/>
            </w:pPr>
            <w:r>
              <w:rPr>
                <w:rFonts w:ascii="Calibri" w:cs="Calibri" w:eastAsia="Calibri" w:hAnsi="Calibri"/>
                <w:b w:val="false"/>
                <w:bCs w:val="false"/>
                <w:sz w:val="20"/>
                <w:szCs w:val="20"/>
              </w:rPr>
              <w:t xml:space="preserve">2,30</w:t>
            </w:r>
          </w:p>
        </w:tc>
      </w:tr>
    </w:tbl>
    <w:p>
      <w:pPr>
        <w:spacing w:after="80" w:before="160"/>
      </w:pPr>
      <w:r>
        <w:rPr>
          <w:rFonts w:ascii="Calibri" w:cs="Calibri" w:eastAsia="Calibri" w:hAnsi="Calibri"/>
          <w:b/>
          <w:bCs/>
          <w:sz w:val="22"/>
          <w:szCs w:val="22"/>
        </w:rPr>
        <w:t xml:space="preserve">2. Náklady na poskytnuté služby</w:t>
      </w:r>
    </w:p>
    <w:p>
      <w:pPr>
        <w:spacing w:after="80"/>
        <w:jc w:val="both"/>
      </w:pPr>
      <w:r>
        <w:rPr>
          <w:rFonts w:ascii="Calibri" w:cs="Calibri" w:eastAsia="Calibri" w:hAnsi="Calibri"/>
          <w:b w:val="false"/>
          <w:bCs w:val="false"/>
          <w:i w:val="false"/>
          <w:iCs w:val="false"/>
          <w:sz w:val="20"/>
          <w:szCs w:val="20"/>
        </w:rPr>
        <w:t xml:space="preserve">Organizácia spotrebovala služby, najmä služby spojené s výkonom umelca a umelkyne, v celkovej výške 25 173,91 EUR.</w:t>
      </w:r>
    </w:p>
    <w:p>
      <w:pPr>
        <w:spacing w:after="80" w:before="160"/>
      </w:pPr>
      <w:r>
        <w:rPr>
          <w:rFonts w:ascii="Calibri" w:cs="Calibri" w:eastAsia="Calibri" w:hAnsi="Calibri"/>
          <w:b/>
          <w:bCs/>
          <w:sz w:val="22"/>
          <w:szCs w:val="22"/>
        </w:rPr>
        <w:t xml:space="preserve">3. Osobné náklady</w:t>
      </w:r>
    </w:p>
    <w:p>
      <w:pPr>
        <w:spacing w:after="80"/>
        <w:jc w:val="both"/>
      </w:pPr>
      <w:r>
        <w:rPr>
          <w:rFonts w:ascii="Calibri" w:cs="Calibri" w:eastAsia="Calibri" w:hAnsi="Calibri"/>
          <w:b w:val="false"/>
          <w:bCs w:val="false"/>
          <w:i w:val="false"/>
          <w:iCs w:val="false"/>
          <w:sz w:val="20"/>
          <w:szCs w:val="20"/>
        </w:rPr>
        <w:t xml:space="preserve">Organizácia k 31. 12. 2025 neúčtovala o osobných nákladoch. Organizácia nemá zamestnancov; odmeny umelcom a spolupracovníkom boli účtované ako služby (účet 518).</w:t>
      </w:r>
    </w:p>
    <w:p>
      <w:pPr>
        <w:spacing w:after="80" w:before="160"/>
      </w:pPr>
      <w:r>
        <w:rPr>
          <w:rFonts w:ascii="Calibri" w:cs="Calibri" w:eastAsia="Calibri" w:hAnsi="Calibri"/>
          <w:b/>
          <w:bCs/>
          <w:sz w:val="22"/>
          <w:szCs w:val="22"/>
        </w:rPr>
        <w:t xml:space="preserve">4. Dane a poplatky</w:t>
      </w:r>
    </w:p>
    <w:p>
      <w:pPr>
        <w:spacing w:after="80"/>
        <w:jc w:val="both"/>
      </w:pPr>
      <w:r>
        <w:rPr>
          <w:rFonts w:ascii="Calibri" w:cs="Calibri" w:eastAsia="Calibri" w:hAnsi="Calibri"/>
          <w:b w:val="false"/>
          <w:bCs w:val="false"/>
          <w:i w:val="false"/>
          <w:iCs w:val="false"/>
          <w:sz w:val="20"/>
          <w:szCs w:val="20"/>
        </w:rPr>
        <w:t xml:space="preserve">Organizácia k 31. 12. 2025 účtovala o ostatných daniach a poplatkoch v sume 175,70 EUR (administratívne poplatky a zrážková daň z autorských honorárov).</w:t>
      </w:r>
    </w:p>
    <w:p>
      <w:pPr>
        <w:spacing w:after="80" w:before="160"/>
      </w:pPr>
      <w:r>
        <w:rPr>
          <w:rFonts w:ascii="Calibri" w:cs="Calibri" w:eastAsia="Calibri" w:hAnsi="Calibri"/>
          <w:b/>
          <w:bCs/>
          <w:sz w:val="22"/>
          <w:szCs w:val="22"/>
        </w:rPr>
        <w:t xml:space="preserve">5. Odpisy, rezervy a opravné položky</w:t>
      </w:r>
    </w:p>
    <w:p>
      <w:pPr>
        <w:spacing w:after="80"/>
        <w:jc w:val="both"/>
      </w:pPr>
      <w:r>
        <w:rPr>
          <w:rFonts w:ascii="Calibri" w:cs="Calibri" w:eastAsia="Calibri" w:hAnsi="Calibri"/>
          <w:b w:val="false"/>
          <w:bCs w:val="false"/>
          <w:i w:val="false"/>
          <w:iCs w:val="false"/>
          <w:sz w:val="20"/>
          <w:szCs w:val="20"/>
        </w:rPr>
        <w:t xml:space="preserve">Organizácia k 31. 12. 2025 neúčtovala o odpisoch, rezervách a opravných položkách.</w:t>
      </w:r>
    </w:p>
    <w:p>
      <w:pPr>
        <w:spacing w:after="80" w:before="160"/>
      </w:pPr>
      <w:r>
        <w:rPr>
          <w:rFonts w:ascii="Calibri" w:cs="Calibri" w:eastAsia="Calibri" w:hAnsi="Calibri"/>
          <w:b/>
          <w:bCs/>
          <w:sz w:val="22"/>
          <w:szCs w:val="22"/>
        </w:rPr>
        <w:t xml:space="preserve">6. Finančné náklady</w:t>
      </w:r>
    </w:p>
    <w:p>
      <w:pPr>
        <w:spacing w:after="80"/>
        <w:jc w:val="both"/>
      </w:pPr>
      <w:r>
        <w:rPr>
          <w:rFonts w:ascii="Calibri" w:cs="Calibri" w:eastAsia="Calibri" w:hAnsi="Calibri"/>
          <w:b w:val="false"/>
          <w:bCs w:val="false"/>
          <w:i w:val="false"/>
          <w:iCs w:val="false"/>
          <w:sz w:val="20"/>
          <w:szCs w:val="20"/>
        </w:rPr>
        <w:t xml:space="preserve">Organizácia k 31. 12. 2025 účtovala o bankových poplatkoch a ostatných finančných nákladoch v hodnote 84,62 EUR.</w:t>
      </w:r>
    </w:p>
    <w:p>
      <w:pPr>
        <w:spacing w:after="80" w:before="160"/>
      </w:pPr>
      <w:r>
        <w:rPr>
          <w:rFonts w:ascii="Calibri" w:cs="Calibri" w:eastAsia="Calibri" w:hAnsi="Calibri"/>
          <w:b/>
          <w:bCs/>
          <w:sz w:val="22"/>
          <w:szCs w:val="22"/>
        </w:rPr>
        <w:t xml:space="preserve">7. Mimoriadne náklady</w:t>
      </w:r>
    </w:p>
    <w:p>
      <w:pPr>
        <w:spacing w:after="80"/>
        <w:jc w:val="both"/>
      </w:pPr>
      <w:r>
        <w:rPr>
          <w:rFonts w:ascii="Calibri" w:cs="Calibri" w:eastAsia="Calibri" w:hAnsi="Calibri"/>
          <w:b w:val="false"/>
          <w:bCs w:val="false"/>
          <w:i w:val="false"/>
          <w:iCs w:val="false"/>
          <w:sz w:val="20"/>
          <w:szCs w:val="20"/>
        </w:rPr>
        <w:t xml:space="preserve">Organizácia k 31. 12. 2025 neúčtovala o mimoriadnych nákladoch.</w:t>
      </w:r>
    </w:p>
    <w:p>
      <w:pPr>
        <w:spacing w:after="80" w:before="160"/>
      </w:pPr>
      <w:r>
        <w:rPr>
          <w:rFonts w:ascii="Calibri" w:cs="Calibri" w:eastAsia="Calibri" w:hAnsi="Calibri"/>
          <w:b/>
          <w:bCs/>
          <w:sz w:val="22"/>
          <w:szCs w:val="22"/>
        </w:rPr>
        <w:t xml:space="preserve">8. Ostatné náklady</w:t>
      </w:r>
    </w:p>
    <w:p>
      <w:pPr>
        <w:spacing w:after="80"/>
        <w:jc w:val="both"/>
      </w:pPr>
      <w:r>
        <w:rPr>
          <w:rFonts w:ascii="Calibri" w:cs="Calibri" w:eastAsia="Calibri" w:hAnsi="Calibri"/>
          <w:b w:val="false"/>
          <w:bCs w:val="false"/>
          <w:i w:val="false"/>
          <w:iCs w:val="false"/>
          <w:sz w:val="20"/>
          <w:szCs w:val="20"/>
        </w:rPr>
        <w:t xml:space="preserve">Organizácia k 31. 12. 2025 neúčtovala o ďalších ostatných nákladoch.</w:t>
      </w:r>
    </w:p>
    <w:p>
      <w:pPr>
        <w:spacing w:after="80" w:before="160"/>
      </w:pPr>
      <w:r>
        <w:rPr>
          <w:rFonts w:ascii="Calibri" w:cs="Calibri" w:eastAsia="Calibri" w:hAnsi="Calibri"/>
          <w:b/>
          <w:bCs/>
          <w:sz w:val="22"/>
          <w:szCs w:val="22"/>
        </w:rPr>
        <w:t xml:space="preserve">9. Dary</w:t>
      </w:r>
    </w:p>
    <w:p>
      <w:pPr>
        <w:spacing w:after="80"/>
        <w:jc w:val="both"/>
      </w:pPr>
      <w:r>
        <w:rPr>
          <w:rFonts w:ascii="Calibri" w:cs="Calibri" w:eastAsia="Calibri" w:hAnsi="Calibri"/>
          <w:b w:val="false"/>
          <w:bCs w:val="false"/>
          <w:i w:val="false"/>
          <w:iCs w:val="false"/>
          <w:sz w:val="20"/>
          <w:szCs w:val="20"/>
        </w:rPr>
        <w:t xml:space="preserve">Organizácia k 31.12.2025 neúčtovala o poskytnutých daroch.</w:t>
      </w:r>
    </w:p>
    <w:p>
      <w:pPr>
        <w:spacing w:after="120" w:before="220"/>
      </w:pPr>
      <w:r>
        <w:rPr>
          <w:rFonts w:ascii="Calibri" w:cs="Calibri" w:eastAsia="Calibri" w:hAnsi="Calibri"/>
          <w:b/>
          <w:bCs/>
          <w:sz w:val="24"/>
          <w:szCs w:val="24"/>
        </w:rPr>
        <w:t xml:space="preserve">VI. ÚDAJE NA PODSÚVAHOVÝCH ÚČTOCH</w:t>
      </w:r>
    </w:p>
    <w:p>
      <w:pPr>
        <w:spacing w:after="80"/>
        <w:jc w:val="both"/>
      </w:pPr>
      <w:r>
        <w:rPr>
          <w:rFonts w:ascii="Calibri" w:cs="Calibri" w:eastAsia="Calibri" w:hAnsi="Calibri"/>
          <w:b w:val="false"/>
          <w:bCs w:val="false"/>
          <w:i w:val="false"/>
          <w:iCs w:val="false"/>
          <w:sz w:val="20"/>
          <w:szCs w:val="20"/>
        </w:rPr>
        <w:t xml:space="preserve">1. Záväzky z derivátových obchodov: Organizácia k 31. 12. 2025 neúčtovala.</w:t>
      </w:r>
    </w:p>
    <w:p>
      <w:pPr>
        <w:spacing w:after="80"/>
        <w:jc w:val="both"/>
      </w:pPr>
      <w:r>
        <w:rPr>
          <w:rFonts w:ascii="Calibri" w:cs="Calibri" w:eastAsia="Calibri" w:hAnsi="Calibri"/>
          <w:b w:val="false"/>
          <w:bCs w:val="false"/>
          <w:i w:val="false"/>
          <w:iCs w:val="false"/>
          <w:sz w:val="20"/>
          <w:szCs w:val="20"/>
        </w:rPr>
        <w:t xml:space="preserve">2. Záväzky z finančného prenájmu: Organizácia k 31. 12. 2025 neúčtovala.</w:t>
      </w:r>
    </w:p>
    <w:p>
      <w:pPr>
        <w:spacing w:after="120" w:before="220"/>
      </w:pPr>
      <w:r>
        <w:rPr>
          <w:rFonts w:ascii="Calibri" w:cs="Calibri" w:eastAsia="Calibri" w:hAnsi="Calibri"/>
          <w:b/>
          <w:bCs/>
          <w:sz w:val="24"/>
          <w:szCs w:val="24"/>
        </w:rPr>
        <w:t xml:space="preserve">VII. INÉ AKTÍVA A PASÍVA</w:t>
      </w:r>
    </w:p>
    <w:p>
      <w:pPr>
        <w:spacing w:after="80"/>
        <w:jc w:val="both"/>
      </w:pPr>
      <w:r>
        <w:rPr>
          <w:rFonts w:ascii="Calibri" w:cs="Calibri" w:eastAsia="Calibri" w:hAnsi="Calibri"/>
          <w:b w:val="false"/>
          <w:bCs w:val="false"/>
          <w:i w:val="false"/>
          <w:iCs w:val="false"/>
          <w:sz w:val="20"/>
          <w:szCs w:val="20"/>
        </w:rPr>
        <w:t xml:space="preserve">1. Prípadné ďalšie záväzky: Organizácia k 31. 12. 2025 neeviduje.</w:t>
      </w:r>
    </w:p>
    <w:p>
      <w:pPr>
        <w:spacing w:after="80"/>
        <w:jc w:val="both"/>
      </w:pPr>
      <w:r>
        <w:rPr>
          <w:rFonts w:ascii="Calibri" w:cs="Calibri" w:eastAsia="Calibri" w:hAnsi="Calibri"/>
          <w:b w:val="false"/>
          <w:bCs w:val="false"/>
          <w:i w:val="false"/>
          <w:iCs w:val="false"/>
          <w:sz w:val="20"/>
          <w:szCs w:val="20"/>
        </w:rPr>
        <w:t xml:space="preserve">2. Ostatné finančné povinnosti: Ďalšie informácie, ktoré je potrebné zverejniť: pozri Opatrenie, čl. VIII bod 2.</w:t>
      </w:r>
    </w:p>
    <w:p>
      <w:pPr>
        <w:spacing w:after="120" w:before="220"/>
      </w:pPr>
      <w:r>
        <w:rPr>
          <w:rFonts w:ascii="Calibri" w:cs="Calibri" w:eastAsia="Calibri" w:hAnsi="Calibri"/>
          <w:b/>
          <w:bCs/>
          <w:sz w:val="24"/>
          <w:szCs w:val="24"/>
        </w:rPr>
        <w:t xml:space="preserve">VIII. PRÍJMY A VÝHODY ČLENOV ŠTATUTÁRNYCH, DOZORNÝCH A INÝCH ORGÁNOV ORGANIZÁCIE</w:t>
      </w:r>
    </w:p>
    <w:p>
      <w:pPr>
        <w:spacing w:after="80"/>
        <w:jc w:val="both"/>
      </w:pPr>
      <w:r>
        <w:rPr>
          <w:rFonts w:ascii="Calibri" w:cs="Calibri" w:eastAsia="Calibri" w:hAnsi="Calibri"/>
          <w:b w:val="false"/>
          <w:bCs w:val="false"/>
          <w:i w:val="false"/>
          <w:iCs w:val="false"/>
          <w:sz w:val="20"/>
          <w:szCs w:val="20"/>
        </w:rPr>
        <w:t xml:space="preserve">Organizácia k 31. 12. 2025 nevyplatila odmenu štatutárnemu orgánu – predsedníčke organizácie.</w:t>
      </w:r>
    </w:p>
    <w:p>
      <w:pPr>
        <w:spacing w:after="120" w:before="220"/>
      </w:pPr>
      <w:r>
        <w:rPr>
          <w:rFonts w:ascii="Calibri" w:cs="Calibri" w:eastAsia="Calibri" w:hAnsi="Calibri"/>
          <w:b/>
          <w:bCs/>
          <w:sz w:val="24"/>
          <w:szCs w:val="24"/>
        </w:rPr>
        <w:t xml:space="preserve">IX. EKONOMICKÉ VZŤAHY ORGANIZÁCIE A SPRIAZNENÝCH OSÔB</w:t>
      </w:r>
    </w:p>
    <w:p>
      <w:pPr>
        <w:spacing w:after="80"/>
        <w:jc w:val="both"/>
      </w:pPr>
      <w:r>
        <w:rPr>
          <w:rFonts w:ascii="Calibri" w:cs="Calibri" w:eastAsia="Calibri" w:hAnsi="Calibri"/>
          <w:b w:val="false"/>
          <w:bCs w:val="false"/>
          <w:i w:val="false"/>
          <w:iCs w:val="false"/>
          <w:sz w:val="20"/>
          <w:szCs w:val="20"/>
        </w:rPr>
        <w:t xml:space="preserve">Organizácia k 31. 12. 2025 neevidovala žiadne vzťahy so spriaznenými osobami.</w:t>
      </w:r>
    </w:p>
    <w:p>
      <w:pPr>
        <w:spacing w:after="120" w:before="220"/>
      </w:pPr>
      <w:r>
        <w:rPr>
          <w:rFonts w:ascii="Calibri" w:cs="Calibri" w:eastAsia="Calibri" w:hAnsi="Calibri"/>
          <w:b/>
          <w:bCs/>
          <w:sz w:val="24"/>
          <w:szCs w:val="24"/>
        </w:rPr>
        <w:t xml:space="preserve">X. SKUTOČNOSTI, KTORÉ NASTALI PO DNI, KU KTORÉMU SA ZOSTAVUJE ÚČTOVNÁ ZÁVIERKA DO DŇA JEJ ZOSTAVENIA</w:t>
      </w:r>
    </w:p>
    <w:p>
      <w:pPr>
        <w:spacing w:after="80"/>
        <w:jc w:val="both"/>
      </w:pPr>
      <w:r>
        <w:rPr>
          <w:rFonts w:ascii="Calibri" w:cs="Calibri" w:eastAsia="Calibri" w:hAnsi="Calibri"/>
          <w:b w:val="false"/>
          <w:bCs w:val="false"/>
          <w:i w:val="false"/>
          <w:iCs w:val="false"/>
          <w:sz w:val="20"/>
          <w:szCs w:val="20"/>
        </w:rPr>
        <w:t xml:space="preserve">Po 31. decembri 2025 nenastali také udalosti, ktoré by si vyžadovali zverejnenie alebo vykázanie v účtovnej závierke za rok 2025.</w:t>
      </w:r>
    </w:p>
    <w:p>
      <w:pPr>
        <w:spacing w:before="300"/>
      </w:pPr>
      <w:r>
        <w:rPr>
          <w:rFonts w:ascii="Calibri" w:cs="Calibri" w:eastAsia="Calibri" w:hAnsi="Calibri"/>
          <w:sz w:val="20"/>
          <w:szCs w:val="20"/>
        </w:rPr>
        <w:t xml:space="preserve">V Bratislave, dňa 30.6.2026</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2026-07-01T16:32:57.201Z</dcterms:created>
  <dcterms:modified xsi:type="dcterms:W3CDTF">2026-07-01T16:32:57.202Z</dcterms:modified>
</cp:coreProperties>
</file>

<file path=docProps/custom.xml><?xml version="1.0" encoding="utf-8"?>
<Properties xmlns="http://schemas.openxmlformats.org/officeDocument/2006/custom-properties" xmlns:vt="http://schemas.openxmlformats.org/officeDocument/2006/docPropsVTypes"/>
</file>