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Účtovná závierka mikro účtovnej jednotky za rok 2025</w:t>
      </w:r>
    </w:p>
    <w:p>
      <w:pPr>
        <w:spacing w:after="80"/>
      </w:pPr>
      <w:r>
        <w:rPr>
          <w:b w:val="false"/>
          <w:bCs w:val="false"/>
        </w:rPr>
        <w:t xml:space="preserve">Obchodné meno: Elite Coach Agency s. r. o.</w:t>
      </w:r>
    </w:p>
    <w:p>
      <w:pPr>
        <w:spacing w:after="80"/>
      </w:pPr>
      <w:r>
        <w:rPr>
          <w:b w:val="false"/>
          <w:bCs w:val="false"/>
        </w:rPr>
        <w:t xml:space="preserve">Sídlo: Námestie slobody 1476/12, 034 01 Ružomberok</w:t>
      </w:r>
    </w:p>
    <w:p>
      <w:pPr>
        <w:spacing w:after="80"/>
      </w:pPr>
      <w:r>
        <w:rPr>
          <w:b w:val="false"/>
          <w:bCs w:val="false"/>
        </w:rPr>
        <w:t xml:space="preserve">IČO: 56 930 283   DIČ: 2122509884</w:t>
      </w:r>
    </w:p>
    <w:p>
      <w:pPr>
        <w:spacing w:after="80"/>
      </w:pPr>
      <w:r>
        <w:rPr>
          <w:b w:val="false"/>
          <w:bCs w:val="false"/>
        </w:rPr>
        <w:t xml:space="preserve">Právna forma: spoločnosť s ručením obmedzeným (neplatiteľ DPH)</w:t>
      </w:r>
    </w:p>
    <w:p>
      <w:pPr>
        <w:spacing w:after="80"/>
      </w:pPr>
      <w:r>
        <w:rPr>
          <w:b w:val="false"/>
          <w:bCs w:val="false"/>
        </w:rPr>
        <w:t xml:space="preserve">Účtovné obdobie: od 30. 4. 2025 do 31. 12. 2025 (prvé účtovné obdobie)</w:t>
      </w:r>
    </w:p>
    <w:p>
      <w:pPr>
        <w:spacing w:after="80"/>
      </w:pPr>
      <w:r>
        <w:rPr>
          <w:b w:val="false"/>
          <w:bCs w:val="false"/>
        </w:rPr>
        <w:t xml:space="preserve">Druh závierky: riadna   |   Dátum zostavenia: 27. 6. 2026   |   Dátum schválenia: 27. 6. 2026</w:t>
      </w:r>
    </w:p>
    <w:p>
      <w:pPr>
        <w:spacing w:after="80"/>
      </w:pPr>
      <w:r>
        <w:rPr>
          <w:b w:val="false"/>
          <w:bCs w:val="false"/>
        </w:rPr>
        <w:t xml:space="preserve">Údaje sú uvedené v eurách.</w:t>
      </w:r>
    </w:p>
    <w:p>
      <w:pPr>
        <w:pStyle w:val="Heading2"/>
      </w:pPr>
      <w:r>
        <w:t xml:space="preserve">Súvaha Úč MÚJ 1 – 01</w:t>
      </w:r>
    </w:p>
    <w:p>
      <w:pPr>
        <w:spacing w:after="80"/>
      </w:pPr>
      <w:r>
        <w:rPr>
          <w:b/>
          <w:bCs/>
        </w:rPr>
        <w:t xml:space="preserve">Strana aktív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1400"/>
        <w:gridCol w:w="1400"/>
      </w:tblGrid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</w:rPr>
              <w:t xml:space="preserve">Označenie / Položka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</w:rPr>
              <w:t xml:space="preserve">Bežné obd.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</w:rPr>
              <w:t xml:space="preserve">Predch.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SPOLU MAJETOK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15 996,02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A. Neobežný majetok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0,00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B. Obežný majetok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15 996,02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B.III. Krátkodobé pohľadávky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996,00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B.III.3. Ostatné pohľadávky (355 – voči spoločníkovi)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996,00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B.IV. Finančný majetok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15 000,02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B.IV.1. Peniaze a účty v bankách (211 + 221)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15 000,02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</w:tbl>
    <w:p>
      <w:r>
        <w:t xml:space="preserve"/>
      </w:r>
    </w:p>
    <w:p>
      <w:pPr>
        <w:spacing w:after="80"/>
      </w:pPr>
      <w:r>
        <w:rPr>
          <w:b/>
          <w:bCs/>
        </w:rPr>
        <w:t xml:space="preserve">Strana pasív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1400"/>
        <w:gridCol w:w="1400"/>
      </w:tblGrid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</w:rPr>
              <w:t xml:space="preserve">Označenie / Položka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</w:rPr>
              <w:t xml:space="preserve">Bežné obd.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</w:rPr>
              <w:t xml:space="preserve">Predch.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SPOLU VLASTNÉ IMANIE A ZÁVÄZKY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15 996,02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A. Vlastné imanie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15 896,42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A.I. Základné imanie (411)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15 000,00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A.VI. Výsledok hospodárenia za úč. obdobie po zdanení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896,42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B. Záväzky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99,60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B.IV. Krátkodobé záväzky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99,60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B.IV.3. Daňové záväzky (341 – daň z príjmov)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99,60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</w:tbl>
    <w:p>
      <w:pPr>
        <w:pStyle w:val="Heading2"/>
      </w:pPr>
      <w:r>
        <w:t xml:space="preserve">Výkaz ziskov a strát Úč MÚJ 2 – 01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600"/>
        <w:gridCol w:w="1400"/>
        <w:gridCol w:w="1400"/>
      </w:tblGrid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</w:rPr>
              <w:t xml:space="preserve">Označenie / Položka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</w:rPr>
              <w:t xml:space="preserve">Bežné obd.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</w:rPr>
              <w:t xml:space="preserve">Predch.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* Výnosy z hospodárskej činnosti spolu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1 000,00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II. Tržby z predaja vlastných výrobkov a služieb (602)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1 000,00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* Náklady na hospodársku činnosť spolu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3,98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E. Dane a poplatky (538 – transakčná daň)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3,98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** Výsledok hospodárenia z hospodárskej činnosti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996,02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* Pridaná hodnota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1 000,00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** VH za účtovné obdobie pred zdanením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996,02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P. Daň z príjmov (591)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99,60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  <w:tr>
        <w:tc>
          <w:tcPr>
            <w:tcW w:type="dxa" w:w="66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</w:rPr>
              <w:t xml:space="preserve">*** VH za účtovné obdobie po zdanení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896,42</w:t>
            </w:r>
          </w:p>
        </w:tc>
        <w:tc>
          <w:tcPr>
            <w:tcW w:type="dxa" w:w="1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jc w:val="right"/>
            </w:pPr>
            <w:r>
              <w:rPr>
                <w:b w:val="false"/>
                <w:bCs w:val="false"/>
              </w:rPr>
              <w:t xml:space="preserve">–</w:t>
            </w:r>
          </w:p>
        </w:tc>
      </w:tr>
    </w:tbl>
    <w:p>
      <w:pPr>
        <w:pStyle w:val="Heading1"/>
      </w:pPr>
      <w:r>
        <w:t xml:space="preserve">Poznámky Úč MÚJ 3 – 01</w:t>
      </w:r>
    </w:p>
    <w:p>
      <w:pPr>
        <w:pStyle w:val="Heading2"/>
      </w:pPr>
      <w:r>
        <w:t xml:space="preserve">Čl. I – Všeobecné údaje</w:t>
      </w:r>
    </w:p>
    <w:p>
      <w:pPr>
        <w:spacing w:after="80"/>
      </w:pPr>
      <w:r>
        <w:rPr>
          <w:b w:val="false"/>
          <w:bCs w:val="false"/>
        </w:rPr>
        <w:t xml:space="preserve">Obchodné meno: Elite Coach Agency s. r. o. Sídlo: Námestie slobody 1476/12, 034 01 Ružomberok. IČO: 56 930 283. DIČ: 2122509884. Právna forma: spoločnosť s ručením obmedzeným.</w:t>
      </w:r>
    </w:p>
    <w:p>
      <w:pPr>
        <w:spacing w:after="80"/>
      </w:pPr>
      <w:r>
        <w:rPr>
          <w:b w:val="false"/>
          <w:bCs w:val="false"/>
        </w:rPr>
        <w:t xml:space="preserve">Spoločnosť vznikla 30. 4. 2025 zápisom do obchodného registra Okresného súdu Žilina, oddiel Sro, vložka č. 87634/L. Účtovné obdobie 2025 je prvým účtovným obdobím spoločnosti.</w:t>
      </w:r>
    </w:p>
    <w:p>
      <w:pPr>
        <w:spacing w:after="80"/>
      </w:pPr>
      <w:r>
        <w:rPr>
          <w:b w:val="false"/>
          <w:bCs w:val="false"/>
        </w:rPr>
        <w:t xml:space="preserve">Hlavný predmet činnosti: reklamné, marketingové a počítačové služby. Spoločnosť nie je platiteľom DPH.</w:t>
      </w:r>
    </w:p>
    <w:p>
      <w:pPr>
        <w:spacing w:after="80"/>
      </w:pPr>
      <w:r>
        <w:rPr>
          <w:b w:val="false"/>
          <w:bCs w:val="false"/>
        </w:rPr>
        <w:t xml:space="preserve">Priemerný prepočítaný počet zamestnancov počas účtovného obdobia: 0. Spoločnosť spĺňa podmienky mikro účtovnej jednotky podľa § 2 ods. 6 zákona č. 431/2002 Z. z. o účtovníctve a rozhodla sa účtovať a zostaviť účtovnú závierku ako mikro účtovná jednotka.</w:t>
      </w:r>
    </w:p>
    <w:p>
      <w:pPr>
        <w:spacing w:after="80"/>
      </w:pPr>
      <w:r>
        <w:rPr>
          <w:b w:val="false"/>
          <w:bCs w:val="false"/>
        </w:rPr>
        <w:t xml:space="preserve">Účtovná závierka je zostavená za predpokladu nepretržitého pokračovania činnosti účtovnej jednotky.</w:t>
      </w:r>
    </w:p>
    <w:p>
      <w:pPr>
        <w:pStyle w:val="Heading2"/>
      </w:pPr>
      <w:r>
        <w:t xml:space="preserve">Čl. II – Účtovné zásady a metódy</w:t>
      </w:r>
    </w:p>
    <w:p>
      <w:pPr>
        <w:spacing w:after="80"/>
      </w:pPr>
      <w:r>
        <w:rPr>
          <w:b w:val="false"/>
          <w:bCs w:val="false"/>
        </w:rPr>
        <w:t xml:space="preserve">Účtovníctvo je vedené v sústave podvojného účtovníctva v súlade so zákonom č. 431/2002 Z. z. o účtovníctve a postupmi účtovania pre podnikateľov. Účtovná mena je euro.</w:t>
      </w:r>
    </w:p>
    <w:p>
      <w:pPr>
        <w:spacing w:after="80"/>
      </w:pPr>
      <w:r>
        <w:rPr>
          <w:b w:val="false"/>
          <w:bCs w:val="false"/>
        </w:rPr>
        <w:t xml:space="preserve">Pohľadávky a záväzky sú ocenené menovitou hodnotou. Peňažné prostriedky sú ocenené menovitou hodnotou. Opravné položky neboli tvorené. Spoločnosť neevidovala dlhodobý majetok, zásoby ani cudzomenné položky.</w:t>
      </w:r>
    </w:p>
    <w:p>
      <w:pPr>
        <w:pStyle w:val="Heading2"/>
      </w:pPr>
      <w:r>
        <w:t xml:space="preserve">Čl. III – Informácie k súvahe</w:t>
      </w:r>
    </w:p>
    <w:p>
      <w:pPr>
        <w:spacing w:after="80"/>
      </w:pPr>
      <w:r>
        <w:rPr>
          <w:b w:val="false"/>
          <w:bCs w:val="false"/>
        </w:rPr>
        <w:t xml:space="preserve">Krátkodobé pohľadávky 996,00 EUR predstavujú ostatnú pohľadávku voči spoločníkovi a konateľovi (účet 355) z titulu peňažných prostriedkov prevedených na jeho súkromný účet.</w:t>
      </w:r>
    </w:p>
    <w:p>
      <w:pPr>
        <w:spacing w:after="80"/>
      </w:pPr>
      <w:r>
        <w:rPr>
          <w:b w:val="false"/>
          <w:bCs w:val="false"/>
        </w:rPr>
        <w:t xml:space="preserve">Finančný majetok 15 000,02 EUR tvorí zostatok pokladnice (211) vo výške 15 000,00 EUR, zodpovedajúci splatenému vkladu do základného imania, a zostatok bankového účtu (221) vo výške 0,02 EUR.</w:t>
      </w:r>
    </w:p>
    <w:p>
      <w:pPr>
        <w:spacing w:after="80"/>
      </w:pPr>
      <w:r>
        <w:rPr>
          <w:b w:val="false"/>
          <w:bCs w:val="false"/>
        </w:rPr>
        <w:t xml:space="preserve">Vlastné imanie 15 896,42 EUR tvorí základné imanie 15 000,00 EUR (plne splatené) a výsledok hospodárenia za účtovné obdobie po zdanení 896,42 EUR. Zákonný rezervný fond bude vytvorený z čistého zisku roka 2025 na základe rozhodnutia jediného spoločníka.</w:t>
      </w:r>
    </w:p>
    <w:p>
      <w:pPr>
        <w:spacing w:after="80"/>
      </w:pPr>
      <w:r>
        <w:rPr>
          <w:b w:val="false"/>
          <w:bCs w:val="false"/>
        </w:rPr>
        <w:t xml:space="preserve">Záväzky 99,60 EUR predstavujú záväzok voči daňovému úradu z titulu dane z príjmov za rok 2025 (účet 341).</w:t>
      </w:r>
    </w:p>
    <w:p>
      <w:pPr>
        <w:pStyle w:val="Heading2"/>
      </w:pPr>
      <w:r>
        <w:t xml:space="preserve">Čl. IV – Informácie k výkazu ziskov a strát</w:t>
      </w:r>
    </w:p>
    <w:p>
      <w:pPr>
        <w:spacing w:after="80"/>
      </w:pPr>
      <w:r>
        <w:rPr>
          <w:b w:val="false"/>
          <w:bCs w:val="false"/>
        </w:rPr>
        <w:t xml:space="preserve">Výnosy 1 000,00 EUR predstavujú tržby za poskytnuté služby (účet 602) na základe dvoch vystavených faktúr. Náklady 3,98 EUR predstavujú daň z finančných transakcií (transakčnú daň, účet 538). Daň z príjmov za rok 2025 predstavuje 99,60 EUR.</w:t>
      </w:r>
    </w:p>
    <w:p>
      <w:pPr>
        <w:pStyle w:val="Heading2"/>
      </w:pPr>
      <w:r>
        <w:t xml:space="preserve">Čl. V – Iné údaje</w:t>
      </w:r>
    </w:p>
    <w:p>
      <w:pPr>
        <w:spacing w:after="80"/>
      </w:pPr>
      <w:r>
        <w:rPr>
          <w:b w:val="false"/>
          <w:bCs w:val="false"/>
        </w:rPr>
        <w:t xml:space="preserve">Zisk po zdanení 896,42 EUR sa navrhuje rozdeliť takto: 44,82 EUR do zákonného rezervného fondu (účet 421) a 851,60 EUR na nerozdelený zisk minulých rokov (účet 428). O rozdelení rozhoduje jediný spoločník.</w:t>
      </w:r>
    </w:p>
    <w:p>
      <w:pPr>
        <w:spacing w:after="80"/>
      </w:pPr>
      <w:r>
        <w:rPr>
          <w:b w:val="false"/>
          <w:bCs w:val="false"/>
        </w:rPr>
        <w:t xml:space="preserve">Spoločnosti nevznikli žiadne významné skutočnosti medzi dňom, ku ktorému sa zostavuje účtovná závierka, a dňom jej zostavenia.</w:t>
      </w:r>
    </w:p>
    <w:p>
      <w:r>
        <w:t xml:space="preserve"/>
      </w:r>
    </w:p>
    <w:p>
      <w:pPr>
        <w:spacing w:after="80"/>
      </w:pPr>
      <w:r>
        <w:rPr>
          <w:b w:val="false"/>
          <w:bCs w:val="false"/>
        </w:rPr>
        <w:t xml:space="preserve">Vypracoval a za vedenie účtovníctva zodpovedá: Matej Brišák, konateľ</w:t>
      </w:r>
    </w:p>
    <w:p>
      <w:pPr>
        <w:spacing w:after="80"/>
      </w:pPr>
      <w:r>
        <w:rPr>
          <w:b w:val="false"/>
          <w:bCs w:val="false"/>
        </w:rPr>
        <w:t xml:space="preserve">Podpis štatutárneho orgánu: ......................................................</w:t>
      </w:r>
    </w:p>
    <w:sectPr>
      <w:pgSz w:w="12240" w:h="15840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Arial" w:cs="Arial" w:eastAsia="Arial" w:hAnsi="Arial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color w:val="000000"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2026-06-27T16:08:07.880Z</dcterms:created>
  <dcterms:modified xsi:type="dcterms:W3CDTF">2026-06-27T16:08:07.880Z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