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endnotes+xml" PartName="/word/end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pBdr>
          <w:bottom w:val="single" w:color="000000" w:sz="4" w:space="1"/>
        </w:pBdr>
        <w:spacing w:after="120"/>
      </w:pPr>
      <w:r>
        <w:rPr>
          <w:sz w:val="16"/>
          <w:szCs w:val="16"/>
        </w:rPr>
        <w:t xml:space="preserve">Poznámky Úč MÚJ 3 - 01    IČO 55702490    DIČ 2122066353</w:t>
      </w:r>
    </w:p>
    <w:p>
      <w:pPr>
        <w:pStyle w:val="Heading1"/>
      </w:pPr>
      <w:r>
        <w:t xml:space="preserve">Článok I</w:t>
      </w:r>
    </w:p>
    <w:p>
      <w:pPr>
        <w:spacing w:after="160" w:before="40"/>
        <w:jc w:val="center"/>
      </w:pPr>
      <w:r>
        <w:rPr>
          <w:b/>
          <w:bCs/>
          <w:i w:val="false"/>
          <w:iCs w:val="false"/>
          <w:sz w:val="20"/>
          <w:szCs w:val="20"/>
        </w:rPr>
        <w:t xml:space="preserve">POZNÁMKY k účtovnej závierke mikro účtovnej jednotky k 31.12.2025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Všeobecné údaje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(1) Názov a sídlo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Obchodné meno (názov) účtovnej jednotky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PLOV s. r. o.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Sídlo účtovnej jednotky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6600"/>
        <w:gridCol w:w="3300"/>
      </w:tblGrid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Ulica a číslo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Kukučínova 22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PSČ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Názov obce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97401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Banská Bystrica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IČO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DIČ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55702490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2122066353</w:t>
            </w:r>
          </w:p>
        </w:tc>
      </w:tr>
    </w:tbl>
    <w:p>
      <w:pPr>
        <w:spacing w:after="40" w:before="160"/>
      </w:pPr>
      <w:r>
        <w:rPr>
          <w:b/>
          <w:bCs/>
          <w:i w:val="false"/>
          <w:iCs w:val="false"/>
          <w:sz w:val="20"/>
          <w:szCs w:val="20"/>
        </w:rPr>
        <w:t xml:space="preserve">(2) Údaje o konsolidovanom celku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a) Obchodné meno a sídlo konsolidujúcej účtovnej jednotky, ktorá zostavuje konsolidovanú účtovnú závierku za skupinu účtovných jednotiek konsolidovaného celku, ktorého súčasťou je aj účtovná jednotka</w:t>
      </w:r>
    </w:p>
    <w:p>
      <w:pPr>
        <w:spacing w:after="40" w:before="40"/>
      </w:pPr>
      <w:r>
        <w:rPr>
          <w:b w:val="false"/>
          <w:bCs w:val="false"/>
          <w:i/>
          <w:iCs/>
          <w:sz w:val="20"/>
          <w:szCs w:val="20"/>
        </w:rPr>
        <w:t xml:space="preserve">Účtovná jednotka nie je súčasťou konsolidovaného celku.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b) Informácie o oslobodení od zostavenia konsolidovanej účtovnej závierky</w:t>
      </w:r>
    </w:p>
    <w:p>
      <w:pPr>
        <w:spacing w:after="40" w:before="40"/>
      </w:pPr>
      <w:r>
        <w:rPr>
          <w:b w:val="false"/>
          <w:bCs w:val="false"/>
          <w:i/>
          <w:iCs/>
          <w:sz w:val="20"/>
          <w:szCs w:val="20"/>
        </w:rPr>
        <w:t xml:space="preserve">Účtovná jednotka nemá dcérske účtovné jednotky.</w:t>
      </w:r>
    </w:p>
    <w:p>
      <w:pPr>
        <w:spacing w:after="40" w:before="160"/>
      </w:pPr>
      <w:r>
        <w:rPr>
          <w:b/>
          <w:bCs/>
          <w:i w:val="false"/>
          <w:iCs w:val="false"/>
          <w:sz w:val="20"/>
          <w:szCs w:val="20"/>
        </w:rPr>
        <w:t xml:space="preserve">(3) Priemerný prepočítaný počet zamestnancov účtovnej jednotky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5500"/>
        <w:gridCol w:w="2200"/>
        <w:gridCol w:w="2200"/>
      </w:tblGrid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Názov položky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Bežné účtovné obdobie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Bezprostredne predchádzajúce obdobie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Priemerný prepočítaný počet zamestnancov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Stav zamestnancov ku dňu zostavenia závierky, z toho: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počet vedúcich zamestnancov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pStyle w:val="Heading1"/>
        <w:spacing w:before="240"/>
      </w:pPr>
      <w:r>
        <w:t xml:space="preserve">Článok II</w:t>
      </w:r>
    </w:p>
    <w:p>
      <w:pPr>
        <w:spacing w:after="120" w:before="40"/>
        <w:jc w:val="center"/>
      </w:pPr>
      <w:r>
        <w:rPr>
          <w:b/>
          <w:bCs/>
          <w:i w:val="false"/>
          <w:iCs w:val="false"/>
          <w:sz w:val="20"/>
          <w:szCs w:val="20"/>
        </w:rPr>
        <w:t xml:space="preserve">Informácie o prijatých postupoch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(1) Predpoklad nepretržitého pokračovania v činnosti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Účtovná závierka bola zostavená za predpokladu nepretržitého trvania spoločnosti.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(2) Spôsob oceňovania jednotlivých zložiek majetku a záväzkov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nehmotného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Účtovná jednotka oceňovala nakúpený dlhodobý nehmotný majetok cenou obstarania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hmotného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Účtovná jednotka oceňovala nakúpený dlhodobý hmotný majetok cenou obstarania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finančného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cenou obstarania pri nákupe a predaji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b) Oceňovanie zásob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Zásoby obstarané kúpou účtovná jednotka oceňovala obstarávacou cenou, ktorá zahrňuje cenu obstarania a náklady súvisiace s obstaraním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c) Oceňovanie pohľadávok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Pohľadávky sa pri ich vzniku oceňovali menovitou hodnotou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d) Oceňovanie krátkodobého finančného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Krátkodobý finančný majetok sa oceňoval menovitou hodnotou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e) Oceňovanie záväzkov, vrátane rezerv, dlhopisov, pôžičiek a úverov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Rezervy sa oceňovali v očakávanej výške záväzkov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Záväzky sa pri ich vzniku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Pôžičky sa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Dlhopisy sa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Úvery sa oceňovali menovitou hodnotou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(3) Spôsob zostavenia odpisového plánu pre dlhodobý majetok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tieto účtovné prípady sa v bežnom účtovnom období u účtovnej jednotky nevyskytli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(4) Významné zmeny účtovných zásad a účtovných metód</w:t>
      </w:r>
    </w:p>
    <w:p>
      <w:pPr>
        <w:spacing w:after="40" w:before="40"/>
      </w:pPr>
      <w:r>
        <w:rPr>
          <w:b w:val="false"/>
          <w:bCs w:val="false"/>
          <w:i/>
          <w:iCs/>
          <w:sz w:val="18"/>
          <w:szCs w:val="18"/>
        </w:rPr>
        <w:t xml:space="preserve">V bežnom účtovnom období nedošlo k zmenám účtovných zásad a metód.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(5) Informácie o poskytnutých dotáciách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00"/>
        <w:gridCol w:w="3300"/>
        <w:gridCol w:w="2300"/>
      </w:tblGrid>
      <w:tr>
        <w:tc>
          <w:tcPr>
            <w:tcW w:type="dxa" w:w="4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Majetok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Spôsob ocenenia</w:t>
            </w:r>
          </w:p>
        </w:tc>
        <w:tc>
          <w:tcPr>
            <w:tcW w:type="dxa" w:w="2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Výška dotácie</w:t>
            </w:r>
          </w:p>
        </w:tc>
      </w:tr>
      <w:tr>
        <w:tc>
          <w:tcPr>
            <w:tcW w:type="dxa" w:w="4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2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(6) Opravy významných chýb minulých účtovných období</w:t>
      </w:r>
    </w:p>
    <w:p>
      <w:pPr>
        <w:spacing w:after="40" w:before="40"/>
      </w:pPr>
      <w:r>
        <w:rPr>
          <w:b w:val="false"/>
          <w:bCs w:val="false"/>
          <w:i/>
          <w:iCs/>
          <w:sz w:val="18"/>
          <w:szCs w:val="18"/>
        </w:rPr>
        <w:t xml:space="preserve">V bežnom účtovnom období neboli účtované opravy významných chýb minulých účtovných období.</w:t>
      </w:r>
    </w:p>
    <w:sectPr>
      <w:pgSz w:w="11906" w:h="16838" w:orient="portrait"/>
      <w:pgMar w:top="1000" w:right="1000" w:bottom="1000" w:left="1000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pPr>
        <w:spacing w:after="0" w:line="240" w:lineRule="auto"/>
      </w:pPr>
      <w:r>
        <w:rPr>
          <w:rStyle w:val="EndnoteReference"/>
        </w:rPr>
        <w:endnoteRef/>
      </w:r>
      <w:r>
        <w:separator/>
      </w:r>
    </w:p>
  </w:endnote>
  <w:endnote w:type="continuationSeparator" w:id="0">
    <w:p>
      <w:pPr>
        <w:spacing w:after="0" w:line="240" w:lineRule="auto"/>
      </w:pPr>
      <w:r>
        <w:rPr>
          <w:rStyle w:val="EndnoteReference"/>
        </w:rPr>
        <w:endnoteRef/>
      </w: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name="compatibilityMode" w:uri="http://schemas.microsoft.com/office/word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cs="Arial" w:eastAsia="Arial" w:hAnsi="Arial"/>
        <w:sz w:val="20"/>
        <w:szCs w:val="20"/>
      </w:rPr>
    </w:rPrDefault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EndnoteTextChar">
    <w:name w:val="Endnote Text Char"/>
    <w:basedOn w:val="DefaultParagraphFont"/>
    <w:link w:val="EndnoteText"/>
    <w:uiPriority w:val="99"/>
    <w:semiHidden/>
    <w:unhideWhenUsed/>
    <w:rPr>
      <w:sz w:val="20"/>
      <w:szCs w:val="20"/>
    </w:rPr>
  </w:style>
  <w:style w:type="paragraph" w:styleId="Heading1">
    <w:name w:val="Heading 1"/>
    <w:basedOn w:val="Normal"/>
    <w:next w:val="Normal"/>
    <w:qFormat/>
    <w:pPr>
      <w:spacing w:after="120" w:before="200"/>
      <w:jc w:val="center"/>
      <w:outlineLvl w:val="0"/>
    </w:pPr>
    <w:rPr>
      <w:rFonts w:ascii="Arial" w:cs="Arial" w:eastAsia="Arial" w:hAnsi="Arial"/>
      <w:b/>
      <w:bCs/>
      <w:sz w:val="26"/>
      <w:szCs w:val="26"/>
    </w:rPr>
  </w:style>
  <w:style w:type="paragraph" w:styleId="Heading2">
    <w:name w:val="Heading 2"/>
    <w:basedOn w:val="Normal"/>
    <w:next w:val="Normal"/>
    <w:qFormat/>
    <w:pPr>
      <w:spacing w:after="80" w:before="160"/>
      <w:outlineLvl w:val="1"/>
    </w:pPr>
    <w:rPr>
      <w:rFonts w:ascii="Arial" w:cs="Arial" w:eastAsia="Arial" w:hAnsi="Arial"/>
      <w:b/>
      <w:bCs/>
      <w:sz w:val="22"/>
      <w:szCs w:val="22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endnotes" Target="endnotes.xml"/><Relationship Id="rId5" Type="http://schemas.openxmlformats.org/officeDocument/2006/relationships/settings" Target="settings.xml"/><Relationship Id="rId6" Type="http://schemas.openxmlformats.org/officeDocument/2006/relationships/comments" Target="comments.xml"/><Relationship Id="rId7" Type="http://schemas.openxmlformats.org/officeDocument/2006/relationships/fontTable" Target="fontTable.xml"/></Relationships>
</file>

<file path=word/_rels/endnotes.xml.rels><?xml version="1.0" encoding="UTF-8"?><Relationships xmlns="http://schemas.openxmlformats.org/package/2006/relationships"/>
</file>

<file path=word/_rels/fontTable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2026-06-30T17:18:05.205Z</dcterms:created>
  <dcterms:modified xsi:type="dcterms:W3CDTF">2026-06-30T17:18:05.220Z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