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1168D0" w14:textId="77777777" w:rsidR="007C1F89" w:rsidRDefault="00000000">
      <w:pPr>
        <w:pStyle w:val="MdHeading1"/>
      </w:pPr>
      <w:r>
        <w:t>Výročná správa za rok 2025</w:t>
      </w:r>
    </w:p>
    <w:p w14:paraId="62EEAAEF" w14:textId="77777777" w:rsidR="007C1F89" w:rsidRDefault="00000000">
      <w:pPr>
        <w:pStyle w:val="MdParagraph"/>
      </w:pPr>
      <w:r>
        <w:rPr>
          <w:rStyle w:val="MdStrong"/>
        </w:rPr>
        <w:t>Názov organizácie:</w:t>
      </w:r>
      <w:r>
        <w:t xml:space="preserve"> Lepší človek </w:t>
      </w:r>
      <w:proofErr w:type="spellStart"/>
      <w:r>
        <w:t>o.z</w:t>
      </w:r>
      <w:proofErr w:type="spellEnd"/>
      <w:r>
        <w:t>.</w:t>
      </w:r>
      <w:r>
        <w:rPr>
          <w:rStyle w:val="MdBr"/>
        </w:rPr>
        <w:br/>
      </w:r>
      <w:r>
        <w:rPr>
          <w:rStyle w:val="MdStrong"/>
        </w:rPr>
        <w:t>Sídlo:</w:t>
      </w:r>
      <w:r>
        <w:t xml:space="preserve"> Cintorínska 7669/12, 811 08 Bratislava – mestská časť Staré Mesto, Slovensko</w:t>
      </w:r>
      <w:r>
        <w:rPr>
          <w:rStyle w:val="MdBr"/>
        </w:rPr>
        <w:br/>
      </w:r>
      <w:r>
        <w:rPr>
          <w:rStyle w:val="MdStrong"/>
        </w:rPr>
        <w:t>IČO:</w:t>
      </w:r>
      <w:r>
        <w:t xml:space="preserve"> 53372522</w:t>
      </w:r>
      <w:r>
        <w:rPr>
          <w:rStyle w:val="MdBr"/>
        </w:rPr>
        <w:br/>
      </w:r>
      <w:r>
        <w:rPr>
          <w:rStyle w:val="MdStrong"/>
        </w:rPr>
        <w:t>DIČ:</w:t>
      </w:r>
      <w:r>
        <w:t xml:space="preserve"> 2121395562</w:t>
      </w:r>
      <w:r>
        <w:rPr>
          <w:rStyle w:val="MdBr"/>
        </w:rPr>
        <w:br/>
      </w:r>
      <w:r>
        <w:rPr>
          <w:rStyle w:val="MdStrong"/>
        </w:rPr>
        <w:t>Právna forma:</w:t>
      </w:r>
      <w:r>
        <w:t xml:space="preserve"> Občianske združenie (SK NACE: 94.99.2 – Činnosť záujmových organizácií)</w:t>
      </w:r>
      <w:r>
        <w:rPr>
          <w:rStyle w:val="MdBr"/>
        </w:rPr>
        <w:br/>
      </w:r>
      <w:r>
        <w:rPr>
          <w:rStyle w:val="MdStrong"/>
        </w:rPr>
        <w:t>Obdobie:</w:t>
      </w:r>
      <w:r>
        <w:t xml:space="preserve"> 1. január 2025 – 31. december 2025  </w:t>
      </w:r>
    </w:p>
    <w:p w14:paraId="79207594" w14:textId="77777777" w:rsidR="007C1F89" w:rsidRDefault="007C1F89">
      <w:pPr>
        <w:pStyle w:val="MdSpace"/>
        <w:spacing w:after="60"/>
      </w:pPr>
    </w:p>
    <w:p w14:paraId="6D4B980A" w14:textId="77777777" w:rsidR="007C1F89" w:rsidRDefault="007C1F89">
      <w:pPr>
        <w:pStyle w:val="MdHr"/>
        <w:pBdr>
          <w:bottom w:val="single" w:sz="6" w:space="1" w:color="auto"/>
        </w:pBdr>
      </w:pPr>
    </w:p>
    <w:p w14:paraId="0814996B" w14:textId="77777777" w:rsidR="007C1F89" w:rsidRDefault="007C1F89">
      <w:pPr>
        <w:pStyle w:val="MdSpace"/>
        <w:spacing w:after="60"/>
      </w:pPr>
    </w:p>
    <w:p w14:paraId="194E52FF" w14:textId="77777777" w:rsidR="007C1F89" w:rsidRDefault="00000000">
      <w:pPr>
        <w:pStyle w:val="MdHeading2"/>
      </w:pPr>
      <w:r>
        <w:t>1. Úvodné slovo štatutárneho orgánu a charakteristika organizácie</w:t>
      </w:r>
    </w:p>
    <w:p w14:paraId="6CD2D228" w14:textId="77777777" w:rsidR="007C1F89" w:rsidRDefault="00000000" w:rsidP="001B6665">
      <w:pPr>
        <w:pStyle w:val="MdParagraph"/>
        <w:jc w:val="both"/>
      </w:pPr>
      <w:r>
        <w:t xml:space="preserve">Občianske združenie </w:t>
      </w:r>
      <w:r>
        <w:rPr>
          <w:rStyle w:val="MdStrong"/>
        </w:rPr>
        <w:t xml:space="preserve">Lepší človek </w:t>
      </w:r>
      <w:proofErr w:type="spellStart"/>
      <w:r>
        <w:rPr>
          <w:rStyle w:val="MdStrong"/>
        </w:rPr>
        <w:t>o.z</w:t>
      </w:r>
      <w:proofErr w:type="spellEnd"/>
      <w:r>
        <w:rPr>
          <w:rStyle w:val="MdStrong"/>
        </w:rPr>
        <w:t>.</w:t>
      </w:r>
      <w:r>
        <w:t xml:space="preserve"> so sídlom v Bratislave pôsobí ako nezisková organizácia v oblasti činnosti záujmových organizácií. Jej hlavným cieľom je realizácia verejnoprospešných aktivít, podpora komunitných projektov a poskytovanie darov a pomoci v súlade s jej platnými stanovami. </w:t>
      </w:r>
    </w:p>
    <w:p w14:paraId="6ED53A58" w14:textId="77777777" w:rsidR="007C1F89" w:rsidRDefault="007C1F89" w:rsidP="001B6665">
      <w:pPr>
        <w:pStyle w:val="MdSpace"/>
        <w:spacing w:after="60"/>
        <w:jc w:val="both"/>
      </w:pPr>
    </w:p>
    <w:p w14:paraId="052C3EE1" w14:textId="77777777" w:rsidR="007C1F89" w:rsidRDefault="00000000" w:rsidP="001B6665">
      <w:pPr>
        <w:pStyle w:val="MdParagraph"/>
        <w:jc w:val="both"/>
      </w:pPr>
      <w:r>
        <w:t>Rok 2025 predstavoval pre združenie obdobie výraznej finančnej stabilizácie a rastu. Po náročnom roku 2024, ktorý bol ukončený stratou, sa organizácii podarilo dosiahnuť kladný výsledok hospodárenia a významne navýšiť svoje celkové aktíva. Združenie úspešne získavalo finančné prostriedky predovšetkým prostredníctvom inštitútu príspevkov z podielu zaplatenej dane (tzv. asignácia 2 % a 3 % dane) a prijatých darov od podporovateľov. Tieto prostriedky boli následne transparentne a efektívne využité na napĺňanie verejnoprospešných cieľov združenia.</w:t>
      </w:r>
    </w:p>
    <w:p w14:paraId="0D74E96D" w14:textId="77777777" w:rsidR="007C1F89" w:rsidRDefault="007C1F89" w:rsidP="001B6665">
      <w:pPr>
        <w:pStyle w:val="MdSpace"/>
        <w:spacing w:after="60"/>
        <w:jc w:val="both"/>
      </w:pPr>
    </w:p>
    <w:p w14:paraId="592BAA1A" w14:textId="77777777" w:rsidR="007C1F89" w:rsidRDefault="00000000" w:rsidP="001B6665">
      <w:pPr>
        <w:pStyle w:val="MdParagraph"/>
        <w:jc w:val="both"/>
      </w:pPr>
      <w:r>
        <w:t>Výročná správa za rok 2025 poskytuje komplexný a podrobný prehľad o hospodárení, štruktúre majetku a záväzkov, ako aj o celkovej finančnej situácii združenia v súlade so zákonom č. 431/2002 Z. z. o účtovníctve v znení neskorších predpisov a príslušnými slovenskými účtovnými a daňovými štandardmi.</w:t>
      </w:r>
    </w:p>
    <w:p w14:paraId="7B29876D" w14:textId="77777777" w:rsidR="007C1F89" w:rsidRDefault="007C1F89" w:rsidP="001B6665">
      <w:pPr>
        <w:pStyle w:val="MdSpace"/>
        <w:spacing w:after="60"/>
        <w:jc w:val="both"/>
      </w:pPr>
    </w:p>
    <w:p w14:paraId="033D5497" w14:textId="77777777" w:rsidR="007C1F89" w:rsidRDefault="00000000" w:rsidP="001B6665">
      <w:pPr>
        <w:pStyle w:val="MdParagraph"/>
        <w:jc w:val="both"/>
      </w:pPr>
      <w:r>
        <w:t>Vzhľadom na to, že príjmy z podielu zaplatenej dane presiahli v roku 2025 hranicu 35 000 EUR, vznikla organizácii v zmysle § 19 ods. 4 zákona o účtovníctve zákonná povinnosť auditu účtovnej závierky a výročnej správy, ako aj povinnosť uložiť výročnú správu do verejnej časti registra účtovných závierok.</w:t>
      </w:r>
    </w:p>
    <w:p w14:paraId="62E2DF39" w14:textId="77777777" w:rsidR="007C1F89" w:rsidRDefault="007C1F89">
      <w:pPr>
        <w:pStyle w:val="MdSpace"/>
        <w:spacing w:after="60"/>
      </w:pPr>
    </w:p>
    <w:p w14:paraId="349A7AA8" w14:textId="77777777" w:rsidR="007C1F89" w:rsidRDefault="00000000">
      <w:pPr>
        <w:pStyle w:val="MdHeading2"/>
      </w:pPr>
      <w:r>
        <w:t>2. Podrobný prehľad hospodárenia v roku 2025</w:t>
      </w:r>
    </w:p>
    <w:p w14:paraId="25604D8F" w14:textId="77777777" w:rsidR="007C1F89" w:rsidRDefault="00000000" w:rsidP="001B6665">
      <w:pPr>
        <w:pStyle w:val="MdParagraph"/>
        <w:jc w:val="both"/>
      </w:pPr>
      <w:r>
        <w:t xml:space="preserve">Hospodárenie občianskeho združenia v roku 2025 skončilo s kladným výsledkom hospodárenia po zdanení vo výške </w:t>
      </w:r>
      <w:r>
        <w:rPr>
          <w:rStyle w:val="MdStrong"/>
        </w:rPr>
        <w:t>4 864,00 EUR</w:t>
      </w:r>
      <w:r>
        <w:t xml:space="preserve">. Tento výsledok predstavuje zásadný obrat </w:t>
      </w:r>
      <w:r>
        <w:lastRenderedPageBreak/>
        <w:t>v porovnaní s predchádzajúcim rokom 2024, v ktorom združenie vykázalo stratu vo výške -20 473,17 EUR.</w:t>
      </w:r>
    </w:p>
    <w:p w14:paraId="7A8C2835" w14:textId="77777777" w:rsidR="007C1F89" w:rsidRDefault="007C1F89">
      <w:pPr>
        <w:pStyle w:val="MdSpace"/>
        <w:spacing w:after="60"/>
      </w:pPr>
    </w:p>
    <w:p w14:paraId="6DEF8179" w14:textId="77777777" w:rsidR="007C1F89" w:rsidRDefault="00000000">
      <w:pPr>
        <w:pStyle w:val="MdParagraph"/>
      </w:pPr>
      <w:r>
        <w:rPr>
          <w:noProof/>
        </w:rPr>
        <w:drawing>
          <wp:inline distT="0" distB="0" distL="0" distR="0" wp14:anchorId="7BCE37AC" wp14:editId="313AB267">
            <wp:extent cx="5715000" cy="3219450"/>
            <wp:effectExtent l="0" t="0" r="0" b="0"/>
            <wp:docPr id="1" name="Vývoj VH" descr="Vývoj VH" title="Vývoj V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219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46E17E" w14:textId="77777777" w:rsidR="007C1F89" w:rsidRDefault="007C1F89">
      <w:pPr>
        <w:pStyle w:val="MdSpace"/>
        <w:spacing w:after="60"/>
      </w:pPr>
    </w:p>
    <w:p w14:paraId="72454CDA" w14:textId="77777777" w:rsidR="007C1F89" w:rsidRDefault="00000000">
      <w:pPr>
        <w:pStyle w:val="MdHeading3"/>
      </w:pPr>
      <w:r>
        <w:t>2.1. Výnosy organizácie</w:t>
      </w:r>
    </w:p>
    <w:p w14:paraId="67A23C3B" w14:textId="77777777" w:rsidR="007C1F89" w:rsidRDefault="00000000" w:rsidP="001B6665">
      <w:pPr>
        <w:pStyle w:val="MdParagraph"/>
        <w:jc w:val="both"/>
      </w:pPr>
      <w:r>
        <w:t xml:space="preserve">Celkové výnosy združenia v roku 2025 (podľa obratov na účtovej triede 6 z hlavnej knihy) dosiahli výšku </w:t>
      </w:r>
      <w:r>
        <w:rPr>
          <w:rStyle w:val="MdStrong"/>
        </w:rPr>
        <w:t>44 325,93 EUR</w:t>
      </w:r>
      <w:r>
        <w:t>. Hlavným a strategickým zdrojom financovania boli príspevky z podielu zaplatenej dane, ktoré tvorili drvivú väčšinu príjmov organizácie.</w:t>
      </w:r>
    </w:p>
    <w:p w14:paraId="55ED9925" w14:textId="77777777" w:rsidR="007C1F89" w:rsidRDefault="007C1F89">
      <w:pPr>
        <w:pStyle w:val="MdSpace"/>
        <w:spacing w:after="60"/>
      </w:pPr>
    </w:p>
    <w:tbl>
      <w:tblPr>
        <w:tblW w:w="5000" w:type="pct"/>
        <w:tblBorders>
          <w:top w:val="single" w:sz="4" w:space="0" w:color="E1E4E8"/>
          <w:bottom w:val="single" w:sz="4" w:space="0" w:color="E1E4E8"/>
          <w:insideH w:val="single" w:sz="2" w:space="0" w:color="E1E4E8"/>
          <w:insideV w:val="single" w:sz="2" w:space="0" w:color="F6F8FA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7"/>
        <w:gridCol w:w="4637"/>
        <w:gridCol w:w="1851"/>
        <w:gridCol w:w="1601"/>
      </w:tblGrid>
      <w:tr w:rsidR="007C1F89" w14:paraId="72659001" w14:textId="77777777">
        <w:tblPrEx>
          <w:tblCellMar>
            <w:top w:w="0" w:type="dxa"/>
            <w:bottom w:w="0" w:type="dxa"/>
          </w:tblCellMar>
        </w:tblPrEx>
        <w:trPr>
          <w:cantSplit/>
          <w:trHeight w:val="720"/>
          <w:tblHeader/>
        </w:trPr>
        <w:tc>
          <w:tcPr>
            <w:tcW w:w="0" w:type="auto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171907FF" w14:textId="77777777" w:rsidR="007C1F89" w:rsidRDefault="00000000">
            <w:pPr>
              <w:pStyle w:val="MdTableHeader"/>
            </w:pPr>
            <w:r>
              <w:t>Účet</w:t>
            </w:r>
          </w:p>
        </w:tc>
        <w:tc>
          <w:tcPr>
            <w:tcW w:w="0" w:type="auto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3654762A" w14:textId="77777777" w:rsidR="007C1F89" w:rsidRDefault="00000000">
            <w:pPr>
              <w:pStyle w:val="MdTableHeader"/>
            </w:pPr>
            <w:r>
              <w:t>Druh výnosu</w:t>
            </w:r>
          </w:p>
        </w:tc>
        <w:tc>
          <w:tcPr>
            <w:tcW w:w="0" w:type="auto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6145E965" w14:textId="77777777" w:rsidR="007C1F89" w:rsidRDefault="00000000">
            <w:pPr>
              <w:pStyle w:val="MdTableHeader"/>
            </w:pPr>
            <w:r>
              <w:t>Suma (EUR)</w:t>
            </w:r>
          </w:p>
        </w:tc>
        <w:tc>
          <w:tcPr>
            <w:tcW w:w="0" w:type="auto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5217B41D" w14:textId="77777777" w:rsidR="007C1F89" w:rsidRDefault="00000000">
            <w:pPr>
              <w:pStyle w:val="MdTableHeader"/>
            </w:pPr>
            <w:r>
              <w:t>Podiel (%)</w:t>
            </w:r>
          </w:p>
        </w:tc>
      </w:tr>
      <w:tr w:rsidR="007C1F89" w14:paraId="6E6EC508" w14:textId="77777777">
        <w:tblPrEx>
          <w:tblCellMar>
            <w:top w:w="0" w:type="dxa"/>
            <w:bottom w:w="0" w:type="dxa"/>
          </w:tblCellMar>
        </w:tblPrEx>
        <w:trPr>
          <w:cantSplit/>
          <w:trHeight w:val="576"/>
        </w:trPr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D525D8A" w14:textId="77777777" w:rsidR="007C1F89" w:rsidRDefault="00000000">
            <w:pPr>
              <w:pStyle w:val="MdTableCell"/>
            </w:pPr>
            <w:r>
              <w:t>665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BDB559F" w14:textId="77777777" w:rsidR="007C1F89" w:rsidRDefault="00000000">
            <w:pPr>
              <w:pStyle w:val="MdTableCell"/>
            </w:pPr>
            <w:r>
              <w:t>Príspevky z podielu zaplatenej dane (2 %)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8706A1C" w14:textId="77777777" w:rsidR="007C1F89" w:rsidRDefault="00000000">
            <w:pPr>
              <w:pStyle w:val="MdTableCell"/>
            </w:pPr>
            <w:r>
              <w:t>39 481,93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BA39A9A" w14:textId="77777777" w:rsidR="007C1F89" w:rsidRDefault="00000000">
            <w:pPr>
              <w:pStyle w:val="MdTableCell"/>
            </w:pPr>
            <w:r>
              <w:t>89,07 %</w:t>
            </w:r>
          </w:p>
        </w:tc>
      </w:tr>
      <w:tr w:rsidR="007C1F89" w14:paraId="36A7D7B2" w14:textId="77777777">
        <w:tblPrEx>
          <w:tblCellMar>
            <w:top w:w="0" w:type="dxa"/>
            <w:bottom w:w="0" w:type="dxa"/>
          </w:tblCellMar>
        </w:tblPrEx>
        <w:trPr>
          <w:cantSplit/>
          <w:trHeight w:val="576"/>
        </w:trPr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A89C1DD" w14:textId="77777777" w:rsidR="007C1F89" w:rsidRDefault="00000000">
            <w:pPr>
              <w:pStyle w:val="MdTableCell"/>
            </w:pPr>
            <w:r>
              <w:t>646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1DEFBCD" w14:textId="77777777" w:rsidR="007C1F89" w:rsidRDefault="00000000">
            <w:pPr>
              <w:pStyle w:val="MdTableCell"/>
            </w:pPr>
            <w:r>
              <w:t>Prijaté dary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26EAA02" w14:textId="77777777" w:rsidR="007C1F89" w:rsidRDefault="00000000">
            <w:pPr>
              <w:pStyle w:val="MdTableCell"/>
            </w:pPr>
            <w:r>
              <w:t>4 844,00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A7CF3F5" w14:textId="77777777" w:rsidR="007C1F89" w:rsidRDefault="00000000">
            <w:pPr>
              <w:pStyle w:val="MdTableCell"/>
            </w:pPr>
            <w:r>
              <w:t>10,93 %</w:t>
            </w:r>
          </w:p>
        </w:tc>
      </w:tr>
      <w:tr w:rsidR="007C1F89" w14:paraId="3544E229" w14:textId="77777777">
        <w:tblPrEx>
          <w:tblCellMar>
            <w:top w:w="0" w:type="dxa"/>
            <w:bottom w:w="0" w:type="dxa"/>
          </w:tblCellMar>
        </w:tblPrEx>
        <w:trPr>
          <w:cantSplit/>
          <w:trHeight w:val="576"/>
        </w:trPr>
        <w:tc>
          <w:tcPr>
            <w:tcW w:w="0" w:type="auto"/>
            <w:tcBorders>
              <w:bottom w:val="single" w:sz="4" w:space="0" w:color="E1E4E8"/>
            </w:tcBorders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00A8B66" w14:textId="77777777" w:rsidR="007C1F89" w:rsidRDefault="00000000">
            <w:pPr>
              <w:pStyle w:val="MdTableCell"/>
            </w:pPr>
            <w:r>
              <w:rPr>
                <w:rStyle w:val="MdStrong"/>
              </w:rPr>
              <w:t>Spolu</w:t>
            </w:r>
          </w:p>
        </w:tc>
        <w:tc>
          <w:tcPr>
            <w:tcW w:w="0" w:type="auto"/>
            <w:tcBorders>
              <w:bottom w:val="single" w:sz="4" w:space="0" w:color="E1E4E8"/>
            </w:tcBorders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F92A9B1" w14:textId="77777777" w:rsidR="007C1F89" w:rsidRDefault="00000000">
            <w:pPr>
              <w:pStyle w:val="MdTableCell"/>
            </w:pPr>
            <w:r>
              <w:rPr>
                <w:rStyle w:val="MdStrong"/>
              </w:rPr>
              <w:t>Výnosy celkom</w:t>
            </w:r>
          </w:p>
        </w:tc>
        <w:tc>
          <w:tcPr>
            <w:tcW w:w="0" w:type="auto"/>
            <w:tcBorders>
              <w:bottom w:val="single" w:sz="4" w:space="0" w:color="E1E4E8"/>
            </w:tcBorders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884926B" w14:textId="77777777" w:rsidR="007C1F89" w:rsidRDefault="00000000">
            <w:pPr>
              <w:pStyle w:val="MdTableCell"/>
            </w:pPr>
            <w:r>
              <w:rPr>
                <w:rStyle w:val="MdStrong"/>
              </w:rPr>
              <w:t>44 325,93</w:t>
            </w:r>
          </w:p>
        </w:tc>
        <w:tc>
          <w:tcPr>
            <w:tcW w:w="0" w:type="auto"/>
            <w:tcBorders>
              <w:bottom w:val="single" w:sz="4" w:space="0" w:color="E1E4E8"/>
            </w:tcBorders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0F1BF4D" w14:textId="77777777" w:rsidR="007C1F89" w:rsidRDefault="00000000">
            <w:pPr>
              <w:pStyle w:val="MdTableCell"/>
            </w:pPr>
            <w:r>
              <w:rPr>
                <w:rStyle w:val="MdStrong"/>
              </w:rPr>
              <w:t>100,00 %</w:t>
            </w:r>
          </w:p>
        </w:tc>
      </w:tr>
    </w:tbl>
    <w:p w14:paraId="2EA51C08" w14:textId="77777777" w:rsidR="007C1F89" w:rsidRDefault="00000000" w:rsidP="001B6665">
      <w:pPr>
        <w:pStyle w:val="MdParagraph"/>
        <w:jc w:val="both"/>
      </w:pPr>
      <w:r>
        <w:rPr>
          <w:rStyle w:val="MdEm"/>
        </w:rPr>
        <w:t>Poznámka k časovému rozlíšeniu: V účtovnej závierke je časť príspevkov z 2 % vo výške 5 988,43 EUR zaúčtovaná ako výnosy budúcich období (účet 384) na použitie v nasledujúcom období. Preto sa celkové výnosy v oficiálnom výkaze ziskov a strát vykazujú vo výške 38 327,50 EUR. Na účely posúdenia limitu pre audit je však rozhodujúci celkový objem prijatých prostriedkov z podielu zaplatenej dane.</w:t>
      </w:r>
    </w:p>
    <w:p w14:paraId="0F313048" w14:textId="77777777" w:rsidR="007C1F89" w:rsidRDefault="007C1F89">
      <w:pPr>
        <w:pStyle w:val="MdSpace"/>
        <w:spacing w:after="60"/>
      </w:pPr>
    </w:p>
    <w:p w14:paraId="6D15F7AC" w14:textId="77777777" w:rsidR="007C1F89" w:rsidRDefault="00000000">
      <w:pPr>
        <w:pStyle w:val="MdParagraph"/>
      </w:pPr>
      <w:r>
        <w:rPr>
          <w:noProof/>
        </w:rPr>
        <w:lastRenderedPageBreak/>
        <w:drawing>
          <wp:inline distT="0" distB="0" distL="0" distR="0" wp14:anchorId="33DAE911" wp14:editId="702C0E3C">
            <wp:extent cx="3362325" cy="3810000"/>
            <wp:effectExtent l="0" t="0" r="0" b="0"/>
            <wp:docPr id="1199579585" name="Štruktúra výnosov" descr="Štruktúra výnosov" title="Štruktúra výnos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2325" cy="381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CB6031" w14:textId="77777777" w:rsidR="007C1F89" w:rsidRDefault="007C1F89">
      <w:pPr>
        <w:pStyle w:val="MdSpace"/>
        <w:spacing w:after="60"/>
      </w:pPr>
    </w:p>
    <w:p w14:paraId="5B36286B" w14:textId="77777777" w:rsidR="007C1F89" w:rsidRDefault="00000000">
      <w:pPr>
        <w:pStyle w:val="MdHeading3"/>
      </w:pPr>
      <w:r>
        <w:t>2.2. Náklady organizácie</w:t>
      </w:r>
    </w:p>
    <w:p w14:paraId="47B96B02" w14:textId="77777777" w:rsidR="007C1F89" w:rsidRDefault="00000000" w:rsidP="001B6665">
      <w:pPr>
        <w:pStyle w:val="MdParagraph"/>
        <w:jc w:val="both"/>
      </w:pPr>
      <w:r>
        <w:t xml:space="preserve">Celkové náklady združenia v roku 2025 predstavovali </w:t>
      </w:r>
      <w:r>
        <w:rPr>
          <w:rStyle w:val="MdStrong"/>
        </w:rPr>
        <w:t>33 463,50 EUR</w:t>
      </w:r>
      <w:r>
        <w:t>. Združenie vynakladalo prostriedky predovšetkým na nákup služieb nevyhnutných pre svoju činnosť a na poskytovanie darov tretím stranám v rámci napĺňania svojich cieľov.</w:t>
      </w:r>
    </w:p>
    <w:p w14:paraId="2F4B1946" w14:textId="77777777" w:rsidR="007C1F89" w:rsidRDefault="007C1F89">
      <w:pPr>
        <w:pStyle w:val="MdSpace"/>
        <w:spacing w:after="60"/>
      </w:pPr>
    </w:p>
    <w:tbl>
      <w:tblPr>
        <w:tblW w:w="5000" w:type="pct"/>
        <w:tblBorders>
          <w:top w:val="single" w:sz="4" w:space="0" w:color="E1E4E8"/>
          <w:bottom w:val="single" w:sz="4" w:space="0" w:color="E1E4E8"/>
          <w:insideH w:val="single" w:sz="2" w:space="0" w:color="E1E4E8"/>
          <w:insideV w:val="single" w:sz="2" w:space="0" w:color="F6F8FA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4"/>
        <w:gridCol w:w="4502"/>
        <w:gridCol w:w="1909"/>
        <w:gridCol w:w="1651"/>
      </w:tblGrid>
      <w:tr w:rsidR="007C1F89" w14:paraId="388354A3" w14:textId="77777777">
        <w:tblPrEx>
          <w:tblCellMar>
            <w:top w:w="0" w:type="dxa"/>
            <w:bottom w:w="0" w:type="dxa"/>
          </w:tblCellMar>
        </w:tblPrEx>
        <w:trPr>
          <w:cantSplit/>
          <w:trHeight w:val="720"/>
          <w:tblHeader/>
        </w:trPr>
        <w:tc>
          <w:tcPr>
            <w:tcW w:w="0" w:type="auto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6F155B55" w14:textId="77777777" w:rsidR="007C1F89" w:rsidRDefault="00000000">
            <w:pPr>
              <w:pStyle w:val="MdTableHeader"/>
            </w:pPr>
            <w:r>
              <w:t>Účet</w:t>
            </w:r>
          </w:p>
        </w:tc>
        <w:tc>
          <w:tcPr>
            <w:tcW w:w="0" w:type="auto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215DC1F8" w14:textId="77777777" w:rsidR="007C1F89" w:rsidRDefault="00000000">
            <w:pPr>
              <w:pStyle w:val="MdTableHeader"/>
            </w:pPr>
            <w:r>
              <w:t>Druh nákladu</w:t>
            </w:r>
          </w:p>
        </w:tc>
        <w:tc>
          <w:tcPr>
            <w:tcW w:w="0" w:type="auto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24E704C3" w14:textId="77777777" w:rsidR="007C1F89" w:rsidRDefault="00000000">
            <w:pPr>
              <w:pStyle w:val="MdTableHeader"/>
            </w:pPr>
            <w:r>
              <w:t>Suma (EUR)</w:t>
            </w:r>
          </w:p>
        </w:tc>
        <w:tc>
          <w:tcPr>
            <w:tcW w:w="0" w:type="auto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4DAE731F" w14:textId="77777777" w:rsidR="007C1F89" w:rsidRDefault="00000000">
            <w:pPr>
              <w:pStyle w:val="MdTableHeader"/>
            </w:pPr>
            <w:r>
              <w:t>Podiel (%)</w:t>
            </w:r>
          </w:p>
        </w:tc>
      </w:tr>
      <w:tr w:rsidR="007C1F89" w14:paraId="3389B563" w14:textId="77777777">
        <w:tblPrEx>
          <w:tblCellMar>
            <w:top w:w="0" w:type="dxa"/>
            <w:bottom w:w="0" w:type="dxa"/>
          </w:tblCellMar>
        </w:tblPrEx>
        <w:trPr>
          <w:cantSplit/>
          <w:trHeight w:val="576"/>
        </w:trPr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152CC08" w14:textId="77777777" w:rsidR="007C1F89" w:rsidRDefault="00000000">
            <w:pPr>
              <w:pStyle w:val="MdTableCell"/>
            </w:pPr>
            <w:r>
              <w:t>518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06A0815" w14:textId="77777777" w:rsidR="007C1F89" w:rsidRDefault="00000000">
            <w:pPr>
              <w:pStyle w:val="MdTableCell"/>
            </w:pPr>
            <w:r>
              <w:t>Ostatné služby spojené s činnosťou OZ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EC4B171" w14:textId="77777777" w:rsidR="007C1F89" w:rsidRDefault="00000000">
            <w:pPr>
              <w:pStyle w:val="MdTableCell"/>
            </w:pPr>
            <w:r>
              <w:t>17 480,00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AD83582" w14:textId="77777777" w:rsidR="007C1F89" w:rsidRDefault="00000000">
            <w:pPr>
              <w:pStyle w:val="MdTableCell"/>
            </w:pPr>
            <w:r>
              <w:t>52,24 %</w:t>
            </w:r>
          </w:p>
        </w:tc>
      </w:tr>
      <w:tr w:rsidR="007C1F89" w14:paraId="25779DA3" w14:textId="77777777">
        <w:tblPrEx>
          <w:tblCellMar>
            <w:top w:w="0" w:type="dxa"/>
            <w:bottom w:w="0" w:type="dxa"/>
          </w:tblCellMar>
        </w:tblPrEx>
        <w:trPr>
          <w:cantSplit/>
          <w:trHeight w:val="576"/>
        </w:trPr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50065CA" w14:textId="77777777" w:rsidR="007C1F89" w:rsidRDefault="00000000">
            <w:pPr>
              <w:pStyle w:val="MdTableCell"/>
            </w:pPr>
            <w:r>
              <w:t>546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B4DD385" w14:textId="77777777" w:rsidR="007C1F89" w:rsidRDefault="00000000">
            <w:pPr>
              <w:pStyle w:val="MdTableCell"/>
            </w:pPr>
            <w:r>
              <w:t>Poskytnuté dary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3B866B1" w14:textId="77777777" w:rsidR="007C1F89" w:rsidRDefault="00000000">
            <w:pPr>
              <w:pStyle w:val="MdTableCell"/>
            </w:pPr>
            <w:r>
              <w:t>15 894,50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44851D1" w14:textId="77777777" w:rsidR="007C1F89" w:rsidRDefault="00000000">
            <w:pPr>
              <w:pStyle w:val="MdTableCell"/>
            </w:pPr>
            <w:r>
              <w:t>47,50 %</w:t>
            </w:r>
          </w:p>
        </w:tc>
      </w:tr>
      <w:tr w:rsidR="007C1F89" w14:paraId="3900234F" w14:textId="77777777">
        <w:tblPrEx>
          <w:tblCellMar>
            <w:top w:w="0" w:type="dxa"/>
            <w:bottom w:w="0" w:type="dxa"/>
          </w:tblCellMar>
        </w:tblPrEx>
        <w:trPr>
          <w:cantSplit/>
          <w:trHeight w:val="576"/>
        </w:trPr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8E74077" w14:textId="77777777" w:rsidR="007C1F89" w:rsidRDefault="00000000">
            <w:pPr>
              <w:pStyle w:val="MdTableCell"/>
            </w:pPr>
            <w:r>
              <w:t>549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AA115A8" w14:textId="77777777" w:rsidR="007C1F89" w:rsidRDefault="00000000">
            <w:pPr>
              <w:pStyle w:val="MdTableCell"/>
            </w:pPr>
            <w:r>
              <w:t>Iné ostatné náklady (bankové poplatky)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0C8B4C1" w14:textId="77777777" w:rsidR="007C1F89" w:rsidRDefault="00000000">
            <w:pPr>
              <w:pStyle w:val="MdTableCell"/>
            </w:pPr>
            <w:r>
              <w:t>84,00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ECB5170" w14:textId="77777777" w:rsidR="007C1F89" w:rsidRDefault="00000000">
            <w:pPr>
              <w:pStyle w:val="MdTableCell"/>
            </w:pPr>
            <w:r>
              <w:t>0,25 %</w:t>
            </w:r>
          </w:p>
        </w:tc>
      </w:tr>
      <w:tr w:rsidR="007C1F89" w14:paraId="2C087849" w14:textId="77777777">
        <w:tblPrEx>
          <w:tblCellMar>
            <w:top w:w="0" w:type="dxa"/>
            <w:bottom w:w="0" w:type="dxa"/>
          </w:tblCellMar>
        </w:tblPrEx>
        <w:trPr>
          <w:cantSplit/>
          <w:trHeight w:val="576"/>
        </w:trPr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5575D92" w14:textId="77777777" w:rsidR="007C1F89" w:rsidRDefault="00000000">
            <w:pPr>
              <w:pStyle w:val="MdTableCell"/>
            </w:pPr>
            <w:r>
              <w:t>538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3AD9C02" w14:textId="77777777" w:rsidR="007C1F89" w:rsidRDefault="00000000">
            <w:pPr>
              <w:pStyle w:val="MdTableCell"/>
            </w:pPr>
            <w:r>
              <w:t>Ostatné dane a poplatky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646B6C5" w14:textId="77777777" w:rsidR="007C1F89" w:rsidRDefault="00000000">
            <w:pPr>
              <w:pStyle w:val="MdTableCell"/>
            </w:pPr>
            <w:r>
              <w:t>5,00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1DE6653" w14:textId="77777777" w:rsidR="007C1F89" w:rsidRDefault="00000000">
            <w:pPr>
              <w:pStyle w:val="MdTableCell"/>
            </w:pPr>
            <w:r>
              <w:t>0,01 %</w:t>
            </w:r>
          </w:p>
        </w:tc>
      </w:tr>
      <w:tr w:rsidR="007C1F89" w14:paraId="728297D4" w14:textId="77777777">
        <w:tblPrEx>
          <w:tblCellMar>
            <w:top w:w="0" w:type="dxa"/>
            <w:bottom w:w="0" w:type="dxa"/>
          </w:tblCellMar>
        </w:tblPrEx>
        <w:trPr>
          <w:cantSplit/>
          <w:trHeight w:val="576"/>
        </w:trPr>
        <w:tc>
          <w:tcPr>
            <w:tcW w:w="0" w:type="auto"/>
            <w:tcBorders>
              <w:bottom w:val="single" w:sz="4" w:space="0" w:color="E1E4E8"/>
            </w:tcBorders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BFB6534" w14:textId="77777777" w:rsidR="007C1F89" w:rsidRDefault="00000000">
            <w:pPr>
              <w:pStyle w:val="MdTableCell"/>
            </w:pPr>
            <w:r>
              <w:rPr>
                <w:rStyle w:val="MdStrong"/>
              </w:rPr>
              <w:t>Spolu</w:t>
            </w:r>
          </w:p>
        </w:tc>
        <w:tc>
          <w:tcPr>
            <w:tcW w:w="0" w:type="auto"/>
            <w:tcBorders>
              <w:bottom w:val="single" w:sz="4" w:space="0" w:color="E1E4E8"/>
            </w:tcBorders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666702E" w14:textId="77777777" w:rsidR="007C1F89" w:rsidRDefault="00000000">
            <w:pPr>
              <w:pStyle w:val="MdTableCell"/>
            </w:pPr>
            <w:r>
              <w:rPr>
                <w:rStyle w:val="MdStrong"/>
              </w:rPr>
              <w:t>Náklady celkom</w:t>
            </w:r>
          </w:p>
        </w:tc>
        <w:tc>
          <w:tcPr>
            <w:tcW w:w="0" w:type="auto"/>
            <w:tcBorders>
              <w:bottom w:val="single" w:sz="4" w:space="0" w:color="E1E4E8"/>
            </w:tcBorders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2EA6AF4" w14:textId="77777777" w:rsidR="007C1F89" w:rsidRDefault="00000000">
            <w:pPr>
              <w:pStyle w:val="MdTableCell"/>
            </w:pPr>
            <w:r>
              <w:rPr>
                <w:rStyle w:val="MdStrong"/>
              </w:rPr>
              <w:t>33 463,50</w:t>
            </w:r>
          </w:p>
        </w:tc>
        <w:tc>
          <w:tcPr>
            <w:tcW w:w="0" w:type="auto"/>
            <w:tcBorders>
              <w:bottom w:val="single" w:sz="4" w:space="0" w:color="E1E4E8"/>
            </w:tcBorders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615EF1A" w14:textId="77777777" w:rsidR="007C1F89" w:rsidRDefault="00000000">
            <w:pPr>
              <w:pStyle w:val="MdTableCell"/>
            </w:pPr>
            <w:r>
              <w:rPr>
                <w:rStyle w:val="MdStrong"/>
              </w:rPr>
              <w:t>100,00 %</w:t>
            </w:r>
          </w:p>
        </w:tc>
      </w:tr>
    </w:tbl>
    <w:p w14:paraId="170782A0" w14:textId="77777777" w:rsidR="007C1F89" w:rsidRDefault="00000000" w:rsidP="001B6665">
      <w:pPr>
        <w:pStyle w:val="MdParagraph"/>
        <w:jc w:val="both"/>
      </w:pPr>
      <w:r>
        <w:t xml:space="preserve">Z hľadiska medziročného porovnania došlo k poklesu celkových nákladov oproti roku 2024 (42 084,00 EUR). Tento pokles bol spôsobený najmä optimalizáciou a znížením objemu </w:t>
      </w:r>
      <w:r>
        <w:lastRenderedPageBreak/>
        <w:t>poskytnutých darov tretím stranám (z 42 000,00 EUR v roku 2024 na 15 894,50 EUR v roku 2025), čo prispelo k dosiahnutiu kladného hospodárskeho výsledku.</w:t>
      </w:r>
    </w:p>
    <w:p w14:paraId="162AE91A" w14:textId="77777777" w:rsidR="007C1F89" w:rsidRDefault="007C1F89">
      <w:pPr>
        <w:pStyle w:val="MdSpace"/>
        <w:spacing w:after="60"/>
      </w:pPr>
    </w:p>
    <w:p w14:paraId="073D4E09" w14:textId="77777777" w:rsidR="007C1F89" w:rsidRDefault="00000000">
      <w:pPr>
        <w:pStyle w:val="MdParagraph"/>
      </w:pPr>
      <w:r>
        <w:rPr>
          <w:noProof/>
        </w:rPr>
        <w:drawing>
          <wp:inline distT="0" distB="0" distL="0" distR="0" wp14:anchorId="652B0490" wp14:editId="3E5AF063">
            <wp:extent cx="4505325" cy="3810000"/>
            <wp:effectExtent l="0" t="0" r="0" b="0"/>
            <wp:docPr id="1668700882" name="Štruktúra nákladov" descr="Štruktúra nákladov" title="Štruktúra náklad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381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E75C9A" w14:textId="77777777" w:rsidR="007C1F89" w:rsidRDefault="007C1F89">
      <w:pPr>
        <w:pStyle w:val="MdSpace"/>
        <w:spacing w:after="60"/>
      </w:pPr>
    </w:p>
    <w:p w14:paraId="27D855AA" w14:textId="77777777" w:rsidR="007C1F89" w:rsidRDefault="00000000">
      <w:pPr>
        <w:pStyle w:val="MdHeading3"/>
      </w:pPr>
      <w:r>
        <w:t>2.3. Medziročné porovnanie a daňová povinnosť</w:t>
      </w:r>
    </w:p>
    <w:p w14:paraId="315B2CCE" w14:textId="77777777" w:rsidR="007C1F89" w:rsidRDefault="00000000" w:rsidP="001B6665">
      <w:pPr>
        <w:pStyle w:val="MdParagraph"/>
        <w:jc w:val="both"/>
      </w:pPr>
      <w:r>
        <w:t>Výrazný nárast výnosov spojený s racionálnym riadením nákladov zabezpečil finančnú stabilitu organizácie.</w:t>
      </w:r>
    </w:p>
    <w:p w14:paraId="11D2B0B5" w14:textId="77777777" w:rsidR="007C1F89" w:rsidRDefault="007C1F89">
      <w:pPr>
        <w:pStyle w:val="MdSpace"/>
        <w:spacing w:after="60"/>
      </w:pPr>
    </w:p>
    <w:p w14:paraId="5AD1C95F" w14:textId="77777777" w:rsidR="007C1F89" w:rsidRDefault="00000000">
      <w:pPr>
        <w:pStyle w:val="MdParagraph"/>
      </w:pPr>
      <w:r>
        <w:rPr>
          <w:noProof/>
        </w:rPr>
        <w:lastRenderedPageBreak/>
        <w:drawing>
          <wp:inline distT="0" distB="0" distL="0" distR="0" wp14:anchorId="41C4EB45" wp14:editId="3A827FB9">
            <wp:extent cx="5715000" cy="3524250"/>
            <wp:effectExtent l="0" t="0" r="0" b="0"/>
            <wp:docPr id="1587384011" name="Medziročné porovnanie" descr="Medziročné porovnanie" title="Medziročné porovna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524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273580" w14:textId="77777777" w:rsidR="007C1F89" w:rsidRDefault="007C1F89">
      <w:pPr>
        <w:pStyle w:val="MdSpace"/>
        <w:spacing w:after="60"/>
      </w:pPr>
    </w:p>
    <w:p w14:paraId="243C503C" w14:textId="77777777" w:rsidR="007C1F89" w:rsidRDefault="00000000" w:rsidP="001B6665">
      <w:pPr>
        <w:pStyle w:val="MdParagraph"/>
        <w:jc w:val="both"/>
      </w:pPr>
      <w:r>
        <w:t xml:space="preserve">Združenie podalo za rok 2025 daňové priznanie k dani z príjmov právnických osôb. Základ dane bol po úpravách o položky zvyšujúce a znižujúce výsledok hospodárenia vyčíslený na </w:t>
      </w:r>
      <w:r>
        <w:rPr>
          <w:rStyle w:val="MdStrong"/>
        </w:rPr>
        <w:t>0,00 EUR</w:t>
      </w:r>
      <w:r>
        <w:t xml:space="preserve">. Združenie v súlade so zákonom o dani z príjmov využilo oslobodenie príjmov, ktoré nie sú predmetom dane (prijaté dary a príspevky z podielu zaplatenej dane), v dôsledku čoho mu nevznikla daňová povinnosť. Daň na úhradu za rok 2025 je </w:t>
      </w:r>
      <w:r>
        <w:rPr>
          <w:rStyle w:val="MdStrong"/>
        </w:rPr>
        <w:t>0,00 EUR</w:t>
      </w:r>
      <w:r>
        <w:t>.</w:t>
      </w:r>
    </w:p>
    <w:p w14:paraId="38DED461" w14:textId="77777777" w:rsidR="007C1F89" w:rsidRDefault="007C1F89">
      <w:pPr>
        <w:pStyle w:val="MdSpace"/>
        <w:spacing w:after="60"/>
      </w:pPr>
    </w:p>
    <w:p w14:paraId="57866B1F" w14:textId="77777777" w:rsidR="007C1F89" w:rsidRDefault="00000000">
      <w:pPr>
        <w:pStyle w:val="MdHeading2"/>
      </w:pPr>
      <w:r>
        <w:t>3. Majetková a finančná situácia (Analýza Súvahy)</w:t>
      </w:r>
    </w:p>
    <w:p w14:paraId="5AC874F4" w14:textId="77777777" w:rsidR="007C1F89" w:rsidRDefault="00000000" w:rsidP="001B6665">
      <w:pPr>
        <w:pStyle w:val="MdParagraph"/>
        <w:jc w:val="both"/>
      </w:pPr>
      <w:r>
        <w:t xml:space="preserve">K 31. decembru 2025 disponovalo občianske združenie celkovým majetkom vo výške </w:t>
      </w:r>
      <w:r>
        <w:rPr>
          <w:rStyle w:val="MdStrong"/>
        </w:rPr>
        <w:t>12 740,87 EUR</w:t>
      </w:r>
      <w:r>
        <w:t>, čo predstavuje enormný nárast oproti stavu na konci roka 2024, kedy majetok dosahoval úroveň len 1 278,44 EUR.</w:t>
      </w:r>
    </w:p>
    <w:p w14:paraId="573B95AC" w14:textId="77777777" w:rsidR="007C1F89" w:rsidRDefault="007C1F89">
      <w:pPr>
        <w:pStyle w:val="MdSpace"/>
        <w:spacing w:after="60"/>
      </w:pPr>
    </w:p>
    <w:p w14:paraId="23E9C9F1" w14:textId="77777777" w:rsidR="007C1F89" w:rsidRDefault="00000000">
      <w:pPr>
        <w:pStyle w:val="MdHeading3"/>
      </w:pPr>
      <w:r>
        <w:t>3.1. Majetok (Aktíva)</w:t>
      </w:r>
    </w:p>
    <w:p w14:paraId="5AF4EFF3" w14:textId="77777777" w:rsidR="007C1F89" w:rsidRDefault="00000000" w:rsidP="001B6665">
      <w:pPr>
        <w:pStyle w:val="MdParagraph"/>
        <w:jc w:val="both"/>
      </w:pPr>
      <w:r>
        <w:t>Združenie neeviduje žiadny dlhodobý nehmotný, hmotný ani finančný majetok. Celý majetok organizácie tvorí vysoko likvidný obežný majetok, predovšetkým finančné prostriedky a krátkodobé pohľadávky.</w:t>
      </w:r>
    </w:p>
    <w:p w14:paraId="01A62F79" w14:textId="77777777" w:rsidR="007C1F89" w:rsidRDefault="007C1F89">
      <w:pPr>
        <w:pStyle w:val="MdSpace"/>
        <w:spacing w:after="60"/>
      </w:pPr>
    </w:p>
    <w:tbl>
      <w:tblPr>
        <w:tblW w:w="5000" w:type="pct"/>
        <w:tblBorders>
          <w:top w:val="single" w:sz="4" w:space="0" w:color="E1E4E8"/>
          <w:bottom w:val="single" w:sz="4" w:space="0" w:color="E1E4E8"/>
          <w:insideH w:val="single" w:sz="2" w:space="0" w:color="E1E4E8"/>
          <w:insideV w:val="single" w:sz="2" w:space="0" w:color="F6F8FA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64"/>
        <w:gridCol w:w="2481"/>
        <w:gridCol w:w="2481"/>
      </w:tblGrid>
      <w:tr w:rsidR="007C1F89" w14:paraId="7AE37753" w14:textId="77777777">
        <w:tblPrEx>
          <w:tblCellMar>
            <w:top w:w="0" w:type="dxa"/>
            <w:bottom w:w="0" w:type="dxa"/>
          </w:tblCellMar>
        </w:tblPrEx>
        <w:trPr>
          <w:cantSplit/>
          <w:trHeight w:val="720"/>
          <w:tblHeader/>
        </w:trPr>
        <w:tc>
          <w:tcPr>
            <w:tcW w:w="0" w:type="auto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5F77E18A" w14:textId="77777777" w:rsidR="007C1F89" w:rsidRDefault="00000000">
            <w:pPr>
              <w:pStyle w:val="MdTableHeader"/>
            </w:pPr>
            <w:r>
              <w:t>Položka aktív</w:t>
            </w:r>
          </w:p>
        </w:tc>
        <w:tc>
          <w:tcPr>
            <w:tcW w:w="0" w:type="auto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151447E6" w14:textId="77777777" w:rsidR="007C1F89" w:rsidRDefault="00000000">
            <w:pPr>
              <w:pStyle w:val="MdTableHeader"/>
            </w:pPr>
            <w:r>
              <w:t>Suma (EUR) k 31.12.2025</w:t>
            </w:r>
          </w:p>
        </w:tc>
        <w:tc>
          <w:tcPr>
            <w:tcW w:w="0" w:type="auto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4616FC8D" w14:textId="77777777" w:rsidR="007C1F89" w:rsidRDefault="00000000">
            <w:pPr>
              <w:pStyle w:val="MdTableHeader"/>
            </w:pPr>
            <w:r>
              <w:t>Suma (EUR) k 31.12.2024</w:t>
            </w:r>
          </w:p>
        </w:tc>
      </w:tr>
      <w:tr w:rsidR="007C1F89" w14:paraId="797C576B" w14:textId="77777777">
        <w:tblPrEx>
          <w:tblCellMar>
            <w:top w:w="0" w:type="dxa"/>
            <w:bottom w:w="0" w:type="dxa"/>
          </w:tblCellMar>
        </w:tblPrEx>
        <w:trPr>
          <w:cantSplit/>
          <w:trHeight w:val="576"/>
        </w:trPr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3659DA6" w14:textId="77777777" w:rsidR="007C1F89" w:rsidRDefault="00000000">
            <w:pPr>
              <w:pStyle w:val="MdTableCell"/>
            </w:pPr>
            <w:r>
              <w:t>Krátkodobé pohľadávky (Iné pohľadávky - účet 378)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C5D8B65" w14:textId="77777777" w:rsidR="007C1F89" w:rsidRDefault="00000000">
            <w:pPr>
              <w:pStyle w:val="MdTableCell"/>
            </w:pPr>
            <w:r>
              <w:t>6 660,00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BB99455" w14:textId="77777777" w:rsidR="007C1F89" w:rsidRDefault="00000000">
            <w:pPr>
              <w:pStyle w:val="MdTableCell"/>
            </w:pPr>
            <w:r>
              <w:t>0,00</w:t>
            </w:r>
          </w:p>
        </w:tc>
      </w:tr>
      <w:tr w:rsidR="007C1F89" w14:paraId="03423677" w14:textId="77777777">
        <w:tblPrEx>
          <w:tblCellMar>
            <w:top w:w="0" w:type="dxa"/>
            <w:bottom w:w="0" w:type="dxa"/>
          </w:tblCellMar>
        </w:tblPrEx>
        <w:trPr>
          <w:cantSplit/>
          <w:trHeight w:val="576"/>
        </w:trPr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2329C35" w14:textId="77777777" w:rsidR="007C1F89" w:rsidRDefault="00000000">
            <w:pPr>
              <w:pStyle w:val="MdTableCell"/>
            </w:pPr>
            <w:r>
              <w:lastRenderedPageBreak/>
              <w:t>Finančné účty (Pokladnica - účet 211)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A9F6C4D" w14:textId="77777777" w:rsidR="007C1F89" w:rsidRDefault="00000000">
            <w:pPr>
              <w:pStyle w:val="MdTableCell"/>
            </w:pPr>
            <w:r>
              <w:t>6 067,50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10AB804" w14:textId="77777777" w:rsidR="007C1F89" w:rsidRDefault="00000000">
            <w:pPr>
              <w:pStyle w:val="MdTableCell"/>
            </w:pPr>
            <w:r>
              <w:t>1 112,00</w:t>
            </w:r>
          </w:p>
        </w:tc>
      </w:tr>
      <w:tr w:rsidR="007C1F89" w14:paraId="5D678BA5" w14:textId="77777777">
        <w:tblPrEx>
          <w:tblCellMar>
            <w:top w:w="0" w:type="dxa"/>
            <w:bottom w:w="0" w:type="dxa"/>
          </w:tblCellMar>
        </w:tblPrEx>
        <w:trPr>
          <w:cantSplit/>
          <w:trHeight w:val="576"/>
        </w:trPr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E3031DF" w14:textId="77777777" w:rsidR="007C1F89" w:rsidRDefault="00000000">
            <w:pPr>
              <w:pStyle w:val="MdTableCell"/>
            </w:pPr>
            <w:r>
              <w:t>Finančné účty (Bankové účty - účet 221)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9F60C29" w14:textId="77777777" w:rsidR="007C1F89" w:rsidRDefault="00000000">
            <w:pPr>
              <w:pStyle w:val="MdTableCell"/>
            </w:pPr>
            <w:r>
              <w:t>13,37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F3D4AB3" w14:textId="77777777" w:rsidR="007C1F89" w:rsidRDefault="00000000">
            <w:pPr>
              <w:pStyle w:val="MdTableCell"/>
            </w:pPr>
            <w:r>
              <w:t>166,44</w:t>
            </w:r>
          </w:p>
        </w:tc>
      </w:tr>
      <w:tr w:rsidR="007C1F89" w14:paraId="0A171714" w14:textId="77777777">
        <w:tblPrEx>
          <w:tblCellMar>
            <w:top w:w="0" w:type="dxa"/>
            <w:bottom w:w="0" w:type="dxa"/>
          </w:tblCellMar>
        </w:tblPrEx>
        <w:trPr>
          <w:cantSplit/>
          <w:trHeight w:val="576"/>
        </w:trPr>
        <w:tc>
          <w:tcPr>
            <w:tcW w:w="0" w:type="auto"/>
            <w:tcBorders>
              <w:bottom w:val="single" w:sz="4" w:space="0" w:color="E1E4E8"/>
            </w:tcBorders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86511E1" w14:textId="77777777" w:rsidR="007C1F89" w:rsidRDefault="00000000">
            <w:pPr>
              <w:pStyle w:val="MdTableCell"/>
            </w:pPr>
            <w:r>
              <w:rPr>
                <w:rStyle w:val="MdStrong"/>
              </w:rPr>
              <w:t>Spolu aktíva</w:t>
            </w:r>
          </w:p>
        </w:tc>
        <w:tc>
          <w:tcPr>
            <w:tcW w:w="0" w:type="auto"/>
            <w:tcBorders>
              <w:bottom w:val="single" w:sz="4" w:space="0" w:color="E1E4E8"/>
            </w:tcBorders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86BD5E2" w14:textId="77777777" w:rsidR="007C1F89" w:rsidRDefault="00000000">
            <w:pPr>
              <w:pStyle w:val="MdTableCell"/>
            </w:pPr>
            <w:r>
              <w:rPr>
                <w:rStyle w:val="MdStrong"/>
              </w:rPr>
              <w:t>12 740,87</w:t>
            </w:r>
          </w:p>
        </w:tc>
        <w:tc>
          <w:tcPr>
            <w:tcW w:w="0" w:type="auto"/>
            <w:tcBorders>
              <w:bottom w:val="single" w:sz="4" w:space="0" w:color="E1E4E8"/>
            </w:tcBorders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BF8FD38" w14:textId="77777777" w:rsidR="007C1F89" w:rsidRDefault="00000000">
            <w:pPr>
              <w:pStyle w:val="MdTableCell"/>
            </w:pPr>
            <w:r>
              <w:rPr>
                <w:rStyle w:val="MdStrong"/>
              </w:rPr>
              <w:t>1 278,44</w:t>
            </w:r>
          </w:p>
        </w:tc>
      </w:tr>
    </w:tbl>
    <w:p w14:paraId="32DD038D" w14:textId="77777777" w:rsidR="007C1F89" w:rsidRDefault="00000000" w:rsidP="001B6665">
      <w:pPr>
        <w:pStyle w:val="MdParagraph"/>
        <w:jc w:val="both"/>
      </w:pPr>
      <w:r>
        <w:t>Vznik krátkodobých pohľadávok (6 660,00 EUR) súvisí s poskytnutými krátkodobými finančnými výpomocami alebo pôžičkami v rámci bežnej činnosti združenia.</w:t>
      </w:r>
    </w:p>
    <w:p w14:paraId="63DE1548" w14:textId="77777777" w:rsidR="007C1F89" w:rsidRDefault="007C1F89">
      <w:pPr>
        <w:pStyle w:val="MdSpace"/>
        <w:spacing w:after="60"/>
      </w:pPr>
    </w:p>
    <w:p w14:paraId="59E35BEC" w14:textId="77777777" w:rsidR="007C1F89" w:rsidRDefault="00000000">
      <w:pPr>
        <w:pStyle w:val="MdHeading3"/>
      </w:pPr>
      <w:r>
        <w:t>3.2. Zdroje krytia majetku (Pasíva)</w:t>
      </w:r>
    </w:p>
    <w:p w14:paraId="024A54BD" w14:textId="77777777" w:rsidR="007C1F89" w:rsidRDefault="00000000" w:rsidP="001B6665">
      <w:pPr>
        <w:pStyle w:val="MdParagraph"/>
        <w:jc w:val="both"/>
      </w:pPr>
      <w:r>
        <w:t>Majetok združenia je krytý z vlastných zdrojov (vlastné imanie), z cudzích zdrojov (záväzky) a z časového rozlíšenia.</w:t>
      </w:r>
    </w:p>
    <w:p w14:paraId="78A18EA1" w14:textId="77777777" w:rsidR="007C1F89" w:rsidRDefault="007C1F89">
      <w:pPr>
        <w:pStyle w:val="MdSpace"/>
        <w:spacing w:after="60"/>
      </w:pPr>
    </w:p>
    <w:tbl>
      <w:tblPr>
        <w:tblW w:w="5000" w:type="pct"/>
        <w:tblBorders>
          <w:top w:val="single" w:sz="4" w:space="0" w:color="E1E4E8"/>
          <w:bottom w:val="single" w:sz="4" w:space="0" w:color="E1E4E8"/>
          <w:insideH w:val="single" w:sz="2" w:space="0" w:color="E1E4E8"/>
          <w:insideV w:val="single" w:sz="2" w:space="0" w:color="F6F8FA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78"/>
        <w:gridCol w:w="2424"/>
        <w:gridCol w:w="2424"/>
      </w:tblGrid>
      <w:tr w:rsidR="007C1F89" w14:paraId="73140ABC" w14:textId="77777777">
        <w:tblPrEx>
          <w:tblCellMar>
            <w:top w:w="0" w:type="dxa"/>
            <w:bottom w:w="0" w:type="dxa"/>
          </w:tblCellMar>
        </w:tblPrEx>
        <w:trPr>
          <w:cantSplit/>
          <w:trHeight w:val="720"/>
          <w:tblHeader/>
        </w:trPr>
        <w:tc>
          <w:tcPr>
            <w:tcW w:w="0" w:type="auto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68E9AAA1" w14:textId="77777777" w:rsidR="007C1F89" w:rsidRDefault="00000000">
            <w:pPr>
              <w:pStyle w:val="MdTableHeader"/>
            </w:pPr>
            <w:r>
              <w:t>Položka pasív</w:t>
            </w:r>
          </w:p>
        </w:tc>
        <w:tc>
          <w:tcPr>
            <w:tcW w:w="0" w:type="auto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6743C1DF" w14:textId="77777777" w:rsidR="007C1F89" w:rsidRDefault="00000000">
            <w:pPr>
              <w:pStyle w:val="MdTableHeader"/>
            </w:pPr>
            <w:r>
              <w:t>Suma (EUR) k 31.12.2025</w:t>
            </w:r>
          </w:p>
        </w:tc>
        <w:tc>
          <w:tcPr>
            <w:tcW w:w="0" w:type="auto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2D716A9E" w14:textId="77777777" w:rsidR="007C1F89" w:rsidRDefault="00000000">
            <w:pPr>
              <w:pStyle w:val="MdTableHeader"/>
            </w:pPr>
            <w:r>
              <w:t>Suma (EUR) k 31.12.2024</w:t>
            </w:r>
          </w:p>
        </w:tc>
      </w:tr>
      <w:tr w:rsidR="007C1F89" w14:paraId="02A50BAA" w14:textId="77777777">
        <w:tblPrEx>
          <w:tblCellMar>
            <w:top w:w="0" w:type="dxa"/>
            <w:bottom w:w="0" w:type="dxa"/>
          </w:tblCellMar>
        </w:tblPrEx>
        <w:trPr>
          <w:cantSplit/>
          <w:trHeight w:val="576"/>
        </w:trPr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2ECB83E" w14:textId="77777777" w:rsidR="007C1F89" w:rsidRDefault="00000000">
            <w:pPr>
              <w:pStyle w:val="MdTableCell"/>
            </w:pPr>
            <w:r>
              <w:t>Vlastné imanie (</w:t>
            </w:r>
            <w:proofErr w:type="spellStart"/>
            <w:r>
              <w:t>Nevysporiadaný</w:t>
            </w:r>
            <w:proofErr w:type="spellEnd"/>
            <w:r>
              <w:t xml:space="preserve"> VH minulých rokov)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E651CBC" w14:textId="77777777" w:rsidR="007C1F89" w:rsidRDefault="00000000">
            <w:pPr>
              <w:pStyle w:val="MdTableCell"/>
            </w:pPr>
            <w:r>
              <w:t>928,44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80C1596" w14:textId="77777777" w:rsidR="007C1F89" w:rsidRDefault="00000000">
            <w:pPr>
              <w:pStyle w:val="MdTableCell"/>
            </w:pPr>
            <w:r>
              <w:t>21 401,61</w:t>
            </w:r>
          </w:p>
        </w:tc>
      </w:tr>
      <w:tr w:rsidR="007C1F89" w14:paraId="32CF488E" w14:textId="77777777">
        <w:tblPrEx>
          <w:tblCellMar>
            <w:top w:w="0" w:type="dxa"/>
            <w:bottom w:w="0" w:type="dxa"/>
          </w:tblCellMar>
        </w:tblPrEx>
        <w:trPr>
          <w:cantSplit/>
          <w:trHeight w:val="576"/>
        </w:trPr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0BD2917" w14:textId="77777777" w:rsidR="007C1F89" w:rsidRDefault="00000000">
            <w:pPr>
              <w:pStyle w:val="MdTableCell"/>
            </w:pPr>
            <w:r>
              <w:t>Vlastné imanie (VH za bežné účtovné obdobie)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3DE10E7" w14:textId="77777777" w:rsidR="007C1F89" w:rsidRDefault="00000000">
            <w:pPr>
              <w:pStyle w:val="MdTableCell"/>
            </w:pPr>
            <w:r>
              <w:t>4 864,00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93B4B94" w14:textId="77777777" w:rsidR="007C1F89" w:rsidRDefault="00000000">
            <w:pPr>
              <w:pStyle w:val="MdTableCell"/>
            </w:pPr>
            <w:r>
              <w:t>-20 473,17</w:t>
            </w:r>
          </w:p>
        </w:tc>
      </w:tr>
      <w:tr w:rsidR="007C1F89" w14:paraId="562B2FD5" w14:textId="77777777">
        <w:tblPrEx>
          <w:tblCellMar>
            <w:top w:w="0" w:type="dxa"/>
            <w:bottom w:w="0" w:type="dxa"/>
          </w:tblCellMar>
        </w:tblPrEx>
        <w:trPr>
          <w:cantSplit/>
          <w:trHeight w:val="576"/>
        </w:trPr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51F369E" w14:textId="77777777" w:rsidR="007C1F89" w:rsidRDefault="00000000">
            <w:pPr>
              <w:pStyle w:val="MdTableCell"/>
            </w:pPr>
            <w:r>
              <w:t>Krátkodobé záväzky (Ostatné záväzky - účet 379)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97F2CBB" w14:textId="77777777" w:rsidR="007C1F89" w:rsidRDefault="00000000">
            <w:pPr>
              <w:pStyle w:val="MdTableCell"/>
            </w:pPr>
            <w:r>
              <w:t>950,00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EE3D9E7" w14:textId="77777777" w:rsidR="007C1F89" w:rsidRDefault="00000000">
            <w:pPr>
              <w:pStyle w:val="MdTableCell"/>
            </w:pPr>
            <w:r>
              <w:t>350,00</w:t>
            </w:r>
          </w:p>
        </w:tc>
      </w:tr>
      <w:tr w:rsidR="007C1F89" w14:paraId="104B4AA7" w14:textId="77777777">
        <w:tblPrEx>
          <w:tblCellMar>
            <w:top w:w="0" w:type="dxa"/>
            <w:bottom w:w="0" w:type="dxa"/>
          </w:tblCellMar>
        </w:tblPrEx>
        <w:trPr>
          <w:cantSplit/>
          <w:trHeight w:val="576"/>
        </w:trPr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1D6F211" w14:textId="77777777" w:rsidR="007C1F89" w:rsidRDefault="00000000">
            <w:pPr>
              <w:pStyle w:val="MdTableCell"/>
            </w:pPr>
            <w:r>
              <w:t>Výnosy budúcich období (Časové rozlíšenie - účet 384)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E116166" w14:textId="77777777" w:rsidR="007C1F89" w:rsidRDefault="00000000">
            <w:pPr>
              <w:pStyle w:val="MdTableCell"/>
            </w:pPr>
            <w:r>
              <w:t>5 998,43</w:t>
            </w:r>
          </w:p>
        </w:tc>
        <w:tc>
          <w:tcPr>
            <w:tcW w:w="0" w:type="auto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BD25D1F" w14:textId="77777777" w:rsidR="007C1F89" w:rsidRDefault="00000000">
            <w:pPr>
              <w:pStyle w:val="MdTableCell"/>
            </w:pPr>
            <w:r>
              <w:t>0,00</w:t>
            </w:r>
          </w:p>
        </w:tc>
      </w:tr>
      <w:tr w:rsidR="007C1F89" w14:paraId="19693C79" w14:textId="77777777">
        <w:tblPrEx>
          <w:tblCellMar>
            <w:top w:w="0" w:type="dxa"/>
            <w:bottom w:w="0" w:type="dxa"/>
          </w:tblCellMar>
        </w:tblPrEx>
        <w:trPr>
          <w:cantSplit/>
          <w:trHeight w:val="576"/>
        </w:trPr>
        <w:tc>
          <w:tcPr>
            <w:tcW w:w="0" w:type="auto"/>
            <w:tcBorders>
              <w:bottom w:val="single" w:sz="4" w:space="0" w:color="E1E4E8"/>
            </w:tcBorders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37B9AB9" w14:textId="77777777" w:rsidR="007C1F89" w:rsidRDefault="00000000">
            <w:pPr>
              <w:pStyle w:val="MdTableCell"/>
            </w:pPr>
            <w:r>
              <w:rPr>
                <w:rStyle w:val="MdStrong"/>
              </w:rPr>
              <w:t>Spolu pasíva</w:t>
            </w:r>
          </w:p>
        </w:tc>
        <w:tc>
          <w:tcPr>
            <w:tcW w:w="0" w:type="auto"/>
            <w:tcBorders>
              <w:bottom w:val="single" w:sz="4" w:space="0" w:color="E1E4E8"/>
            </w:tcBorders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7EB6B92" w14:textId="77777777" w:rsidR="007C1F89" w:rsidRDefault="00000000">
            <w:pPr>
              <w:pStyle w:val="MdTableCell"/>
            </w:pPr>
            <w:r>
              <w:rPr>
                <w:rStyle w:val="MdStrong"/>
              </w:rPr>
              <w:t>12 740,87</w:t>
            </w:r>
          </w:p>
        </w:tc>
        <w:tc>
          <w:tcPr>
            <w:tcW w:w="0" w:type="auto"/>
            <w:tcBorders>
              <w:bottom w:val="single" w:sz="4" w:space="0" w:color="E1E4E8"/>
            </w:tcBorders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D8A9B01" w14:textId="77777777" w:rsidR="007C1F89" w:rsidRDefault="00000000">
            <w:pPr>
              <w:pStyle w:val="MdTableCell"/>
            </w:pPr>
            <w:r>
              <w:rPr>
                <w:rStyle w:val="MdStrong"/>
              </w:rPr>
              <w:t>1 278,44</w:t>
            </w:r>
          </w:p>
        </w:tc>
      </w:tr>
    </w:tbl>
    <w:p w14:paraId="7541AFE4" w14:textId="77777777" w:rsidR="007C1F89" w:rsidRDefault="00000000" w:rsidP="001B6665">
      <w:pPr>
        <w:pStyle w:val="MdParagraph"/>
        <w:jc w:val="both"/>
      </w:pPr>
      <w:r>
        <w:t>Zvýšenie pasív je spôsobené najmä kladným výsledkom hospodárenia a zaúčtovaním výnosov budúcich období z prijatých 2 % dane, ktoré budú použité na verejnoprospešné účely v nasledujúcom účtovnom období. Združenie nemá žiadne bankové úvery ani iné dlhodobé finančné výpomoci, čo svedčí o jeho finančnej nezávislosti.</w:t>
      </w:r>
    </w:p>
    <w:p w14:paraId="7405B809" w14:textId="77777777" w:rsidR="007C1F89" w:rsidRDefault="007C1F89">
      <w:pPr>
        <w:pStyle w:val="MdSpace"/>
        <w:spacing w:after="60"/>
      </w:pPr>
    </w:p>
    <w:p w14:paraId="1A721500" w14:textId="77777777" w:rsidR="007C1F89" w:rsidRDefault="00000000">
      <w:pPr>
        <w:pStyle w:val="MdParagraph"/>
      </w:pPr>
      <w:r>
        <w:rPr>
          <w:noProof/>
        </w:rPr>
        <w:lastRenderedPageBreak/>
        <w:drawing>
          <wp:inline distT="0" distB="0" distL="0" distR="0" wp14:anchorId="3B6AA4E3" wp14:editId="054479A7">
            <wp:extent cx="5715000" cy="3533775"/>
            <wp:effectExtent l="0" t="0" r="0" b="0"/>
            <wp:docPr id="741149171" name="Vývoj majetku a zdrojov" descr="Vývoj majetku a zdrojov" title="Vývoj majetku a zdroj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533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9C71D9" w14:textId="77777777" w:rsidR="007C1F89" w:rsidRDefault="007C1F89">
      <w:pPr>
        <w:pStyle w:val="MdSpace"/>
        <w:spacing w:after="60"/>
      </w:pPr>
    </w:p>
    <w:p w14:paraId="7DC86B4B" w14:textId="77777777" w:rsidR="007C1F89" w:rsidRDefault="00000000">
      <w:pPr>
        <w:pStyle w:val="MdHeading2"/>
      </w:pPr>
      <w:r>
        <w:t>4. Informácie o zamestnanosti a environmentálnych aspektoch</w:t>
      </w:r>
    </w:p>
    <w:p w14:paraId="0CC917CE" w14:textId="77777777" w:rsidR="007C1F89" w:rsidRDefault="00000000" w:rsidP="001B6665">
      <w:pPr>
        <w:pStyle w:val="MdParagraph"/>
        <w:jc w:val="both"/>
      </w:pPr>
      <w:r>
        <w:t xml:space="preserve">V roku 2025 občianske združenie Lepší človek </w:t>
      </w:r>
      <w:proofErr w:type="spellStart"/>
      <w:r>
        <w:t>o.z</w:t>
      </w:r>
      <w:proofErr w:type="spellEnd"/>
      <w:r>
        <w:t>. nezamestnávalo žiadnych zamestnancov na trvalý pracovný pomer (priemerný prepočítaný evidenčný počet zamestnancov bol 0). Činnosť organizácie bola zabezpečovaná prostredníctvom dobrovoľníkov, členov orgánov združenia a dodávateľsky formou externých služieb.</w:t>
      </w:r>
    </w:p>
    <w:p w14:paraId="19A3018C" w14:textId="77777777" w:rsidR="007C1F89" w:rsidRDefault="007C1F89">
      <w:pPr>
        <w:pStyle w:val="MdSpace"/>
        <w:spacing w:after="60"/>
      </w:pPr>
    </w:p>
    <w:p w14:paraId="1D7F04D2" w14:textId="77777777" w:rsidR="007C1F89" w:rsidRDefault="00000000" w:rsidP="001B6665">
      <w:pPr>
        <w:pStyle w:val="MdParagraph"/>
        <w:jc w:val="both"/>
      </w:pPr>
      <w:r>
        <w:t>Činnosť organizácie nemá negatívny vplyv na životné prostredie. Združenie vo svojej prevádzke dbá na minimalizáciu ekologickej stopy, triedenie odpadu a elektronizáciu procesov s cieľom znížiť spotrebu papiera a kancelárskych materiálov.</w:t>
      </w:r>
    </w:p>
    <w:p w14:paraId="2CE89F2B" w14:textId="77777777" w:rsidR="007C1F89" w:rsidRDefault="007C1F89">
      <w:pPr>
        <w:pStyle w:val="MdSpace"/>
        <w:spacing w:after="60"/>
      </w:pPr>
    </w:p>
    <w:p w14:paraId="732EF4E8" w14:textId="77777777" w:rsidR="007C1F89" w:rsidRDefault="00000000">
      <w:pPr>
        <w:pStyle w:val="MdHeading2"/>
      </w:pPr>
      <w:r>
        <w:t>5. Povinnosť auditu a uloženia výročnej správy</w:t>
      </w:r>
    </w:p>
    <w:p w14:paraId="6B7662A3" w14:textId="77777777" w:rsidR="007C1F89" w:rsidRDefault="00000000" w:rsidP="001B6665">
      <w:pPr>
        <w:pStyle w:val="MdParagraph"/>
        <w:jc w:val="both"/>
      </w:pPr>
      <w:r>
        <w:t xml:space="preserve">V súlade s § 19 ods. 4 zákona č. 431/2002 Z. z. o účtovníctve má nezisková účtovná jednotka (vrátane občianskeho združenia) povinnosť nechať si overiť účtovnú závierku audítorom, ak suma ročného podielu prijatej dane (2 % alebo 3 %) je </w:t>
      </w:r>
      <w:r>
        <w:rPr>
          <w:rStyle w:val="MdStrong"/>
        </w:rPr>
        <w:t>vyššia ako 35 000 EUR</w:t>
      </w:r>
      <w:r>
        <w:t xml:space="preserve">. </w:t>
      </w:r>
    </w:p>
    <w:p w14:paraId="37B2F8E2" w14:textId="77777777" w:rsidR="007C1F89" w:rsidRDefault="007C1F89">
      <w:pPr>
        <w:pStyle w:val="MdSpace"/>
        <w:spacing w:after="60"/>
      </w:pPr>
    </w:p>
    <w:p w14:paraId="6802BEB4" w14:textId="77777777" w:rsidR="007C1F89" w:rsidRDefault="00000000" w:rsidP="001B6665">
      <w:pPr>
        <w:pStyle w:val="MdParagraph"/>
        <w:jc w:val="both"/>
      </w:pPr>
      <w:r>
        <w:t xml:space="preserve">Nakoľko občianske združenie Lepší človek </w:t>
      </w:r>
      <w:proofErr w:type="spellStart"/>
      <w:r>
        <w:t>o.z</w:t>
      </w:r>
      <w:proofErr w:type="spellEnd"/>
      <w:r>
        <w:t xml:space="preserve">. prijalo v roku 2025 na účet 665 (Príspevky z podielu zaplatenej dane) prostriedky v celkovej výške </w:t>
      </w:r>
      <w:r>
        <w:rPr>
          <w:rStyle w:val="MdStrong"/>
        </w:rPr>
        <w:t>39 481,93 EUR</w:t>
      </w:r>
      <w:r>
        <w:t>, tento zákonný limit bol prekročený. Z toho vyplývajú pre organizáciu nasledujúce zákonné povinnosti:</w:t>
      </w:r>
    </w:p>
    <w:p w14:paraId="4C5AFFF8" w14:textId="77777777" w:rsidR="007C1F89" w:rsidRDefault="00000000">
      <w:pPr>
        <w:pStyle w:val="MdListItem"/>
        <w:numPr>
          <w:ilvl w:val="0"/>
          <w:numId w:val="2"/>
        </w:numPr>
      </w:pPr>
      <w:r>
        <w:rPr>
          <w:rStyle w:val="MdStrong"/>
        </w:rPr>
        <w:t>Audit účtovnej závierky:</w:t>
      </w:r>
      <w:r>
        <w:t xml:space="preserve"> Účtovná závierka musí byť overená nezávislým štatutárnym audítorom.</w:t>
      </w:r>
    </w:p>
    <w:p w14:paraId="5A1A9B3E" w14:textId="77777777" w:rsidR="007C1F89" w:rsidRDefault="00000000">
      <w:pPr>
        <w:pStyle w:val="MdListItem"/>
        <w:numPr>
          <w:ilvl w:val="0"/>
          <w:numId w:val="2"/>
        </w:numPr>
      </w:pPr>
      <w:r>
        <w:rPr>
          <w:rStyle w:val="MdStrong"/>
        </w:rPr>
        <w:t>Audit výročnej správy:</w:t>
      </w:r>
      <w:r>
        <w:t xml:space="preserve"> Súčasne s účtovnou závierkou audítor overuje aj súlad tejto výročnej správy s účtovnou závierkou.</w:t>
      </w:r>
    </w:p>
    <w:p w14:paraId="49C284AC" w14:textId="77777777" w:rsidR="007C1F89" w:rsidRDefault="00000000">
      <w:pPr>
        <w:pStyle w:val="MdListItem"/>
        <w:numPr>
          <w:ilvl w:val="0"/>
          <w:numId w:val="2"/>
        </w:numPr>
      </w:pPr>
      <w:r>
        <w:rPr>
          <w:rStyle w:val="MdStrong"/>
        </w:rPr>
        <w:lastRenderedPageBreak/>
        <w:t>Uloženie do registra:</w:t>
      </w:r>
      <w:r>
        <w:t xml:space="preserve"> Overenú účtovnú závierku, správu audítora a túto výročnú správu je organizácia povinná uložiť do verejnej časti registra účtovných závierok najneskôr do jedného roka od skončenia účtovného obdobia (t. j. do 31. decembra 2026).</w:t>
      </w:r>
    </w:p>
    <w:p w14:paraId="46688A95" w14:textId="77777777" w:rsidR="007C1F89" w:rsidRDefault="007C1F89">
      <w:pPr>
        <w:pStyle w:val="MdSpace"/>
        <w:spacing w:after="60"/>
      </w:pPr>
    </w:p>
    <w:p w14:paraId="339956A3" w14:textId="77777777" w:rsidR="007C1F89" w:rsidRDefault="00000000">
      <w:pPr>
        <w:pStyle w:val="MdHeading2"/>
      </w:pPr>
      <w:r>
        <w:t>6. Predpokladaný budúci vývoj činnosti a riziká</w:t>
      </w:r>
    </w:p>
    <w:p w14:paraId="1C9D8342" w14:textId="77777777" w:rsidR="007C1F89" w:rsidRDefault="00000000">
      <w:pPr>
        <w:pStyle w:val="MdParagraph"/>
      </w:pPr>
      <w:r>
        <w:t xml:space="preserve">V nasledujúcom období plánuje občianske združenie Lepší človek </w:t>
      </w:r>
      <w:proofErr w:type="spellStart"/>
      <w:r>
        <w:t>o.z</w:t>
      </w:r>
      <w:proofErr w:type="spellEnd"/>
      <w:r>
        <w:t>. pokračovať vo svojich verejnoprospešných aktivitách a napĺňať ciele definované v stanovách. Organizácia sa strategicky zameria na:</w:t>
      </w:r>
    </w:p>
    <w:p w14:paraId="61C13EDC" w14:textId="77777777" w:rsidR="007C1F89" w:rsidRDefault="00000000">
      <w:pPr>
        <w:pStyle w:val="MdListItem"/>
        <w:numPr>
          <w:ilvl w:val="0"/>
          <w:numId w:val="3"/>
        </w:numPr>
      </w:pPr>
      <w:r>
        <w:t>efektívne, transparentné a včasné využitie prijatých prostriedkov z asignácie 2 % z dane v prísnom súlade s platnou legislatívou,</w:t>
      </w:r>
    </w:p>
    <w:p w14:paraId="4D956D7D" w14:textId="77777777" w:rsidR="007C1F89" w:rsidRDefault="00000000">
      <w:pPr>
        <w:pStyle w:val="MdListItem"/>
        <w:numPr>
          <w:ilvl w:val="0"/>
          <w:numId w:val="3"/>
        </w:numPr>
      </w:pPr>
      <w:r>
        <w:t>udržanie a posilnenie dôvery existujúcich darcov a systematické oslovovanie nových podporovateľov,</w:t>
      </w:r>
    </w:p>
    <w:p w14:paraId="78964001" w14:textId="77777777" w:rsidR="007C1F89" w:rsidRDefault="00000000">
      <w:pPr>
        <w:pStyle w:val="MdListItem"/>
        <w:numPr>
          <w:ilvl w:val="0"/>
          <w:numId w:val="3"/>
        </w:numPr>
      </w:pPr>
      <w:r>
        <w:t>realizáciu zmysluplných projektov a transparentné rozdeľovanie získaných prostriedkov formou darov a cielenej pomoci,</w:t>
      </w:r>
    </w:p>
    <w:p w14:paraId="37226046" w14:textId="77777777" w:rsidR="007C1F89" w:rsidRDefault="00000000">
      <w:pPr>
        <w:pStyle w:val="MdListItem"/>
        <w:numPr>
          <w:ilvl w:val="0"/>
          <w:numId w:val="3"/>
        </w:numPr>
      </w:pPr>
      <w:r>
        <w:t>zachovanie vyrovnaného hospodárenia, finančnej stability a prísnu kontrolu nákladov na správu organizácie.</w:t>
      </w:r>
    </w:p>
    <w:p w14:paraId="3CD42549" w14:textId="77777777" w:rsidR="007C1F89" w:rsidRDefault="007C1F89">
      <w:pPr>
        <w:pStyle w:val="MdSpace"/>
        <w:spacing w:after="60"/>
      </w:pPr>
    </w:p>
    <w:p w14:paraId="31A742C7" w14:textId="77777777" w:rsidR="007C1F89" w:rsidRDefault="00000000">
      <w:pPr>
        <w:pStyle w:val="MdParagraph"/>
      </w:pPr>
      <w:r>
        <w:rPr>
          <w:rStyle w:val="MdStrong"/>
        </w:rPr>
        <w:t>Analýza rizík:</w:t>
      </w:r>
      <w:r>
        <w:t xml:space="preserve"> Združenie momentálne nepredpokladá žiadne významné finančné, prevádzkové ani legislatívne riziká, ktoré by mohli bezprostredne ohroziť jeho existenciu alebo schopnosť nepretržite pokračovať v činnosti v blízkej budúcnosti (princíp 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 je zachovaný). Potenciálnym rizikom do budúcna zostáva len závislosť na jednom dominantnom zdroji príjmov (asignácia 2 % dane), čo organizácia plánuje </w:t>
      </w:r>
      <w:proofErr w:type="spellStart"/>
      <w:r>
        <w:t>diverzifikovať</w:t>
      </w:r>
      <w:proofErr w:type="spellEnd"/>
      <w:r>
        <w:t xml:space="preserve"> zvýšeným úsilím o získavanie priamych darov a grantov.</w:t>
      </w:r>
    </w:p>
    <w:p w14:paraId="78B99D4A" w14:textId="77777777" w:rsidR="007C1F89" w:rsidRDefault="007C1F89">
      <w:pPr>
        <w:pStyle w:val="MdSpace"/>
        <w:spacing w:after="60"/>
      </w:pPr>
    </w:p>
    <w:p w14:paraId="03D4074A" w14:textId="77777777" w:rsidR="007C1F89" w:rsidRDefault="00000000">
      <w:pPr>
        <w:pStyle w:val="MdHeading2"/>
      </w:pPr>
      <w:r>
        <w:t>7. Návrh na vysporiadanie výsledku hospodárenia</w:t>
      </w:r>
    </w:p>
    <w:p w14:paraId="78284878" w14:textId="77777777" w:rsidR="007C1F89" w:rsidRDefault="00000000">
      <w:pPr>
        <w:pStyle w:val="MdParagraph"/>
      </w:pPr>
      <w:r>
        <w:t xml:space="preserve">Kladný výsledok hospodárenia za rok 2025 vo výške </w:t>
      </w:r>
      <w:r>
        <w:rPr>
          <w:rStyle w:val="MdStrong"/>
        </w:rPr>
        <w:t>4 864,00 EUR</w:t>
      </w:r>
      <w:r>
        <w:t xml:space="preserve"> navrhuje štatutárny orgán previesť v plnej výške na účet 428 – </w:t>
      </w:r>
      <w:proofErr w:type="spellStart"/>
      <w:r>
        <w:t>Nevysporiadaný</w:t>
      </w:r>
      <w:proofErr w:type="spellEnd"/>
      <w:r>
        <w:t xml:space="preserve"> výsledok hospodárenia minulých rokov. Tento krok prispeje k ďalšiemu posilneniu vlastného imania združenia, vytvoreniu finančnej rezervy a stabilizácii zdrojov pre aktivity v nasledujúcich obdobiach.</w:t>
      </w:r>
    </w:p>
    <w:p w14:paraId="3C711257" w14:textId="77777777" w:rsidR="007C1F89" w:rsidRDefault="007C1F89">
      <w:pPr>
        <w:pStyle w:val="MdSpace"/>
        <w:spacing w:after="60"/>
      </w:pPr>
    </w:p>
    <w:p w14:paraId="58D95910" w14:textId="77777777" w:rsidR="007C1F89" w:rsidRDefault="007C1F89">
      <w:pPr>
        <w:pStyle w:val="MdHr"/>
        <w:pBdr>
          <w:bottom w:val="single" w:sz="6" w:space="1" w:color="auto"/>
        </w:pBdr>
      </w:pPr>
    </w:p>
    <w:p w14:paraId="253AA344" w14:textId="77777777" w:rsidR="007C1F89" w:rsidRDefault="007C1F89">
      <w:pPr>
        <w:pStyle w:val="MdSpace"/>
        <w:spacing w:after="60"/>
      </w:pPr>
    </w:p>
    <w:p w14:paraId="7DA18E38" w14:textId="77777777" w:rsidR="001B6665" w:rsidRDefault="00000000">
      <w:pPr>
        <w:pStyle w:val="MdParagraph"/>
      </w:pPr>
      <w:r>
        <w:rPr>
          <w:rStyle w:val="MdStrong"/>
        </w:rPr>
        <w:t>V Bratislave, dňa:</w:t>
      </w:r>
      <w:r>
        <w:t xml:space="preserve"> 29. júna 2026</w:t>
      </w:r>
    </w:p>
    <w:p w14:paraId="7848973B" w14:textId="77777777" w:rsidR="001B6665" w:rsidRDefault="001B6665">
      <w:pPr>
        <w:pStyle w:val="MdParagraph"/>
      </w:pPr>
    </w:p>
    <w:p w14:paraId="5596231F" w14:textId="39D9EC3C" w:rsidR="007C1F89" w:rsidRDefault="00000000">
      <w:pPr>
        <w:pStyle w:val="MdParagraph"/>
      </w:pPr>
      <w:r>
        <w:rPr>
          <w:rStyle w:val="MdBr"/>
        </w:rPr>
        <w:br/>
      </w:r>
      <w:r>
        <w:rPr>
          <w:rStyle w:val="MdStrong"/>
        </w:rPr>
        <w:t>Podpis štatutárneho orgánu:</w:t>
      </w:r>
      <w:r>
        <w:t xml:space="preserve"> ......................................................</w:t>
      </w:r>
    </w:p>
    <w:sectPr w:rsidR="007C1F8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3C56B2"/>
    <w:multiLevelType w:val="multilevel"/>
    <w:tmpl w:val="EB0CB05A"/>
    <w:lvl w:ilvl="0">
      <w:start w:val="1"/>
      <w:numFmt w:val="decimal"/>
      <w:lvlText w:val="%1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160" w:hanging="360"/>
      </w:pPr>
    </w:lvl>
    <w:lvl w:ilvl="3">
      <w:start w:val="1"/>
      <w:numFmt w:val="decimal"/>
      <w:lvlText w:val="%4)"/>
      <w:lvlJc w:val="left"/>
      <w:pPr>
        <w:ind w:left="2880" w:hanging="360"/>
      </w:pPr>
    </w:lvl>
    <w:lvl w:ilvl="4">
      <w:start w:val="1"/>
      <w:numFmt w:val="decimal"/>
      <w:lvlText w:val="%5)"/>
      <w:lvlJc w:val="left"/>
      <w:pPr>
        <w:ind w:left="3600" w:hanging="360"/>
      </w:pPr>
    </w:lvl>
    <w:lvl w:ilvl="5">
      <w:start w:val="1"/>
      <w:numFmt w:val="decimal"/>
      <w:lvlText w:val="%6)"/>
      <w:lvlJc w:val="left"/>
      <w:pPr>
        <w:ind w:left="4320" w:hanging="360"/>
      </w:pPr>
    </w:lvl>
    <w:lvl w:ilvl="6">
      <w:start w:val="1"/>
      <w:numFmt w:val="decimal"/>
      <w:lvlText w:val="%7)"/>
      <w:lvlJc w:val="left"/>
      <w:pPr>
        <w:ind w:left="5040" w:hanging="360"/>
      </w:pPr>
    </w:lvl>
    <w:lvl w:ilvl="7">
      <w:start w:val="1"/>
      <w:numFmt w:val="decimal"/>
      <w:lvlText w:val="%8)"/>
      <w:lvlJc w:val="left"/>
      <w:pPr>
        <w:ind w:left="5760" w:hanging="360"/>
      </w:pPr>
    </w:lvl>
    <w:lvl w:ilvl="8">
      <w:start w:val="1"/>
      <w:numFmt w:val="decimal"/>
      <w:lvlText w:val="%9)"/>
      <w:lvlJc w:val="left"/>
      <w:pPr>
        <w:ind w:left="6480" w:hanging="360"/>
      </w:pPr>
    </w:lvl>
  </w:abstractNum>
  <w:abstractNum w:abstractNumId="1" w15:restartNumberingAfterBreak="0">
    <w:nsid w:val="33947275"/>
    <w:multiLevelType w:val="hybridMultilevel"/>
    <w:tmpl w:val="74D0CFF4"/>
    <w:lvl w:ilvl="0" w:tplc="54F49CF0">
      <w:start w:val="1"/>
      <w:numFmt w:val="bullet"/>
      <w:lvlText w:val="•"/>
      <w:lvlJc w:val="left"/>
      <w:pPr>
        <w:ind w:left="720" w:hanging="360"/>
      </w:pPr>
    </w:lvl>
    <w:lvl w:ilvl="1" w:tplc="443055F2">
      <w:start w:val="1"/>
      <w:numFmt w:val="bullet"/>
      <w:lvlText w:val="◦"/>
      <w:lvlJc w:val="left"/>
      <w:pPr>
        <w:ind w:left="1440" w:hanging="360"/>
      </w:pPr>
    </w:lvl>
    <w:lvl w:ilvl="2" w:tplc="9E860194">
      <w:start w:val="1"/>
      <w:numFmt w:val="bullet"/>
      <w:lvlText w:val="•"/>
      <w:lvlJc w:val="left"/>
      <w:pPr>
        <w:ind w:left="2160" w:hanging="360"/>
      </w:pPr>
    </w:lvl>
    <w:lvl w:ilvl="3" w:tplc="EE7CBB5A">
      <w:start w:val="1"/>
      <w:numFmt w:val="bullet"/>
      <w:lvlText w:val="◦"/>
      <w:lvlJc w:val="left"/>
      <w:pPr>
        <w:ind w:left="2880" w:hanging="360"/>
      </w:pPr>
    </w:lvl>
    <w:lvl w:ilvl="4" w:tplc="208AC0B4">
      <w:start w:val="1"/>
      <w:numFmt w:val="bullet"/>
      <w:lvlText w:val="•"/>
      <w:lvlJc w:val="left"/>
      <w:pPr>
        <w:ind w:left="3600" w:hanging="360"/>
      </w:pPr>
    </w:lvl>
    <w:lvl w:ilvl="5" w:tplc="7068E60E">
      <w:start w:val="1"/>
      <w:numFmt w:val="bullet"/>
      <w:lvlText w:val="◦"/>
      <w:lvlJc w:val="left"/>
      <w:pPr>
        <w:ind w:left="4320" w:hanging="360"/>
      </w:pPr>
    </w:lvl>
    <w:lvl w:ilvl="6" w:tplc="56103938">
      <w:start w:val="1"/>
      <w:numFmt w:val="bullet"/>
      <w:lvlText w:val="•"/>
      <w:lvlJc w:val="left"/>
      <w:pPr>
        <w:ind w:left="5040" w:hanging="360"/>
      </w:pPr>
    </w:lvl>
    <w:lvl w:ilvl="7" w:tplc="7EFADC88">
      <w:numFmt w:val="decimal"/>
      <w:lvlText w:val=""/>
      <w:lvlJc w:val="left"/>
    </w:lvl>
    <w:lvl w:ilvl="8" w:tplc="DC3A4EDC">
      <w:numFmt w:val="decimal"/>
      <w:lvlText w:val=""/>
      <w:lvlJc w:val="left"/>
    </w:lvl>
  </w:abstractNum>
  <w:abstractNum w:abstractNumId="2" w15:restartNumberingAfterBreak="0">
    <w:nsid w:val="57CB4A1A"/>
    <w:multiLevelType w:val="hybridMultilevel"/>
    <w:tmpl w:val="351E4DE6"/>
    <w:lvl w:ilvl="0" w:tplc="FEEE7952">
      <w:start w:val="1"/>
      <w:numFmt w:val="bullet"/>
      <w:lvlText w:val="●"/>
      <w:lvlJc w:val="left"/>
      <w:pPr>
        <w:ind w:left="720" w:hanging="360"/>
      </w:pPr>
    </w:lvl>
    <w:lvl w:ilvl="1" w:tplc="99B892F4">
      <w:start w:val="1"/>
      <w:numFmt w:val="bullet"/>
      <w:lvlText w:val="○"/>
      <w:lvlJc w:val="left"/>
      <w:pPr>
        <w:ind w:left="1440" w:hanging="360"/>
      </w:pPr>
    </w:lvl>
    <w:lvl w:ilvl="2" w:tplc="FD1CE012">
      <w:start w:val="1"/>
      <w:numFmt w:val="bullet"/>
      <w:lvlText w:val="■"/>
      <w:lvlJc w:val="left"/>
      <w:pPr>
        <w:ind w:left="2160" w:hanging="360"/>
      </w:pPr>
    </w:lvl>
    <w:lvl w:ilvl="3" w:tplc="CCD25254">
      <w:start w:val="1"/>
      <w:numFmt w:val="bullet"/>
      <w:lvlText w:val="●"/>
      <w:lvlJc w:val="left"/>
      <w:pPr>
        <w:ind w:left="2880" w:hanging="360"/>
      </w:pPr>
    </w:lvl>
    <w:lvl w:ilvl="4" w:tplc="B866A682">
      <w:start w:val="1"/>
      <w:numFmt w:val="bullet"/>
      <w:lvlText w:val="○"/>
      <w:lvlJc w:val="left"/>
      <w:pPr>
        <w:ind w:left="3600" w:hanging="360"/>
      </w:pPr>
    </w:lvl>
    <w:lvl w:ilvl="5" w:tplc="38CA0442">
      <w:start w:val="1"/>
      <w:numFmt w:val="bullet"/>
      <w:lvlText w:val="■"/>
      <w:lvlJc w:val="left"/>
      <w:pPr>
        <w:ind w:left="4320" w:hanging="360"/>
      </w:pPr>
    </w:lvl>
    <w:lvl w:ilvl="6" w:tplc="C366A4C0">
      <w:start w:val="1"/>
      <w:numFmt w:val="bullet"/>
      <w:lvlText w:val="●"/>
      <w:lvlJc w:val="left"/>
      <w:pPr>
        <w:ind w:left="5040" w:hanging="360"/>
      </w:pPr>
    </w:lvl>
    <w:lvl w:ilvl="7" w:tplc="06E6EFBC">
      <w:start w:val="1"/>
      <w:numFmt w:val="bullet"/>
      <w:lvlText w:val="●"/>
      <w:lvlJc w:val="left"/>
      <w:pPr>
        <w:ind w:left="5760" w:hanging="360"/>
      </w:pPr>
    </w:lvl>
    <w:lvl w:ilvl="8" w:tplc="A436299C">
      <w:start w:val="1"/>
      <w:numFmt w:val="bullet"/>
      <w:lvlText w:val="●"/>
      <w:lvlJc w:val="left"/>
      <w:pPr>
        <w:ind w:left="6480" w:hanging="360"/>
      </w:pPr>
    </w:lvl>
  </w:abstractNum>
  <w:num w:numId="1" w16cid:durableId="2030373029">
    <w:abstractNumId w:val="2"/>
    <w:lvlOverride w:ilvl="0">
      <w:startOverride w:val="1"/>
    </w:lvlOverride>
  </w:num>
  <w:num w:numId="2" w16cid:durableId="1395618541">
    <w:abstractNumId w:val="0"/>
    <w:lvlOverride w:ilvl="0">
      <w:startOverride w:val="1"/>
    </w:lvlOverride>
  </w:num>
  <w:num w:numId="3" w16cid:durableId="1520318955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F89"/>
    <w:rsid w:val="001B6665"/>
    <w:rsid w:val="007C1F89"/>
    <w:rsid w:val="00993A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85748A"/>
  <w15:docId w15:val="{57BC415A-2D23-4371-B317-76F59D8587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uiPriority w:val="9"/>
    <w:qFormat/>
    <w:pPr>
      <w:outlineLvl w:val="0"/>
    </w:pPr>
    <w:rPr>
      <w:color w:val="2E74B5"/>
      <w:sz w:val="32"/>
      <w:szCs w:val="32"/>
    </w:rPr>
  </w:style>
  <w:style w:type="paragraph" w:styleId="Nadpis2">
    <w:name w:val="heading 2"/>
    <w:uiPriority w:val="9"/>
    <w:unhideWhenUsed/>
    <w:qFormat/>
    <w:pPr>
      <w:outlineLvl w:val="1"/>
    </w:pPr>
    <w:rPr>
      <w:color w:val="2E74B5"/>
      <w:sz w:val="26"/>
      <w:szCs w:val="26"/>
    </w:rPr>
  </w:style>
  <w:style w:type="paragraph" w:styleId="Nadpis3">
    <w:name w:val="heading 3"/>
    <w:uiPriority w:val="9"/>
    <w:unhideWhenUsed/>
    <w:qFormat/>
    <w:pPr>
      <w:outlineLvl w:val="2"/>
    </w:pPr>
    <w:rPr>
      <w:color w:val="1F4D78"/>
    </w:rPr>
  </w:style>
  <w:style w:type="paragraph" w:styleId="Nadpis4">
    <w:name w:val="heading 4"/>
    <w:uiPriority w:val="9"/>
    <w:semiHidden/>
    <w:unhideWhenUsed/>
    <w:qFormat/>
    <w:pPr>
      <w:outlineLvl w:val="3"/>
    </w:pPr>
    <w:rPr>
      <w:i/>
      <w:iCs/>
      <w:color w:val="2E74B5"/>
    </w:rPr>
  </w:style>
  <w:style w:type="paragraph" w:styleId="Nadpis5">
    <w:name w:val="heading 5"/>
    <w:uiPriority w:val="9"/>
    <w:semiHidden/>
    <w:unhideWhenUsed/>
    <w:qFormat/>
    <w:pPr>
      <w:outlineLvl w:val="4"/>
    </w:pPr>
    <w:rPr>
      <w:color w:val="2E74B5"/>
    </w:rPr>
  </w:style>
  <w:style w:type="paragraph" w:styleId="Nadpis6">
    <w:name w:val="heading 6"/>
    <w:uiPriority w:val="9"/>
    <w:semiHidden/>
    <w:unhideWhenUsed/>
    <w:qFormat/>
    <w:pPr>
      <w:outlineLvl w:val="5"/>
    </w:pPr>
    <w:rPr>
      <w:color w:val="1F4D7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uiPriority w:val="10"/>
    <w:qFormat/>
    <w:rPr>
      <w:sz w:val="56"/>
      <w:szCs w:val="56"/>
    </w:rPr>
  </w:style>
  <w:style w:type="paragraph" w:customStyle="1" w:styleId="Vrazn1">
    <w:name w:val="Výrazný1"/>
    <w:qFormat/>
    <w:rPr>
      <w:b/>
      <w:bCs/>
    </w:rPr>
  </w:style>
  <w:style w:type="paragraph" w:styleId="Odsekzoznamu">
    <w:name w:val="List Paragraph"/>
    <w:qFormat/>
  </w:style>
  <w:style w:type="character" w:styleId="Hypertextovprepojenie">
    <w:name w:val="Hyperlink"/>
    <w:uiPriority w:val="99"/>
    <w:unhideWhenUsed/>
    <w:rPr>
      <w:color w:val="0563C1"/>
      <w:u w:val="single" w:color="0563C1"/>
    </w:rPr>
  </w:style>
  <w:style w:type="character" w:styleId="Odkaznapoznmkupodiarou">
    <w:name w:val="footnote reference"/>
    <w:uiPriority w:val="99"/>
    <w:semiHidden/>
    <w:unhideWhenUsed/>
    <w:rPr>
      <w:vertAlign w:val="superscript"/>
    </w:rPr>
  </w:style>
  <w:style w:type="paragraph" w:styleId="Textpoznmkypodiarou">
    <w:name w:val="footnote text"/>
    <w:link w:val="TextpoznmkypodiarouChar"/>
    <w:uiPriority w:val="99"/>
    <w:semiHidden/>
    <w:unhideWhenUsed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unhideWhenUsed/>
    <w:rPr>
      <w:sz w:val="20"/>
      <w:szCs w:val="20"/>
    </w:rPr>
  </w:style>
  <w:style w:type="paragraph" w:customStyle="1" w:styleId="MdSpace">
    <w:name w:val="MdSpace"/>
    <w:qFormat/>
    <w:rPr>
      <w:sz w:val="12"/>
      <w:szCs w:val="12"/>
    </w:rPr>
  </w:style>
  <w:style w:type="paragraph" w:customStyle="1" w:styleId="MdCode">
    <w:name w:val="MdCode"/>
    <w:qFormat/>
    <w:pPr>
      <w:pBdr>
        <w:top w:val="single" w:sz="1" w:space="8" w:color="A5A5A5"/>
        <w:left w:val="single" w:sz="1" w:space="8" w:color="A5A5A5"/>
        <w:bottom w:val="single" w:sz="1" w:space="8" w:color="A5A5A5"/>
        <w:right w:val="single" w:sz="1" w:space="8" w:color="A5A5A5"/>
      </w:pBdr>
      <w:spacing w:before="200" w:after="200"/>
    </w:pPr>
    <w:rPr>
      <w:rFonts w:ascii="Courier New" w:eastAsia="Courier New" w:hAnsi="Courier New" w:cs="Courier New"/>
      <w:color w:val="70AD47"/>
      <w:sz w:val="22"/>
      <w:szCs w:val="22"/>
    </w:rPr>
  </w:style>
  <w:style w:type="paragraph" w:customStyle="1" w:styleId="MdHr">
    <w:name w:val="MdHr"/>
    <w:qFormat/>
    <w:pPr>
      <w:pBdr>
        <w:bottom w:val="single" w:sz="1" w:space="1" w:color="A5A5A5"/>
      </w:pBdr>
      <w:spacing w:before="240" w:after="240"/>
    </w:pPr>
  </w:style>
  <w:style w:type="paragraph" w:customStyle="1" w:styleId="MdBlockquote">
    <w:name w:val="MdBlockquote"/>
    <w:qFormat/>
    <w:pPr>
      <w:pBdr>
        <w:left w:val="single" w:sz="20" w:space="12" w:color="A5A5A5"/>
      </w:pBdr>
      <w:spacing w:before="200" w:after="200"/>
      <w:ind w:left="360"/>
    </w:pPr>
    <w:rPr>
      <w:i/>
      <w:iCs/>
      <w:color w:val="666666"/>
    </w:rPr>
  </w:style>
  <w:style w:type="paragraph" w:customStyle="1" w:styleId="MdHtml">
    <w:name w:val="MdHtml"/>
    <w:qFormat/>
    <w:rPr>
      <w:rFonts w:ascii="Courier New" w:eastAsia="Courier New" w:hAnsi="Courier New" w:cs="Courier New"/>
      <w:color w:val="ED7D31"/>
    </w:rPr>
  </w:style>
  <w:style w:type="paragraph" w:customStyle="1" w:styleId="MdDef">
    <w:name w:val="MdDef"/>
    <w:qFormat/>
    <w:pPr>
      <w:ind w:left="720" w:hanging="360"/>
    </w:pPr>
  </w:style>
  <w:style w:type="paragraph" w:customStyle="1" w:styleId="MdParagraph">
    <w:name w:val="MdParagraph"/>
    <w:qFormat/>
    <w:pPr>
      <w:spacing w:before="120" w:after="120"/>
    </w:pPr>
  </w:style>
  <w:style w:type="paragraph" w:customStyle="1" w:styleId="MdText">
    <w:name w:val="MdText"/>
    <w:qFormat/>
  </w:style>
  <w:style w:type="paragraph" w:customStyle="1" w:styleId="MdFootnote">
    <w:name w:val="MdFootnote"/>
    <w:qFormat/>
    <w:rPr>
      <w:vertAlign w:val="superscript"/>
    </w:rPr>
  </w:style>
  <w:style w:type="paragraph" w:customStyle="1" w:styleId="MdListItem">
    <w:name w:val="MdListItem"/>
    <w:qFormat/>
    <w:pPr>
      <w:spacing w:before="60" w:after="60"/>
      <w:ind w:left="720" w:hanging="360"/>
    </w:pPr>
  </w:style>
  <w:style w:type="paragraph" w:customStyle="1" w:styleId="MdTable">
    <w:name w:val="MdTable"/>
    <w:qFormat/>
    <w:pPr>
      <w:spacing w:before="60" w:after="60"/>
    </w:pPr>
  </w:style>
  <w:style w:type="paragraph" w:customStyle="1" w:styleId="MdTableHeader">
    <w:name w:val="MdTableHeader"/>
    <w:qFormat/>
    <w:pPr>
      <w:spacing w:before="60" w:after="60"/>
    </w:pPr>
    <w:rPr>
      <w:b/>
      <w:bCs/>
      <w:sz w:val="22"/>
      <w:szCs w:val="22"/>
    </w:rPr>
  </w:style>
  <w:style w:type="paragraph" w:customStyle="1" w:styleId="MdTableCell">
    <w:name w:val="MdTableCell"/>
    <w:qFormat/>
    <w:pPr>
      <w:spacing w:before="40" w:after="40"/>
    </w:pPr>
    <w:rPr>
      <w:sz w:val="20"/>
      <w:szCs w:val="20"/>
    </w:rPr>
  </w:style>
  <w:style w:type="paragraph" w:customStyle="1" w:styleId="MdHeading1">
    <w:name w:val="MdHeading1"/>
    <w:qFormat/>
    <w:pPr>
      <w:keepNext/>
      <w:spacing w:before="480" w:after="240"/>
      <w:outlineLvl w:val="0"/>
    </w:pPr>
    <w:rPr>
      <w:b/>
      <w:bCs/>
      <w:sz w:val="36"/>
      <w:szCs w:val="36"/>
    </w:rPr>
  </w:style>
  <w:style w:type="paragraph" w:customStyle="1" w:styleId="MdHeading2">
    <w:name w:val="MdHeading2"/>
    <w:qFormat/>
    <w:pPr>
      <w:keepNext/>
      <w:spacing w:before="400" w:after="200"/>
      <w:outlineLvl w:val="1"/>
    </w:pPr>
    <w:rPr>
      <w:b/>
      <w:bCs/>
      <w:sz w:val="32"/>
      <w:szCs w:val="32"/>
    </w:rPr>
  </w:style>
  <w:style w:type="paragraph" w:customStyle="1" w:styleId="MdHeading3">
    <w:name w:val="MdHeading3"/>
    <w:qFormat/>
    <w:pPr>
      <w:keepNext/>
      <w:spacing w:before="320" w:after="160"/>
      <w:outlineLvl w:val="2"/>
    </w:pPr>
    <w:rPr>
      <w:b/>
      <w:bCs/>
      <w:sz w:val="28"/>
      <w:szCs w:val="28"/>
    </w:rPr>
  </w:style>
  <w:style w:type="paragraph" w:customStyle="1" w:styleId="MdHeading4">
    <w:name w:val="MdHeading4"/>
    <w:qFormat/>
    <w:pPr>
      <w:keepNext/>
      <w:spacing w:before="280" w:after="140"/>
      <w:outlineLvl w:val="3"/>
    </w:pPr>
    <w:rPr>
      <w:b/>
      <w:bCs/>
      <w:sz w:val="26"/>
      <w:szCs w:val="26"/>
    </w:rPr>
  </w:style>
  <w:style w:type="paragraph" w:customStyle="1" w:styleId="MdHeading5">
    <w:name w:val="MdHeading5"/>
    <w:qFormat/>
    <w:pPr>
      <w:keepNext/>
      <w:spacing w:before="240" w:after="120"/>
      <w:outlineLvl w:val="4"/>
    </w:pPr>
    <w:rPr>
      <w:b/>
      <w:bCs/>
      <w:i/>
      <w:iCs/>
    </w:rPr>
  </w:style>
  <w:style w:type="paragraph" w:customStyle="1" w:styleId="MdHeading6">
    <w:name w:val="MdHeading6"/>
    <w:qFormat/>
    <w:pPr>
      <w:keepNext/>
      <w:spacing w:before="240" w:after="120"/>
      <w:outlineLvl w:val="5"/>
    </w:pPr>
    <w:rPr>
      <w:i/>
      <w:iCs/>
    </w:rPr>
  </w:style>
  <w:style w:type="character" w:customStyle="1" w:styleId="MdTag">
    <w:name w:val="MdTag"/>
    <w:uiPriority w:val="99"/>
    <w:unhideWhenUsed/>
    <w:qFormat/>
    <w:rPr>
      <w:rFonts w:ascii="Courier New" w:eastAsia="Courier New" w:hAnsi="Courier New" w:cs="Courier New"/>
      <w:color w:val="ED7D31"/>
    </w:rPr>
  </w:style>
  <w:style w:type="character" w:customStyle="1" w:styleId="MdLink">
    <w:name w:val="MdLink"/>
    <w:uiPriority w:val="99"/>
    <w:unhideWhenUsed/>
    <w:qFormat/>
    <w:rPr>
      <w:color w:val="0563C1"/>
      <w:u w:val="single"/>
    </w:rPr>
  </w:style>
  <w:style w:type="character" w:customStyle="1" w:styleId="MdStrong">
    <w:name w:val="MdStrong"/>
    <w:uiPriority w:val="99"/>
    <w:unhideWhenUsed/>
    <w:qFormat/>
    <w:rPr>
      <w:b/>
      <w:bCs/>
    </w:rPr>
  </w:style>
  <w:style w:type="character" w:customStyle="1" w:styleId="MdEm">
    <w:name w:val="MdEm"/>
    <w:uiPriority w:val="99"/>
    <w:unhideWhenUsed/>
    <w:qFormat/>
    <w:rPr>
      <w:i/>
      <w:iCs/>
    </w:rPr>
  </w:style>
  <w:style w:type="character" w:customStyle="1" w:styleId="MdCodespan">
    <w:name w:val="MdCodespan"/>
    <w:uiPriority w:val="99"/>
    <w:unhideWhenUsed/>
    <w:qFormat/>
    <w:rPr>
      <w:rFonts w:ascii="Courier New" w:eastAsia="Courier New" w:hAnsi="Courier New" w:cs="Courier New"/>
      <w:color w:val="70AD47"/>
    </w:rPr>
  </w:style>
  <w:style w:type="character" w:customStyle="1" w:styleId="MdDel">
    <w:name w:val="MdDel"/>
    <w:uiPriority w:val="99"/>
    <w:unhideWhenUsed/>
    <w:qFormat/>
    <w:rPr>
      <w:strike/>
    </w:rPr>
  </w:style>
  <w:style w:type="character" w:customStyle="1" w:styleId="MdBr">
    <w:name w:val="MdBr"/>
    <w:uiPriority w:val="99"/>
    <w:unhideWhenUsed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1422</Words>
  <Characters>8109</Characters>
  <Application>Microsoft Office Word</Application>
  <DocSecurity>0</DocSecurity>
  <Lines>67</Lines>
  <Paragraphs>19</Paragraphs>
  <ScaleCrop>false</ScaleCrop>
  <Company/>
  <LinksUpToDate>false</LinksUpToDate>
  <CharactersWithSpaces>9512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Converted Document</dc:title>
  <dc:creator>md2docx converter</dc:creator>
  <dc:description>Converted from Markdown</dc:description>
  <cp:lastModifiedBy>Ing. PhDr. Michal Kováčik, PhD.</cp:lastModifiedBy>
  <cp:revision>2</cp:revision>
  <dcterms:created xsi:type="dcterms:W3CDTF">2026-07-01T06:59:00Z</dcterms:created>
  <dcterms:modified xsi:type="dcterms:W3CDTF">2026-07-06T08:18:00Z</dcterms:modified>
</cp:coreProperties>
</file>