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</w:pPr>
      <w:r>
        <w:t>POZNÁMKY k individuálnej účtovnej závierke mikro účtovnej jednotky za rok 2025</w:t>
      </w:r>
    </w:p>
    <w:p>
      <w:r>
        <w:t>Spracované podľa opatrenia MF SR pre mikro účtovné jednotky.</w:t>
      </w:r>
    </w:p>
    <w:p>
      <w:pPr>
        <w:pStyle w:val="Heading2"/>
      </w:pPr>
      <w:r>
        <w:t>Čl. I – Všeobecné údaje</w:t>
      </w:r>
    </w:p>
    <w:p>
      <w:r>
        <w:t>Obchodné meno: BLOOMBEE s.r.o.</w:t>
        <w:br/>
        <w:t>Sídlo: Vojany 331, 076 72 Vojany</w:t>
        <w:br/>
        <w:t>IČO: 51870118</w:t>
        <w:br/>
        <w:t>DIČ: 2120817006</w:t>
        <w:br/>
        <w:br/>
        <w:t>Účtovná jednotka zostavila riadnu individuálnu účtovnú závierku za obdobie od 1.1.2025 do 31.12.2025. Hlavnou činnosťou je výroba ostatných chemických výrobkov (SK NACE 20.59.0). Účtovná jednotka účtuje ako mikro účtovná jednotka v sústave podvojného účtovníctva.</w:t>
      </w:r>
    </w:p>
    <w:p>
      <w:pPr>
        <w:pStyle w:val="Heading2"/>
      </w:pPr>
      <w:r>
        <w:t>Čl. II – Informácie o prijatých postupoch</w:t>
      </w:r>
    </w:p>
    <w:p>
      <w:r>
        <w:t>Účtovná závierka bola zostavená za predpokladu nepretržitého pokračovania činnosti.</w:t>
        <w:br/>
        <w:t>Majetok je oceňovaný obstarávacou cenou, peňažné prostriedky, pohľadávky a záväzky menovitou hodnotou.</w:t>
        <w:br/>
        <w:t>Dlhodobý hmotný majetok je odpisovaný podľa interného odpisového plánu.</w:t>
        <w:br/>
        <w:t>V roku 2025 spoločnosť netvorila rezervy ani opravné položky.</w:t>
      </w:r>
    </w:p>
    <w:p>
      <w:pPr>
        <w:pStyle w:val="Heading2"/>
      </w:pPr>
      <w:r>
        <w:t>Čl. III – Informácie, ktoré vysvetľujú súvahu</w:t>
      </w:r>
    </w:p>
    <w:tbl>
      <w:tblPr>
        <w:tblStyle w:val="TableGrid"/>
        <w:tblW w:type="auto" w:w="0"/>
        <w:tblLook w:firstColumn="1" w:firstRow="1" w:lastColumn="0" w:lastRow="0" w:noHBand="0" w:noVBand="1" w:val="04A0"/>
      </w:tblPr>
      <w:tblGrid>
        <w:gridCol w:w="2880"/>
        <w:gridCol w:w="2880"/>
        <w:gridCol w:w="2880"/>
      </w:tblGrid>
      <w:tr>
        <w:tc>
          <w:tcPr>
            <w:tcW w:type="dxa" w:w="2880"/>
          </w:tcPr>
          <w:p>
            <w:r>
              <w:t>Položka</w:t>
            </w:r>
          </w:p>
        </w:tc>
        <w:tc>
          <w:tcPr>
            <w:tcW w:type="dxa" w:w="2880"/>
          </w:tcPr>
          <w:p>
            <w:r>
              <w:t>2025 (€)</w:t>
            </w:r>
          </w:p>
        </w:tc>
        <w:tc>
          <w:tcPr>
            <w:tcW w:type="dxa" w:w="2880"/>
          </w:tcPr>
          <w:p>
            <w:r>
              <w:t>2024 (€)</w:t>
            </w:r>
          </w:p>
        </w:tc>
      </w:tr>
      <w:tr>
        <w:tc>
          <w:tcPr>
            <w:tcW w:type="dxa" w:w="2880"/>
          </w:tcPr>
          <w:p>
            <w:r>
              <w:t>Dlhodobý hmotný majetok</w:t>
            </w:r>
          </w:p>
        </w:tc>
        <w:tc>
          <w:tcPr>
            <w:tcW w:type="dxa" w:w="2880"/>
          </w:tcPr>
          <w:p>
            <w:r>
              <w:t>28 623</w:t>
            </w:r>
          </w:p>
        </w:tc>
        <w:tc>
          <w:tcPr>
            <w:tcW w:type="dxa" w:w="2880"/>
          </w:tcPr>
          <w:p>
            <w:r>
              <w:t>8 963</w:t>
            </w:r>
          </w:p>
        </w:tc>
      </w:tr>
      <w:tr>
        <w:tc>
          <w:tcPr>
            <w:tcW w:type="dxa" w:w="2880"/>
          </w:tcPr>
          <w:p>
            <w:r>
              <w:t>Krátkodobé pohľadávky</w:t>
            </w:r>
          </w:p>
        </w:tc>
        <w:tc>
          <w:tcPr>
            <w:tcW w:type="dxa" w:w="2880"/>
          </w:tcPr>
          <w:p>
            <w:r>
              <w:t>38 266</w:t>
            </w:r>
          </w:p>
        </w:tc>
        <w:tc>
          <w:tcPr>
            <w:tcW w:type="dxa" w:w="2880"/>
          </w:tcPr>
          <w:p>
            <w:r>
              <w:t>32 065</w:t>
            </w:r>
          </w:p>
        </w:tc>
      </w:tr>
      <w:tr>
        <w:tc>
          <w:tcPr>
            <w:tcW w:type="dxa" w:w="2880"/>
          </w:tcPr>
          <w:p>
            <w:r>
              <w:t>Peňažné prostriedky</w:t>
            </w:r>
          </w:p>
        </w:tc>
        <w:tc>
          <w:tcPr>
            <w:tcW w:type="dxa" w:w="2880"/>
          </w:tcPr>
          <w:p>
            <w:r>
              <w:t>202 342</w:t>
            </w:r>
          </w:p>
        </w:tc>
        <w:tc>
          <w:tcPr>
            <w:tcW w:type="dxa" w:w="2880"/>
          </w:tcPr>
          <w:p>
            <w:r>
              <w:t>151 922</w:t>
            </w:r>
          </w:p>
        </w:tc>
      </w:tr>
      <w:tr>
        <w:tc>
          <w:tcPr>
            <w:tcW w:type="dxa" w:w="2880"/>
          </w:tcPr>
          <w:p>
            <w:r>
              <w:t>Majetok spolu</w:t>
            </w:r>
          </w:p>
        </w:tc>
        <w:tc>
          <w:tcPr>
            <w:tcW w:type="dxa" w:w="2880"/>
          </w:tcPr>
          <w:p>
            <w:r>
              <w:t>269 231</w:t>
            </w:r>
          </w:p>
        </w:tc>
        <w:tc>
          <w:tcPr>
            <w:tcW w:type="dxa" w:w="2880"/>
          </w:tcPr>
          <w:p>
            <w:r>
              <w:t>192 950</w:t>
            </w:r>
          </w:p>
        </w:tc>
      </w:tr>
      <w:tr>
        <w:tc>
          <w:tcPr>
            <w:tcW w:type="dxa" w:w="2880"/>
          </w:tcPr>
          <w:p>
            <w:r>
              <w:t>Základné imanie</w:t>
            </w:r>
          </w:p>
        </w:tc>
        <w:tc>
          <w:tcPr>
            <w:tcW w:type="dxa" w:w="2880"/>
          </w:tcPr>
          <w:p>
            <w:r>
              <w:t>5 000</w:t>
            </w:r>
          </w:p>
        </w:tc>
        <w:tc>
          <w:tcPr>
            <w:tcW w:type="dxa" w:w="2880"/>
          </w:tcPr>
          <w:p>
            <w:r>
              <w:t>5 000</w:t>
            </w:r>
          </w:p>
        </w:tc>
      </w:tr>
      <w:tr>
        <w:tc>
          <w:tcPr>
            <w:tcW w:type="dxa" w:w="2880"/>
          </w:tcPr>
          <w:p>
            <w:r>
              <w:t>Nerozdelený zisk minulých rokov</w:t>
            </w:r>
          </w:p>
        </w:tc>
        <w:tc>
          <w:tcPr>
            <w:tcW w:type="dxa" w:w="2880"/>
          </w:tcPr>
          <w:p>
            <w:r>
              <w:t>128 089</w:t>
            </w:r>
          </w:p>
        </w:tc>
        <w:tc>
          <w:tcPr>
            <w:tcW w:type="dxa" w:w="2880"/>
          </w:tcPr>
          <w:p>
            <w:r>
              <w:t>89 205</w:t>
            </w:r>
          </w:p>
        </w:tc>
      </w:tr>
      <w:tr>
        <w:tc>
          <w:tcPr>
            <w:tcW w:type="dxa" w:w="2880"/>
          </w:tcPr>
          <w:p>
            <w:r>
              <w:t>Výsledok hospodárenia</w:t>
            </w:r>
          </w:p>
        </w:tc>
        <w:tc>
          <w:tcPr>
            <w:tcW w:type="dxa" w:w="2880"/>
          </w:tcPr>
          <w:p>
            <w:r>
              <w:t>27 934</w:t>
            </w:r>
          </w:p>
        </w:tc>
        <w:tc>
          <w:tcPr>
            <w:tcW w:type="dxa" w:w="2880"/>
          </w:tcPr>
          <w:p>
            <w:r>
              <w:t>38 885</w:t>
            </w:r>
          </w:p>
        </w:tc>
      </w:tr>
      <w:tr>
        <w:tc>
          <w:tcPr>
            <w:tcW w:type="dxa" w:w="2880"/>
          </w:tcPr>
          <w:p>
            <w:r>
              <w:t>Krátkodobé záväzky</w:t>
            </w:r>
          </w:p>
        </w:tc>
        <w:tc>
          <w:tcPr>
            <w:tcW w:type="dxa" w:w="2880"/>
          </w:tcPr>
          <w:p>
            <w:r>
              <w:t>82 731</w:t>
            </w:r>
          </w:p>
        </w:tc>
        <w:tc>
          <w:tcPr>
            <w:tcW w:type="dxa" w:w="2880"/>
          </w:tcPr>
          <w:p>
            <w:r>
              <w:t>57 860</w:t>
            </w:r>
          </w:p>
        </w:tc>
      </w:tr>
      <w:tr>
        <w:tc>
          <w:tcPr>
            <w:tcW w:type="dxa" w:w="2880"/>
          </w:tcPr>
          <w:p>
            <w:r>
              <w:t>Bankový úver</w:t>
            </w:r>
          </w:p>
        </w:tc>
        <w:tc>
          <w:tcPr>
            <w:tcW w:type="dxa" w:w="2880"/>
          </w:tcPr>
          <w:p>
            <w:r>
              <w:t>25 477</w:t>
            </w:r>
          </w:p>
        </w:tc>
        <w:tc>
          <w:tcPr>
            <w:tcW w:type="dxa" w:w="2880"/>
          </w:tcPr>
          <w:p>
            <w:r>
              <w:t>0</w:t>
            </w:r>
          </w:p>
        </w:tc>
      </w:tr>
    </w:tbl>
    <w:p>
      <w:r>
        <w:t>Spoločnosť eviduje bankový úver na financovanie motorového vozidla vo výške 25 477 €. Eviduje tiež pohľadávku voči spoločníkovi na účte 355 a finančné prostriedky vedené na viacerých bankových účtoch vrátane účtov v cudzej mene.</w:t>
      </w:r>
    </w:p>
    <w:p>
      <w:pPr>
        <w:pStyle w:val="Heading2"/>
      </w:pPr>
      <w:r>
        <w:t>Čl. IV – Informácie k výkazu ziskov a strát</w:t>
      </w:r>
    </w:p>
    <w:tbl>
      <w:tblPr>
        <w:tblStyle w:val="TableGrid"/>
        <w:tblW w:type="auto" w:w="0"/>
        <w:tblLook w:firstColumn="1" w:firstRow="1" w:lastColumn="0" w:lastRow="0" w:noHBand="0" w:noVBand="1" w:val="04A0"/>
      </w:tblPr>
      <w:tblGrid>
        <w:gridCol w:w="2880"/>
        <w:gridCol w:w="2880"/>
        <w:gridCol w:w="2880"/>
      </w:tblGrid>
      <w:tr>
        <w:tc>
          <w:tcPr>
            <w:tcW w:type="dxa" w:w="2880"/>
          </w:tcPr>
          <w:p>
            <w:r>
              <w:t>Položka</w:t>
            </w:r>
          </w:p>
        </w:tc>
        <w:tc>
          <w:tcPr>
            <w:tcW w:type="dxa" w:w="2880"/>
          </w:tcPr>
          <w:p>
            <w:r>
              <w:t>2025 (€)</w:t>
            </w:r>
          </w:p>
        </w:tc>
        <w:tc>
          <w:tcPr>
            <w:tcW w:type="dxa" w:w="2880"/>
          </w:tcPr>
          <w:p>
            <w:r>
              <w:t>2024 (€)</w:t>
            </w:r>
          </w:p>
        </w:tc>
      </w:tr>
      <w:tr>
        <w:tc>
          <w:tcPr>
            <w:tcW w:type="dxa" w:w="2880"/>
          </w:tcPr>
          <w:p>
            <w:r>
              <w:t>Výnosy z hospodárskej činnosti</w:t>
            </w:r>
          </w:p>
        </w:tc>
        <w:tc>
          <w:tcPr>
            <w:tcW w:type="dxa" w:w="2880"/>
          </w:tcPr>
          <w:p>
            <w:r>
              <w:t>402 679</w:t>
            </w:r>
          </w:p>
        </w:tc>
        <w:tc>
          <w:tcPr>
            <w:tcW w:type="dxa" w:w="2880"/>
          </w:tcPr>
          <w:p>
            <w:r>
              <w:t>316 516</w:t>
            </w:r>
          </w:p>
        </w:tc>
      </w:tr>
      <w:tr>
        <w:tc>
          <w:tcPr>
            <w:tcW w:type="dxa" w:w="2880"/>
          </w:tcPr>
          <w:p>
            <w:r>
              <w:t>Náklady na hospodársku činnosť</w:t>
            </w:r>
          </w:p>
        </w:tc>
        <w:tc>
          <w:tcPr>
            <w:tcW w:type="dxa" w:w="2880"/>
          </w:tcPr>
          <w:p>
            <w:r>
              <w:t>356 128</w:t>
            </w:r>
          </w:p>
        </w:tc>
        <w:tc>
          <w:tcPr>
            <w:tcW w:type="dxa" w:w="2880"/>
          </w:tcPr>
          <w:p>
            <w:r>
              <w:t>261 770</w:t>
            </w:r>
          </w:p>
        </w:tc>
      </w:tr>
      <w:tr>
        <w:tc>
          <w:tcPr>
            <w:tcW w:type="dxa" w:w="2880"/>
          </w:tcPr>
          <w:p>
            <w:r>
              <w:t>Výsledok hospodárenia z hosp. činnosti</w:t>
            </w:r>
          </w:p>
        </w:tc>
        <w:tc>
          <w:tcPr>
            <w:tcW w:type="dxa" w:w="2880"/>
          </w:tcPr>
          <w:p>
            <w:r>
              <w:t>46 551</w:t>
            </w:r>
          </w:p>
        </w:tc>
        <w:tc>
          <w:tcPr>
            <w:tcW w:type="dxa" w:w="2880"/>
          </w:tcPr>
          <w:p>
            <w:r>
              <w:t>54 746</w:t>
            </w:r>
          </w:p>
        </w:tc>
      </w:tr>
      <w:tr>
        <w:tc>
          <w:tcPr>
            <w:tcW w:type="dxa" w:w="2880"/>
          </w:tcPr>
          <w:p>
            <w:r>
              <w:t>Výnosy z finančnej činnosti</w:t>
            </w:r>
          </w:p>
        </w:tc>
        <w:tc>
          <w:tcPr>
            <w:tcW w:type="dxa" w:w="2880"/>
          </w:tcPr>
          <w:p>
            <w:r>
              <w:t>1 374</w:t>
            </w:r>
          </w:p>
        </w:tc>
        <w:tc>
          <w:tcPr>
            <w:tcW w:type="dxa" w:w="2880"/>
          </w:tcPr>
          <w:p>
            <w:r>
              <w:t>2 571</w:t>
            </w:r>
          </w:p>
        </w:tc>
      </w:tr>
      <w:tr>
        <w:tc>
          <w:tcPr>
            <w:tcW w:type="dxa" w:w="2880"/>
          </w:tcPr>
          <w:p>
            <w:r>
              <w:t>Náklady na finančnú činnosť</w:t>
            </w:r>
          </w:p>
        </w:tc>
        <w:tc>
          <w:tcPr>
            <w:tcW w:type="dxa" w:w="2880"/>
          </w:tcPr>
          <w:p>
            <w:r>
              <w:t>12 475</w:t>
            </w:r>
          </w:p>
        </w:tc>
        <w:tc>
          <w:tcPr>
            <w:tcW w:type="dxa" w:w="2880"/>
          </w:tcPr>
          <w:p>
            <w:r>
              <w:t>7 154</w:t>
            </w:r>
          </w:p>
        </w:tc>
      </w:tr>
      <w:tr>
        <w:tc>
          <w:tcPr>
            <w:tcW w:type="dxa" w:w="2880"/>
          </w:tcPr>
          <w:p>
            <w:r>
              <w:t>Výsledok pred zdanením</w:t>
            </w:r>
          </w:p>
        </w:tc>
        <w:tc>
          <w:tcPr>
            <w:tcW w:type="dxa" w:w="2880"/>
          </w:tcPr>
          <w:p>
            <w:r>
              <w:t>35 450</w:t>
            </w:r>
          </w:p>
        </w:tc>
        <w:tc>
          <w:tcPr>
            <w:tcW w:type="dxa" w:w="2880"/>
          </w:tcPr>
          <w:p>
            <w:r>
              <w:t>50 163</w:t>
            </w:r>
          </w:p>
        </w:tc>
      </w:tr>
      <w:tr>
        <w:tc>
          <w:tcPr>
            <w:tcW w:type="dxa" w:w="2880"/>
          </w:tcPr>
          <w:p>
            <w:r>
              <w:t>Daň z príjmov</w:t>
            </w:r>
          </w:p>
        </w:tc>
        <w:tc>
          <w:tcPr>
            <w:tcW w:type="dxa" w:w="2880"/>
          </w:tcPr>
          <w:p>
            <w:r>
              <w:t>7 516</w:t>
            </w:r>
          </w:p>
        </w:tc>
        <w:tc>
          <w:tcPr>
            <w:tcW w:type="dxa" w:w="2880"/>
          </w:tcPr>
          <w:p>
            <w:r>
              <w:t>11 278</w:t>
            </w:r>
          </w:p>
        </w:tc>
      </w:tr>
      <w:tr>
        <w:tc>
          <w:tcPr>
            <w:tcW w:type="dxa" w:w="2880"/>
          </w:tcPr>
          <w:p>
            <w:r>
              <w:t>Výsledok po zdanení</w:t>
            </w:r>
          </w:p>
        </w:tc>
        <w:tc>
          <w:tcPr>
            <w:tcW w:type="dxa" w:w="2880"/>
          </w:tcPr>
          <w:p>
            <w:r>
              <w:t>27 934</w:t>
            </w:r>
          </w:p>
        </w:tc>
        <w:tc>
          <w:tcPr>
            <w:tcW w:type="dxa" w:w="2880"/>
          </w:tcPr>
          <w:p>
            <w:r>
              <w:t>38 885</w:t>
            </w:r>
          </w:p>
        </w:tc>
      </w:tr>
    </w:tbl>
    <w:p>
      <w:r>
        <w:t>Finančnú činnosť ovplyvnili najmä kurzové rozdiely a bankové poplatky. Významnú časť výnosov tvoria tržby z predaja vlastných výrobkov a služieb.</w:t>
      </w:r>
    </w:p>
    <w:p>
      <w:pPr>
        <w:pStyle w:val="Heading2"/>
      </w:pPr>
      <w:r>
        <w:t>Čl. V – Ďalšie informácie</w:t>
      </w:r>
    </w:p>
    <w:p>
      <w:r>
        <w:t>Po dni, ku ktorému sa zostavuje účtovná závierka, nenastali významné skutočnosti, ktoré by mali podstatný vplyv na majetok, záväzky alebo finančnú situáciu spoločnosti.</w:t>
        <w:br/>
        <w:br/>
        <w:t>Spoločnosť neeviduje podmienené záväzky ani podmienené pohľadávky. Spoločnosť neposkytla členom štatutárnych orgánov pôžičky, záruky ani iné obdobné plnenia.</w:t>
        <w:br/>
        <w:br/>
        <w:t>Účtovná závierka bola zostavená v súlade so zákonom č. 431/2002 Z. z. o účtovníctve v znení neskorších predpisov.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  <w:rPr>
      <w:rFonts w:ascii="Calibri" w:hAnsi="Calibri"/>
      <w:sz w:val="22"/>
    </w:rPr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