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8097CD">
      <w:pPr>
        <w:pStyle w:val="33"/>
        <w:rPr>
          <w:rFonts w:ascii="Arial" w:hAnsi="Arial" w:cs="Arial"/>
        </w:rPr>
      </w:pPr>
      <w:r>
        <w:rPr>
          <w:rFonts w:ascii="Arial" w:hAnsi="Arial" w:cs="Arial"/>
        </w:rPr>
        <w:t xml:space="preserve">Poznámky   </w:t>
      </w:r>
    </w:p>
    <w:p w14:paraId="084C6F7D">
      <w:pPr>
        <w:pStyle w:val="33"/>
        <w:rPr>
          <w:rFonts w:ascii="Arial" w:hAnsi="Arial" w:cs="Arial"/>
        </w:rPr>
      </w:pPr>
    </w:p>
    <w:p w14:paraId="775DC3FB">
      <w:pPr>
        <w:pStyle w:val="33"/>
        <w:jc w:val="center"/>
        <w:rPr>
          <w:rFonts w:ascii="Arial" w:hAnsi="Arial" w:cs="Arial"/>
          <w:color w:val="auto"/>
          <w:sz w:val="28"/>
          <w:szCs w:val="28"/>
        </w:rPr>
      </w:pPr>
      <w:r>
        <w:rPr>
          <w:rFonts w:ascii="Arial" w:hAnsi="Arial" w:cs="Arial"/>
          <w:color w:val="auto"/>
          <w:sz w:val="28"/>
          <w:szCs w:val="28"/>
        </w:rPr>
        <w:t>Názov právnickej osoby a jej sídlo alebo meno a priezvisko fyzickej osoby</w:t>
      </w:r>
    </w:p>
    <w:p w14:paraId="63346F84">
      <w:pPr>
        <w:pStyle w:val="33"/>
        <w:jc w:val="center"/>
        <w:rPr>
          <w:rFonts w:ascii="Arial" w:hAnsi="Arial" w:cs="Arial"/>
          <w:sz w:val="28"/>
          <w:szCs w:val="28"/>
        </w:rPr>
      </w:pPr>
    </w:p>
    <w:p w14:paraId="6DA6F431">
      <w:pPr>
        <w:pStyle w:val="33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Arthe Building, s.r.o.</w:t>
      </w:r>
    </w:p>
    <w:p w14:paraId="38F2E274">
      <w:pPr>
        <w:pStyle w:val="33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Hlavná 1110</w:t>
      </w:r>
    </w:p>
    <w:p w14:paraId="58E65049">
      <w:pPr>
        <w:pStyle w:val="33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930 25 Vrakúň</w:t>
      </w:r>
    </w:p>
    <w:p w14:paraId="16A2D9B0">
      <w:pPr>
        <w:pStyle w:val="33"/>
        <w:jc w:val="center"/>
        <w:rPr>
          <w:rFonts w:ascii="Arial" w:hAnsi="Arial" w:cs="Arial"/>
          <w:color w:val="auto"/>
          <w:sz w:val="28"/>
          <w:szCs w:val="28"/>
        </w:rPr>
      </w:pPr>
    </w:p>
    <w:p w14:paraId="0085EE43">
      <w:pPr>
        <w:pStyle w:val="33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DIČ 2120190908           IČO 50133781</w:t>
      </w:r>
    </w:p>
    <w:p w14:paraId="2D123218">
      <w:pPr>
        <w:pStyle w:val="33"/>
        <w:jc w:val="center"/>
        <w:rPr>
          <w:rFonts w:ascii="Arial" w:hAnsi="Arial" w:cs="Arial"/>
          <w:sz w:val="28"/>
          <w:szCs w:val="28"/>
        </w:rPr>
      </w:pPr>
    </w:p>
    <w:p w14:paraId="2E188D93">
      <w:pPr>
        <w:pStyle w:val="33"/>
        <w:jc w:val="center"/>
        <w:rPr>
          <w:rFonts w:ascii="Arial" w:hAnsi="Arial" w:cs="Arial"/>
          <w:color w:val="auto"/>
          <w:sz w:val="28"/>
          <w:szCs w:val="28"/>
        </w:rPr>
      </w:pPr>
      <w:r>
        <w:rPr>
          <w:rFonts w:ascii="Arial" w:hAnsi="Arial" w:cs="Arial"/>
          <w:color w:val="auto"/>
          <w:sz w:val="28"/>
          <w:szCs w:val="28"/>
        </w:rPr>
        <w:t xml:space="preserve">SK NACE 42109 </w:t>
      </w:r>
    </w:p>
    <w:p w14:paraId="7EFC10FC">
      <w:pPr>
        <w:pStyle w:val="33"/>
        <w:jc w:val="center"/>
        <w:rPr>
          <w:rFonts w:ascii="Arial" w:hAnsi="Arial" w:cs="Arial"/>
          <w:color w:val="auto"/>
          <w:sz w:val="28"/>
          <w:szCs w:val="28"/>
        </w:rPr>
      </w:pPr>
    </w:p>
    <w:p w14:paraId="27248E2B">
      <w:pPr>
        <w:pStyle w:val="33"/>
        <w:jc w:val="center"/>
        <w:rPr>
          <w:rFonts w:ascii="Arial" w:hAnsi="Arial" w:cs="Arial"/>
          <w:color w:val="auto"/>
          <w:sz w:val="28"/>
          <w:szCs w:val="28"/>
        </w:rPr>
      </w:pPr>
      <w:r>
        <w:rPr>
          <w:rFonts w:ascii="Arial" w:hAnsi="Arial" w:cs="Arial"/>
          <w:color w:val="auto"/>
          <w:sz w:val="28"/>
          <w:szCs w:val="28"/>
        </w:rPr>
        <w:t>Právna forma 112 – spoločnosť s ručením obmedzeným</w:t>
      </w:r>
    </w:p>
    <w:p w14:paraId="406ED82B">
      <w:pPr>
        <w:pStyle w:val="33"/>
        <w:jc w:val="center"/>
        <w:rPr>
          <w:rFonts w:ascii="Arial" w:hAnsi="Arial" w:cs="Arial"/>
          <w:color w:val="auto"/>
          <w:sz w:val="28"/>
          <w:szCs w:val="28"/>
        </w:rPr>
      </w:pPr>
    </w:p>
    <w:p w14:paraId="7767CD93">
      <w:pPr>
        <w:pStyle w:val="33"/>
        <w:jc w:val="center"/>
        <w:rPr>
          <w:rFonts w:hint="default" w:ascii="Arial" w:hAnsi="Arial" w:cs="Arial"/>
          <w:color w:val="auto"/>
          <w:sz w:val="28"/>
          <w:szCs w:val="28"/>
          <w:lang w:val="sk-SK"/>
        </w:rPr>
      </w:pPr>
      <w:r>
        <w:rPr>
          <w:rFonts w:ascii="Arial" w:hAnsi="Arial" w:cs="Arial"/>
          <w:color w:val="auto"/>
          <w:sz w:val="28"/>
          <w:szCs w:val="28"/>
        </w:rPr>
        <w:t>Zdaňovacie obdobie od 01 202</w:t>
      </w:r>
      <w:r>
        <w:rPr>
          <w:rFonts w:hint="default" w:ascii="Arial" w:hAnsi="Arial" w:cs="Arial"/>
          <w:color w:val="auto"/>
          <w:sz w:val="28"/>
          <w:szCs w:val="28"/>
          <w:lang w:val="sk-SK"/>
        </w:rPr>
        <w:t>5</w:t>
      </w:r>
      <w:r>
        <w:rPr>
          <w:rFonts w:ascii="Arial" w:hAnsi="Arial" w:cs="Arial"/>
          <w:color w:val="auto"/>
          <w:sz w:val="28"/>
          <w:szCs w:val="28"/>
        </w:rPr>
        <w:t xml:space="preserve"> do 12 202</w:t>
      </w:r>
      <w:r>
        <w:rPr>
          <w:rFonts w:hint="default" w:ascii="Arial" w:hAnsi="Arial" w:cs="Arial"/>
          <w:color w:val="auto"/>
          <w:sz w:val="28"/>
          <w:szCs w:val="28"/>
          <w:lang w:val="sk-SK"/>
        </w:rPr>
        <w:t>5</w:t>
      </w:r>
      <w:bookmarkStart w:id="0" w:name="_GoBack"/>
      <w:bookmarkEnd w:id="0"/>
    </w:p>
    <w:p w14:paraId="64466614">
      <w:pPr>
        <w:pStyle w:val="33"/>
        <w:jc w:val="center"/>
        <w:rPr>
          <w:rFonts w:ascii="Arial" w:hAnsi="Arial" w:cs="Arial"/>
          <w:color w:val="auto"/>
          <w:sz w:val="28"/>
          <w:szCs w:val="28"/>
        </w:rPr>
      </w:pPr>
    </w:p>
    <w:p w14:paraId="7BC6F9D5">
      <w:pPr>
        <w:pStyle w:val="33"/>
        <w:jc w:val="center"/>
        <w:rPr>
          <w:rFonts w:ascii="Arial" w:hAnsi="Arial" w:cs="Arial"/>
          <w:color w:val="auto"/>
          <w:sz w:val="28"/>
          <w:szCs w:val="28"/>
        </w:rPr>
      </w:pPr>
      <w:r>
        <w:rPr>
          <w:rFonts w:ascii="Arial" w:hAnsi="Arial" w:cs="Arial"/>
          <w:color w:val="auto"/>
          <w:sz w:val="28"/>
          <w:szCs w:val="28"/>
        </w:rPr>
        <w:t>Spoločnosť je platiteľom dane z pridanej hodnoty.</w:t>
      </w:r>
    </w:p>
    <w:p w14:paraId="1B6B6827">
      <w:pPr>
        <w:pStyle w:val="33"/>
        <w:rPr>
          <w:rFonts w:ascii="Arial" w:hAnsi="Arial" w:cs="Arial"/>
          <w:color w:val="auto"/>
        </w:rPr>
      </w:pPr>
    </w:p>
    <w:p w14:paraId="028758BE">
      <w:pPr>
        <w:pStyle w:val="33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Spoločník – Szabó Attila</w:t>
      </w:r>
    </w:p>
    <w:p w14:paraId="1D6429D2">
      <w:pPr>
        <w:pStyle w:val="33"/>
        <w:rPr>
          <w:rFonts w:ascii="Arial" w:hAnsi="Arial" w:cs="Arial"/>
          <w:color w:val="auto"/>
        </w:rPr>
      </w:pPr>
    </w:p>
    <w:p w14:paraId="26A52AFE">
      <w:pPr>
        <w:pStyle w:val="33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Účtovná závierka bola zostavená za predpokladu nepretržitého trvania spoločnosti. </w:t>
      </w:r>
    </w:p>
    <w:p w14:paraId="296F2A9E">
      <w:pPr>
        <w:pStyle w:val="33"/>
        <w:spacing w:after="27"/>
        <w:rPr>
          <w:rFonts w:ascii="Arial" w:hAnsi="Arial" w:cs="Arial"/>
          <w:color w:val="auto"/>
        </w:rPr>
      </w:pPr>
    </w:p>
    <w:p w14:paraId="28C2A8CC">
      <w:pPr>
        <w:pStyle w:val="33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Údaje o konsolidovanom celku, a to </w:t>
      </w:r>
    </w:p>
    <w:p w14:paraId="4ED252D4">
      <w:pPr>
        <w:pStyle w:val="33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5C07C1C">
      <w:pPr>
        <w:pStyle w:val="33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46629FE">
      <w:pPr>
        <w:pStyle w:val="33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0E65DDCD">
      <w:pPr>
        <w:pStyle w:val="33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2. pri oslobodení podľa § 22 ods. 12 zákona obchodné meno a sídlo dcérskych účtovných jednotiek. </w:t>
      </w:r>
    </w:p>
    <w:p w14:paraId="74FAC3EE">
      <w:pPr>
        <w:pStyle w:val="33"/>
        <w:rPr>
          <w:rFonts w:ascii="Arial" w:hAnsi="Arial" w:cs="Arial"/>
          <w:color w:val="auto"/>
        </w:rPr>
      </w:pPr>
    </w:p>
    <w:p w14:paraId="533B8615">
      <w:pPr>
        <w:pStyle w:val="33"/>
        <w:numPr>
          <w:ilvl w:val="0"/>
          <w:numId w:val="1"/>
        </w:numPr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Spoločnosť nie je súčasťou konsolidovanej účtovnej jednotky.</w:t>
      </w:r>
    </w:p>
    <w:p w14:paraId="2D93C0F3">
      <w:pPr>
        <w:pStyle w:val="33"/>
        <w:rPr>
          <w:rFonts w:ascii="Arial" w:hAnsi="Arial" w:cs="Arial"/>
          <w:color w:val="auto"/>
        </w:rPr>
      </w:pPr>
    </w:p>
    <w:tbl>
      <w:tblPr>
        <w:tblStyle w:val="12"/>
        <w:tblW w:w="14586" w:type="dxa"/>
        <w:tblInd w:w="70" w:type="dxa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9"/>
        <w:gridCol w:w="3519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08"/>
      </w:tblGrid>
      <w:tr w14:paraId="69E4E3A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1670" w:type="dxa"/>
          <w:trHeight w:val="300" w:hRule="atLeast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5E04A5">
            <w:pPr>
              <w:pStyle w:val="28"/>
              <w:numPr>
                <w:ilvl w:val="0"/>
                <w:numId w:val="1"/>
              </w:numPr>
              <w:spacing w:after="0" w:line="240" w:lineRule="auto"/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  <w:t xml:space="preserve">Dlhodobý majetok nakupovaný sa oceňuje obstarávacou cenou, ktorá zahŕňa cenu obstarania a náklady Dlhodobý majetok nakupovaný sa oceňuje obstarávacou cenou, ktorá zahŕňa cenu obstarania a náklady </w:t>
            </w:r>
          </w:p>
        </w:tc>
      </w:tr>
      <w:tr w14:paraId="270AF19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1670" w:type="dxa"/>
          <w:trHeight w:val="300" w:hRule="atLeast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FED3AB">
            <w:pPr>
              <w:spacing w:after="0" w:line="240" w:lineRule="auto"/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  <w:t xml:space="preserve">súvisiace s obstaraním (clo, prepravu, montáž, poistné a pod.). </w:t>
            </w:r>
          </w:p>
        </w:tc>
      </w:tr>
      <w:tr w14:paraId="5C9BA11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1670" w:type="dxa"/>
          <w:trHeight w:val="300" w:hRule="atLeast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E3A0C5">
            <w:pPr>
              <w:spacing w:after="0" w:line="240" w:lineRule="auto"/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14:paraId="4759805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1670" w:type="dxa"/>
          <w:trHeight w:val="80" w:hRule="atLeast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811041">
            <w:pPr>
              <w:spacing w:after="0" w:line="240" w:lineRule="auto"/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14:paraId="5344BEA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1670" w:type="dxa"/>
          <w:trHeight w:val="80" w:hRule="atLeast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9CF3E0">
            <w:pPr>
              <w:spacing w:after="0" w:line="240" w:lineRule="auto"/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14:paraId="7A08BEE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1670" w:type="dxa"/>
          <w:trHeight w:val="300" w:hRule="atLeast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52E430">
            <w:pPr>
              <w:pStyle w:val="28"/>
              <w:numPr>
                <w:ilvl w:val="0"/>
                <w:numId w:val="1"/>
              </w:numPr>
              <w:spacing w:after="0" w:line="240" w:lineRule="auto"/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nehmotného majetku sú stanovené vychádzajúc z predpokladanej doby jeho </w:t>
            </w:r>
          </w:p>
        </w:tc>
      </w:tr>
      <w:tr w14:paraId="15C9960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1670" w:type="dxa"/>
          <w:trHeight w:val="300" w:hRule="atLeast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90B056">
            <w:pPr>
              <w:spacing w:after="0" w:line="240" w:lineRule="auto"/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14:paraId="34E98D0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1670" w:type="dxa"/>
          <w:trHeight w:val="300" w:hRule="atLeast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8C7821">
            <w:pPr>
              <w:spacing w:after="0" w:line="240" w:lineRule="auto"/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  <w:t>uvedenia dlhodobého majetku do používania. Drobný dlhodobý nehmotný majetok, ktorého obstarávacia</w:t>
            </w:r>
          </w:p>
        </w:tc>
      </w:tr>
      <w:tr w14:paraId="70B0882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1670" w:type="dxa"/>
          <w:trHeight w:val="300" w:hRule="atLeast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D486A1">
            <w:pPr>
              <w:spacing w:after="0" w:line="240" w:lineRule="auto"/>
              <w:rPr>
                <w:rFonts w:ascii="Arial" w:hAnsi="Arial" w:eastAsia="Times New Roman" w:cs="Arial"/>
                <w:bCs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bCs/>
                <w:sz w:val="24"/>
                <w:szCs w:val="24"/>
                <w:lang w:eastAsia="sk-SK"/>
              </w:rPr>
              <w:t>cena (resp. vlastné náklady) je  2400 EUR a nižšia, sa odpisuje jednorazovo pri uvedení do používania.</w:t>
            </w:r>
          </w:p>
          <w:p w14:paraId="3A3DD210">
            <w:pPr>
              <w:spacing w:after="0" w:line="240" w:lineRule="auto"/>
              <w:rPr>
                <w:rFonts w:ascii="Arial" w:hAnsi="Arial" w:eastAsia="Times New Roman" w:cs="Arial"/>
                <w:bCs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bCs/>
                <w:sz w:val="24"/>
                <w:szCs w:val="24"/>
                <w:lang w:eastAsia="sk-SK"/>
              </w:rPr>
              <w:t xml:space="preserve"> </w:t>
            </w:r>
          </w:p>
        </w:tc>
      </w:tr>
      <w:tr w14:paraId="7F29A65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1670" w:type="dxa"/>
          <w:trHeight w:val="300" w:hRule="atLeast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641FED">
            <w:pPr>
              <w:pStyle w:val="28"/>
              <w:numPr>
                <w:ilvl w:val="0"/>
                <w:numId w:val="1"/>
              </w:numPr>
              <w:spacing w:after="0" w:line="240" w:lineRule="auto"/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hmotného majetku sú stanovené vychádzajúc z predpokladanej doby jeho </w:t>
            </w:r>
          </w:p>
        </w:tc>
      </w:tr>
      <w:tr w14:paraId="3032E19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1670" w:type="dxa"/>
          <w:trHeight w:val="300" w:hRule="atLeast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DEDF8B">
            <w:pPr>
              <w:spacing w:after="0" w:line="240" w:lineRule="auto"/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14:paraId="00DD88D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1670" w:type="dxa"/>
          <w:trHeight w:val="300" w:hRule="atLeast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052EB4">
            <w:pPr>
              <w:spacing w:after="0" w:line="240" w:lineRule="auto"/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  <w:t xml:space="preserve"> uvedenia dlhodobého majetku do používania. Drobný dlhodobý hmotný majetok, ktorého obstarávacia</w:t>
            </w:r>
          </w:p>
        </w:tc>
      </w:tr>
      <w:tr w14:paraId="74BAC9B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1670" w:type="dxa"/>
          <w:trHeight w:val="300" w:hRule="atLeast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D80EC0">
            <w:pPr>
              <w:spacing w:after="0" w:line="240" w:lineRule="auto"/>
              <w:rPr>
                <w:rFonts w:ascii="Arial" w:hAnsi="Arial" w:eastAsia="Times New Roman" w:cs="Arial"/>
                <w:bCs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bCs/>
                <w:sz w:val="24"/>
                <w:szCs w:val="24"/>
                <w:lang w:eastAsia="sk-SK"/>
              </w:rPr>
              <w:t xml:space="preserve">cena (resp. vlastné náklady) je  1700 EUR a nižšia, sa odpisuje jednorazovo pri uvedení do používania. </w:t>
            </w:r>
          </w:p>
        </w:tc>
      </w:tr>
      <w:tr w14:paraId="6B2AF05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DA7C34">
            <w:pPr>
              <w:spacing w:after="0" w:line="240" w:lineRule="auto"/>
              <w:jc w:val="center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522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DBAC3C">
            <w:pPr>
              <w:spacing w:after="0" w:line="240" w:lineRule="auto"/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  <w:t xml:space="preserve">Ocenenie zásob 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6B4F5E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D08D43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C7FB16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F85A3B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AA37BD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29313D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52DA6F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92B608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5E2559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CBBC5E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0657DD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657A8C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1B2EB8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DC04DC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B358B8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5F5ACB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  <w:r>
              <w:rPr>
                <w:rFonts w:ascii="Arial" w:hAnsi="Arial" w:eastAsia="Times New Roman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14:paraId="582BBDB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5233B5">
            <w:pPr>
              <w:spacing w:after="0" w:line="240" w:lineRule="auto"/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  <w:t xml:space="preserve">Zásoby sa oceňujú nižšou z nasledujúcich hodnôt:  obstarávacia cena (nakupované zásoby) alebo </w:t>
            </w:r>
          </w:p>
        </w:tc>
        <w:tc>
          <w:tcPr>
            <w:tcW w:w="1670" w:type="dxa"/>
            <w:shd w:val="clear" w:color="auto" w:fill="auto"/>
            <w:vAlign w:val="center"/>
          </w:tcPr>
          <w:p w14:paraId="11969055">
            <w:pPr>
              <w:spacing w:after="0" w:line="240" w:lineRule="auto"/>
              <w:rPr>
                <w:rFonts w:ascii="Arial" w:hAnsi="Arial" w:eastAsia="Times New Roman" w:cs="Arial"/>
                <w:sz w:val="24"/>
                <w:szCs w:val="24"/>
                <w:lang w:eastAsia="sk-SK"/>
              </w:rPr>
            </w:pPr>
          </w:p>
        </w:tc>
      </w:tr>
      <w:tr w14:paraId="18E11E4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1A9942">
            <w:pPr>
              <w:spacing w:after="0" w:line="240" w:lineRule="auto"/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  <w:t>vlastné náklady (zásoby vytvorené vlastnou činnosťou) alebo čistá realizačná hodnota.</w:t>
            </w:r>
          </w:p>
        </w:tc>
        <w:tc>
          <w:tcPr>
            <w:tcW w:w="1670" w:type="dxa"/>
            <w:shd w:val="clear" w:color="auto" w:fill="auto"/>
            <w:vAlign w:val="center"/>
          </w:tcPr>
          <w:p w14:paraId="14764927">
            <w:pPr>
              <w:spacing w:after="0" w:line="240" w:lineRule="auto"/>
              <w:rPr>
                <w:rFonts w:ascii="Arial" w:hAnsi="Arial" w:eastAsia="Times New Roman" w:cs="Arial"/>
                <w:sz w:val="24"/>
                <w:szCs w:val="24"/>
                <w:lang w:eastAsia="sk-SK"/>
              </w:rPr>
            </w:pPr>
          </w:p>
        </w:tc>
      </w:tr>
      <w:tr w14:paraId="133E659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538414">
            <w:pPr>
              <w:spacing w:after="0" w:line="240" w:lineRule="auto"/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  <w:t xml:space="preserve"> Nakupované zásoby sa oceňujú váženým aritmetickým priemerom z obstarávacích cien.</w:t>
            </w:r>
          </w:p>
          <w:p w14:paraId="11FEB787">
            <w:pPr>
              <w:spacing w:after="0" w:line="240" w:lineRule="auto"/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</w:tcPr>
          <w:p w14:paraId="73D37BB9">
            <w:pPr>
              <w:spacing w:after="0" w:line="240" w:lineRule="auto"/>
              <w:rPr>
                <w:rFonts w:ascii="Arial" w:hAnsi="Arial" w:eastAsia="Times New Roman" w:cs="Arial"/>
                <w:sz w:val="24"/>
                <w:szCs w:val="24"/>
                <w:lang w:eastAsia="sk-SK"/>
              </w:rPr>
            </w:pPr>
          </w:p>
        </w:tc>
      </w:tr>
      <w:tr w14:paraId="6374CFD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CB1ACE">
            <w:pPr>
              <w:spacing w:after="0" w:line="240" w:lineRule="auto"/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  <w:t>Zníženie hodnoty zásob sa upravuje vytvorením opravnej položky.</w:t>
            </w:r>
          </w:p>
        </w:tc>
        <w:tc>
          <w:tcPr>
            <w:tcW w:w="1670" w:type="dxa"/>
            <w:shd w:val="clear" w:color="auto" w:fill="auto"/>
            <w:vAlign w:val="center"/>
          </w:tcPr>
          <w:p w14:paraId="19D03458">
            <w:pPr>
              <w:spacing w:after="0" w:line="240" w:lineRule="auto"/>
              <w:rPr>
                <w:rFonts w:ascii="Arial" w:hAnsi="Arial" w:eastAsia="Times New Roman" w:cs="Arial"/>
                <w:sz w:val="24"/>
                <w:szCs w:val="24"/>
                <w:lang w:eastAsia="sk-SK"/>
              </w:rPr>
            </w:pPr>
          </w:p>
        </w:tc>
      </w:tr>
      <w:tr w14:paraId="568D13E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56239B">
            <w:pPr>
              <w:spacing w:after="0" w:line="240" w:lineRule="auto"/>
              <w:jc w:val="center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3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A0A322">
            <w:pPr>
              <w:spacing w:after="0" w:line="240" w:lineRule="auto"/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  <w:t>Ocenenie pohľadávok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9F478A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883A19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299710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9533AE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EC5F25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0AEC7A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1EDC96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013F49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E5905C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E00625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58827E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931FCC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37B10C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8FEE54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B6E59B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934406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A5766B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BCB15A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EC924E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B56E31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50F597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EA66A4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7071AE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C5DA5C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56AD1A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3B8255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03C016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ECD139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23719E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CA8241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F3D8DF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D3B403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AD9820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B1F6F0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5B43EF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49ED22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1B0BDD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A30750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5C3C5D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848D62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30BB06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83A787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BEB16C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A94BBC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CB3A6B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  <w:r>
              <w:rPr>
                <w:rFonts w:ascii="Arial" w:hAnsi="Arial" w:eastAsia="Times New Roman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14:paraId="2A66F18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408610">
            <w:pPr>
              <w:spacing w:after="0" w:line="240" w:lineRule="auto"/>
              <w:rPr>
                <w:rFonts w:ascii="Arial" w:hAnsi="Arial" w:eastAsia="Times New Roman" w:cs="Arial"/>
                <w:bCs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bCs/>
                <w:sz w:val="24"/>
                <w:szCs w:val="24"/>
                <w:lang w:eastAsia="sk-SK"/>
              </w:rPr>
              <w:t xml:space="preserve">Pohľadávky pri ich vzniku sa oceňujú ich menovitou hodnotou; postúpené pohľadávky a pohľadávky </w:t>
            </w:r>
          </w:p>
        </w:tc>
        <w:tc>
          <w:tcPr>
            <w:tcW w:w="1670" w:type="dxa"/>
            <w:shd w:val="clear" w:color="auto" w:fill="auto"/>
            <w:vAlign w:val="center"/>
          </w:tcPr>
          <w:p w14:paraId="2F640029">
            <w:pPr>
              <w:spacing w:after="0" w:line="240" w:lineRule="auto"/>
              <w:rPr>
                <w:rFonts w:ascii="Arial" w:hAnsi="Arial" w:eastAsia="Times New Roman" w:cs="Arial"/>
                <w:sz w:val="24"/>
                <w:szCs w:val="24"/>
                <w:lang w:eastAsia="sk-SK"/>
              </w:rPr>
            </w:pPr>
          </w:p>
        </w:tc>
      </w:tr>
      <w:tr w14:paraId="21AFF19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4D5ABB">
            <w:pPr>
              <w:spacing w:after="0" w:line="240" w:lineRule="auto"/>
              <w:rPr>
                <w:rFonts w:ascii="Arial" w:hAnsi="Arial" w:eastAsia="Times New Roman" w:cs="Arial"/>
                <w:bCs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bCs/>
                <w:sz w:val="24"/>
                <w:szCs w:val="24"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  <w:tc>
          <w:tcPr>
            <w:tcW w:w="1670" w:type="dxa"/>
            <w:shd w:val="clear" w:color="auto" w:fill="auto"/>
            <w:vAlign w:val="center"/>
          </w:tcPr>
          <w:p w14:paraId="149E8DBB">
            <w:pPr>
              <w:spacing w:after="0" w:line="240" w:lineRule="auto"/>
              <w:rPr>
                <w:rFonts w:ascii="Arial" w:hAnsi="Arial" w:eastAsia="Times New Roman" w:cs="Arial"/>
                <w:sz w:val="24"/>
                <w:szCs w:val="24"/>
                <w:lang w:eastAsia="sk-SK"/>
              </w:rPr>
            </w:pPr>
          </w:p>
        </w:tc>
      </w:tr>
      <w:tr w14:paraId="08428D9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D3D93C">
            <w:pPr>
              <w:spacing w:after="0" w:line="240" w:lineRule="auto"/>
              <w:rPr>
                <w:rFonts w:ascii="Arial" w:hAnsi="Arial" w:eastAsia="Times New Roman" w:cs="Arial"/>
                <w:bCs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bCs/>
                <w:sz w:val="24"/>
                <w:szCs w:val="24"/>
                <w:lang w:eastAsia="sk-SK"/>
              </w:rPr>
              <w:t>s obstaraním. Toto ocenenie sa znižuje o pochybné a nevymožiteľné pohľadávky.</w:t>
            </w:r>
          </w:p>
        </w:tc>
        <w:tc>
          <w:tcPr>
            <w:tcW w:w="1670" w:type="dxa"/>
            <w:shd w:val="clear" w:color="auto" w:fill="auto"/>
            <w:vAlign w:val="center"/>
          </w:tcPr>
          <w:p w14:paraId="5B41D984">
            <w:pPr>
              <w:spacing w:after="0" w:line="240" w:lineRule="auto"/>
              <w:rPr>
                <w:rFonts w:ascii="Arial" w:hAnsi="Arial" w:eastAsia="Times New Roman" w:cs="Arial"/>
                <w:sz w:val="24"/>
                <w:szCs w:val="24"/>
                <w:lang w:eastAsia="sk-SK"/>
              </w:rPr>
            </w:pPr>
          </w:p>
        </w:tc>
      </w:tr>
      <w:tr w14:paraId="02D3C04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3DF419">
            <w:pPr>
              <w:spacing w:after="0" w:line="240" w:lineRule="auto"/>
              <w:jc w:val="center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627" w:type="dxa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CA7005">
            <w:pPr>
              <w:spacing w:after="0" w:line="240" w:lineRule="auto"/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  <w:t>Spoločnosť neeviduje vlastné akcie, nevlastní cenné papiere.</w:t>
            </w:r>
          </w:p>
          <w:p w14:paraId="44386348">
            <w:pPr>
              <w:spacing w:after="0" w:line="240" w:lineRule="auto"/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</w:tcPr>
          <w:p w14:paraId="4245978C">
            <w:pPr>
              <w:spacing w:after="0" w:line="240" w:lineRule="auto"/>
              <w:rPr>
                <w:rFonts w:ascii="Arial" w:hAnsi="Arial" w:eastAsia="Times New Roman" w:cs="Arial"/>
                <w:sz w:val="24"/>
                <w:szCs w:val="24"/>
                <w:lang w:eastAsia="sk-SK"/>
              </w:rPr>
            </w:pPr>
          </w:p>
        </w:tc>
      </w:tr>
      <w:tr w14:paraId="050ACFA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837B1F">
            <w:pPr>
              <w:spacing w:after="0" w:line="240" w:lineRule="auto"/>
              <w:jc w:val="center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729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171142">
            <w:pPr>
              <w:spacing w:after="0" w:line="240" w:lineRule="auto"/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  <w:t>Ocenenie záväzkov vrátane rezerv, dlhopisov, pôžičiek a úverov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FDD5E9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0429AD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BFD07B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ADB143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76221F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07BD60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F8FBF9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E728BF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12DE16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DED367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60CEFE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F19F12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70433E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D062DD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6D7ABF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  <w:r>
              <w:rPr>
                <w:rFonts w:ascii="Arial" w:hAnsi="Arial" w:eastAsia="Times New Roman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14:paraId="598CFFB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CCDA1E">
            <w:pPr>
              <w:spacing w:after="0" w:line="240" w:lineRule="auto"/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  <w:t xml:space="preserve">Záväzky pri ich vzniku sa oceňujú menovitou hodnotou. Záväzky pri ich prevzatí sa oceňujú obstarávacou </w:t>
            </w:r>
          </w:p>
        </w:tc>
        <w:tc>
          <w:tcPr>
            <w:tcW w:w="1670" w:type="dxa"/>
            <w:shd w:val="clear" w:color="auto" w:fill="auto"/>
            <w:vAlign w:val="center"/>
          </w:tcPr>
          <w:p w14:paraId="6FD856F6">
            <w:pPr>
              <w:spacing w:after="0" w:line="240" w:lineRule="auto"/>
              <w:rPr>
                <w:rFonts w:ascii="Arial" w:hAnsi="Arial" w:eastAsia="Times New Roman" w:cs="Arial"/>
                <w:sz w:val="24"/>
                <w:szCs w:val="24"/>
                <w:lang w:eastAsia="sk-SK"/>
              </w:rPr>
            </w:pPr>
          </w:p>
        </w:tc>
      </w:tr>
      <w:tr w14:paraId="0830B3E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3A31E6">
            <w:pPr>
              <w:spacing w:after="0" w:line="240" w:lineRule="auto"/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  <w:tc>
          <w:tcPr>
            <w:tcW w:w="1670" w:type="dxa"/>
            <w:shd w:val="clear" w:color="auto" w:fill="auto"/>
            <w:vAlign w:val="center"/>
          </w:tcPr>
          <w:p w14:paraId="0098FD0E">
            <w:pPr>
              <w:spacing w:after="0" w:line="240" w:lineRule="auto"/>
              <w:rPr>
                <w:rFonts w:ascii="Arial" w:hAnsi="Arial" w:eastAsia="Times New Roman" w:cs="Arial"/>
                <w:sz w:val="24"/>
                <w:szCs w:val="24"/>
                <w:lang w:eastAsia="sk-SK"/>
              </w:rPr>
            </w:pPr>
          </w:p>
        </w:tc>
      </w:tr>
      <w:tr w14:paraId="2BD39F2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72E9D4">
            <w:pPr>
              <w:spacing w:after="0" w:line="240" w:lineRule="auto"/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  <w:t xml:space="preserve">v účtovníctve a v účtovnej závierke v tomto zistenom ocenení. </w:t>
            </w:r>
          </w:p>
        </w:tc>
        <w:tc>
          <w:tcPr>
            <w:tcW w:w="1670" w:type="dxa"/>
            <w:shd w:val="clear" w:color="auto" w:fill="auto"/>
            <w:vAlign w:val="center"/>
          </w:tcPr>
          <w:p w14:paraId="06815CD9">
            <w:pPr>
              <w:spacing w:after="0" w:line="240" w:lineRule="auto"/>
              <w:rPr>
                <w:rFonts w:ascii="Arial" w:hAnsi="Arial" w:eastAsia="Times New Roman" w:cs="Arial"/>
                <w:sz w:val="24"/>
                <w:szCs w:val="24"/>
                <w:lang w:eastAsia="sk-SK"/>
              </w:rPr>
            </w:pPr>
          </w:p>
        </w:tc>
      </w:tr>
      <w:tr w14:paraId="47388B2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8CE54B">
            <w:pPr>
              <w:spacing w:after="0" w:line="240" w:lineRule="auto"/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  <w:t xml:space="preserve">Rezervy sú záväzky s neurčitým časovým vymedzením alebo výškou; tvoria sa na krytie známych rizík alebo </w:t>
            </w:r>
          </w:p>
        </w:tc>
        <w:tc>
          <w:tcPr>
            <w:tcW w:w="1670" w:type="dxa"/>
            <w:shd w:val="clear" w:color="auto" w:fill="auto"/>
            <w:vAlign w:val="center"/>
          </w:tcPr>
          <w:p w14:paraId="68455771">
            <w:pPr>
              <w:spacing w:after="0" w:line="240" w:lineRule="auto"/>
              <w:rPr>
                <w:rFonts w:ascii="Arial" w:hAnsi="Arial" w:eastAsia="Times New Roman" w:cs="Arial"/>
                <w:sz w:val="24"/>
                <w:szCs w:val="24"/>
                <w:lang w:eastAsia="sk-SK"/>
              </w:rPr>
            </w:pPr>
          </w:p>
        </w:tc>
      </w:tr>
      <w:tr w14:paraId="0D71794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3F2FBB">
            <w:pPr>
              <w:spacing w:after="0" w:line="240" w:lineRule="auto"/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  <w:t>strát z podnikania. Oceňujú sa v očakávanej výške záväzku.</w:t>
            </w:r>
          </w:p>
        </w:tc>
        <w:tc>
          <w:tcPr>
            <w:tcW w:w="1670" w:type="dxa"/>
            <w:shd w:val="clear" w:color="auto" w:fill="auto"/>
            <w:vAlign w:val="center"/>
          </w:tcPr>
          <w:p w14:paraId="16170D9A">
            <w:pPr>
              <w:spacing w:after="0" w:line="240" w:lineRule="auto"/>
              <w:rPr>
                <w:rFonts w:ascii="Arial" w:hAnsi="Arial" w:eastAsia="Times New Roman" w:cs="Arial"/>
                <w:sz w:val="24"/>
                <w:szCs w:val="24"/>
                <w:lang w:eastAsia="sk-SK"/>
              </w:rPr>
            </w:pPr>
          </w:p>
        </w:tc>
      </w:tr>
      <w:tr w14:paraId="1C4EE8B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476D31">
            <w:pPr>
              <w:spacing w:after="0" w:line="240" w:lineRule="auto"/>
              <w:jc w:val="center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7659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34D20F">
            <w:pPr>
              <w:spacing w:after="0" w:line="240" w:lineRule="auto"/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bCs/>
                <w:color w:val="000000"/>
                <w:sz w:val="24"/>
                <w:szCs w:val="24"/>
                <w:lang w:eastAsia="sk-SK"/>
              </w:rPr>
              <w:t>Informácie o poskytnutých dotáciach a ich ocenení - Spoločnosti neboli poskytnuté dotácie.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6B5A72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79AED1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3454E2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A9041E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0FDE93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DA6D04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951476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3EBCD2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DEA8D8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003750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56F7E5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70BB2C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C95C8E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F08EB2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9F3E11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1D18AC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485A1F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B636B8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5E1A6B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285217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E20051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32F39A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B81C0F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193F5E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A0E3C6">
            <w:pPr>
              <w:spacing w:after="0" w:line="240" w:lineRule="auto"/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eastAsia="Times New Roman" w:cs="Arial"/>
                <w:color w:val="000000"/>
                <w:sz w:val="24"/>
                <w:szCs w:val="24"/>
                <w:lang w:eastAsia="sk-SK"/>
              </w:rPr>
              <w:t> </w:t>
            </w:r>
            <w:r>
              <w:rPr>
                <w:rFonts w:ascii="Arial" w:hAnsi="Arial" w:eastAsia="Times New Roman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</w:tbl>
    <w:p w14:paraId="1A4185E6">
      <w:pPr>
        <w:pStyle w:val="33"/>
        <w:rPr>
          <w:rFonts w:ascii="Arial" w:hAnsi="Arial" w:cs="Arial"/>
          <w:bCs/>
          <w:color w:val="auto"/>
        </w:rPr>
      </w:pPr>
    </w:p>
    <w:p w14:paraId="5EBA99DA">
      <w:pPr>
        <w:pStyle w:val="33"/>
        <w:rPr>
          <w:rFonts w:ascii="Arial" w:hAnsi="Arial" w:cs="Arial"/>
          <w:b/>
          <w:bCs/>
          <w:i/>
          <w:color w:val="auto"/>
        </w:rPr>
      </w:pPr>
      <w:r>
        <w:rPr>
          <w:rFonts w:ascii="Arial" w:hAnsi="Arial" w:cs="Arial"/>
          <w:b/>
          <w:bCs/>
          <w:i/>
          <w:color w:val="auto"/>
        </w:rPr>
        <w:t xml:space="preserve">Informácie o prijatých postupoch </w:t>
      </w:r>
    </w:p>
    <w:p w14:paraId="37AD1D1B">
      <w:pPr>
        <w:pStyle w:val="33"/>
        <w:rPr>
          <w:rFonts w:ascii="Arial" w:hAnsi="Arial" w:cs="Arial"/>
          <w:b/>
          <w:i/>
          <w:color w:val="auto"/>
        </w:rPr>
      </w:pPr>
    </w:p>
    <w:p w14:paraId="074277A5">
      <w:pPr>
        <w:pStyle w:val="33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Účtovná jednotka predpokladá, že bude nepretržite pokračovať vo svojej činnosti. </w:t>
      </w:r>
    </w:p>
    <w:p w14:paraId="1BF49876">
      <w:pPr>
        <w:pStyle w:val="33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Účtovné metódy a všeobecné účtovné zásady boli účtovnou jednotkou konzistentne aplikované.</w:t>
      </w:r>
    </w:p>
    <w:p w14:paraId="11899E18">
      <w:pPr>
        <w:pStyle w:val="33"/>
        <w:rPr>
          <w:rFonts w:ascii="Arial" w:hAnsi="Arial" w:cs="Arial"/>
          <w:color w:val="auto"/>
        </w:rPr>
      </w:pPr>
    </w:p>
    <w:p w14:paraId="6782AD2C">
      <w:pPr>
        <w:pStyle w:val="28"/>
        <w:numPr>
          <w:ilvl w:val="0"/>
          <w:numId w:val="1"/>
        </w:numPr>
        <w:spacing w:after="0" w:line="240" w:lineRule="auto"/>
        <w:rPr>
          <w:rFonts w:ascii="Arial" w:hAnsi="Arial" w:eastAsia="Times New Roman" w:cs="Arial"/>
          <w:bCs/>
          <w:color w:val="000000"/>
          <w:sz w:val="24"/>
          <w:szCs w:val="24"/>
          <w:lang w:eastAsia="sk-SK"/>
        </w:rPr>
      </w:pPr>
      <w:r>
        <w:rPr>
          <w:rFonts w:ascii="Arial" w:hAnsi="Arial" w:eastAsia="Times New Roman" w:cs="Arial"/>
          <w:bCs/>
          <w:color w:val="000000"/>
          <w:sz w:val="24"/>
          <w:szCs w:val="24"/>
          <w:lang w:eastAsia="sk-SK"/>
        </w:rPr>
        <w:t>Spoločnosť eviduje záväzky, ktorých hodnota je uvedená vo výkaze MÚJ.</w:t>
      </w:r>
    </w:p>
    <w:p w14:paraId="1B3A6281">
      <w:pPr>
        <w:spacing w:after="0" w:line="240" w:lineRule="auto"/>
        <w:rPr>
          <w:rFonts w:ascii="Arial" w:hAnsi="Arial" w:eastAsia="Times New Roman" w:cs="Arial"/>
          <w:bCs/>
          <w:color w:val="000000"/>
          <w:sz w:val="24"/>
          <w:szCs w:val="24"/>
          <w:lang w:eastAsia="sk-SK"/>
        </w:rPr>
      </w:pPr>
    </w:p>
    <w:p w14:paraId="29E1A975">
      <w:pPr>
        <w:pStyle w:val="28"/>
        <w:numPr>
          <w:ilvl w:val="0"/>
          <w:numId w:val="1"/>
        </w:numPr>
        <w:spacing w:after="0" w:line="240" w:lineRule="auto"/>
        <w:rPr>
          <w:rFonts w:ascii="Arial" w:hAnsi="Arial" w:eastAsia="Times New Roman" w:cs="Arial"/>
          <w:bCs/>
          <w:color w:val="000000"/>
          <w:sz w:val="24"/>
          <w:szCs w:val="24"/>
          <w:lang w:eastAsia="sk-SK"/>
        </w:rPr>
      </w:pPr>
      <w:r>
        <w:rPr>
          <w:rFonts w:ascii="Arial" w:hAnsi="Arial" w:eastAsia="Times New Roman" w:cs="Arial"/>
          <w:bCs/>
          <w:color w:val="000000"/>
          <w:sz w:val="24"/>
          <w:szCs w:val="24"/>
          <w:lang w:eastAsia="sk-SK"/>
        </w:rPr>
        <w:t>Spoločnosť neeviduje finančné povinnosti, ktoré sa nevykazujú  v súvahe.</w:t>
      </w:r>
    </w:p>
    <w:p w14:paraId="512EC8FE">
      <w:pPr>
        <w:spacing w:after="0" w:line="240" w:lineRule="auto"/>
        <w:rPr>
          <w:rFonts w:ascii="Arial" w:hAnsi="Arial" w:eastAsia="Times New Roman" w:cs="Arial"/>
          <w:bCs/>
          <w:color w:val="000000"/>
          <w:sz w:val="24"/>
          <w:szCs w:val="24"/>
          <w:lang w:eastAsia="sk-SK"/>
        </w:rPr>
      </w:pPr>
    </w:p>
    <w:p w14:paraId="0AE189CD">
      <w:pPr>
        <w:pStyle w:val="28"/>
        <w:numPr>
          <w:ilvl w:val="0"/>
          <w:numId w:val="1"/>
        </w:numPr>
        <w:spacing w:after="0" w:line="240" w:lineRule="auto"/>
        <w:rPr>
          <w:rFonts w:ascii="Arial" w:hAnsi="Arial" w:eastAsia="Times New Roman" w:cs="Arial"/>
          <w:bCs/>
          <w:color w:val="000000"/>
          <w:sz w:val="24"/>
          <w:szCs w:val="24"/>
          <w:lang w:eastAsia="sk-SK"/>
        </w:rPr>
      </w:pPr>
      <w:r>
        <w:rPr>
          <w:rFonts w:ascii="Arial" w:hAnsi="Arial" w:eastAsia="Times New Roman" w:cs="Arial"/>
          <w:bCs/>
          <w:color w:val="000000"/>
          <w:sz w:val="24"/>
          <w:szCs w:val="24"/>
          <w:lang w:eastAsia="sk-SK"/>
        </w:rPr>
        <w:t>Spoločnosť neposkytla účasť na dôchodkových programoch pre zamestnancov.</w:t>
      </w:r>
    </w:p>
    <w:p w14:paraId="09702291">
      <w:pPr>
        <w:spacing w:after="0" w:line="240" w:lineRule="auto"/>
        <w:rPr>
          <w:rFonts w:ascii="Arial" w:hAnsi="Arial" w:eastAsia="Times New Roman" w:cs="Arial"/>
          <w:bCs/>
          <w:color w:val="000000"/>
          <w:sz w:val="24"/>
          <w:szCs w:val="24"/>
          <w:lang w:eastAsia="sk-SK"/>
        </w:rPr>
      </w:pPr>
    </w:p>
    <w:p w14:paraId="2DEAC4C8">
      <w:pPr>
        <w:pStyle w:val="28"/>
        <w:numPr>
          <w:ilvl w:val="0"/>
          <w:numId w:val="1"/>
        </w:numPr>
        <w:spacing w:after="0" w:line="240" w:lineRule="auto"/>
        <w:rPr>
          <w:rFonts w:ascii="Arial" w:hAnsi="Arial" w:eastAsia="Times New Roman" w:cs="Arial"/>
          <w:bCs/>
          <w:color w:val="000000"/>
          <w:sz w:val="24"/>
          <w:szCs w:val="24"/>
          <w:lang w:eastAsia="sk-SK"/>
        </w:rPr>
      </w:pPr>
      <w:r>
        <w:rPr>
          <w:rFonts w:ascii="Arial" w:hAnsi="Arial" w:eastAsia="Times New Roman" w:cs="Arial"/>
          <w:bCs/>
          <w:color w:val="000000"/>
          <w:sz w:val="24"/>
          <w:szCs w:val="24"/>
          <w:lang w:eastAsia="sk-SK"/>
        </w:rPr>
        <w:t>Spoločnosti neboli poskytnuté dotácie.</w:t>
      </w:r>
    </w:p>
    <w:p w14:paraId="228BF7A9">
      <w:pPr>
        <w:rPr>
          <w:rFonts w:ascii="Arial" w:hAnsi="Arial" w:eastAsia="Times New Roman" w:cs="Arial"/>
          <w:bCs/>
          <w:color w:val="000000"/>
          <w:sz w:val="24"/>
          <w:szCs w:val="24"/>
          <w:lang w:eastAsia="sk-SK"/>
        </w:rPr>
      </w:pPr>
    </w:p>
    <w:p w14:paraId="6EA8E16A">
      <w:pPr>
        <w:spacing w:after="0" w:line="240" w:lineRule="auto"/>
        <w:rPr>
          <w:rFonts w:ascii="Arial" w:hAnsi="Arial" w:eastAsia="Times New Roman" w:cs="Arial"/>
          <w:bCs/>
          <w:color w:val="000000"/>
          <w:sz w:val="24"/>
          <w:szCs w:val="24"/>
          <w:lang w:eastAsia="sk-SK"/>
        </w:rPr>
      </w:pPr>
      <w:r>
        <w:rPr>
          <w:rFonts w:ascii="Arial" w:hAnsi="Arial" w:eastAsia="Times New Roman" w:cs="Arial"/>
          <w:bCs/>
          <w:color w:val="000000"/>
          <w:sz w:val="24"/>
          <w:szCs w:val="24"/>
          <w:lang w:eastAsia="sk-SK"/>
        </w:rPr>
        <w:t xml:space="preserve"> </w:t>
      </w:r>
    </w:p>
    <w:p w14:paraId="6A8E8C1A"/>
    <w:sectPr>
      <w:pgSz w:w="11906" w:h="17340"/>
      <w:pgMar w:top="993" w:right="843" w:bottom="505" w:left="791" w:header="708" w:footer="708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Calibri Light">
    <w:panose1 w:val="020F0302020204030204"/>
    <w:charset w:val="EE"/>
    <w:family w:val="swiss"/>
    <w:pitch w:val="default"/>
    <w:sig w:usb0="E4002EFF" w:usb1="C200247B" w:usb2="00000009" w:usb3="00000000" w:csb0="200001FF" w:csb1="0000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 Light">
    <w:panose1 w:val="020F03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9B10A79"/>
    <w:multiLevelType w:val="multilevel"/>
    <w:tmpl w:val="69B10A79"/>
    <w:lvl w:ilvl="0" w:tentative="0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cs="Arial" w:eastAsiaTheme="minorHAnsi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5AA0"/>
    <w:rsid w:val="00365AA0"/>
    <w:rsid w:val="005F5284"/>
    <w:rsid w:val="00974B73"/>
    <w:rsid w:val="63C82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kern w:val="0"/>
      <w:sz w:val="22"/>
      <w:szCs w:val="22"/>
      <w:lang w:val="sk-SK" w:eastAsia="en-US" w:bidi="ar-SA"/>
      <w14:ligatures w14:val="none"/>
    </w:rPr>
  </w:style>
  <w:style w:type="paragraph" w:styleId="2">
    <w:name w:val="heading 1"/>
    <w:basedOn w:val="1"/>
    <w:next w:val="1"/>
    <w:link w:val="15"/>
    <w:qFormat/>
    <w:uiPriority w:val="9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paragraph" w:styleId="3">
    <w:name w:val="heading 2"/>
    <w:basedOn w:val="1"/>
    <w:next w:val="1"/>
    <w:link w:val="16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paragraph" w:styleId="4">
    <w:name w:val="heading 3"/>
    <w:basedOn w:val="1"/>
    <w:next w:val="1"/>
    <w:link w:val="17"/>
    <w:semiHidden/>
    <w:unhideWhenUsed/>
    <w:qFormat/>
    <w:uiPriority w:val="9"/>
    <w:pPr>
      <w:keepNext/>
      <w:keepLines/>
      <w:spacing w:before="160" w:after="80"/>
      <w:outlineLvl w:val="2"/>
    </w:pPr>
    <w:rPr>
      <w:rFonts w:eastAsiaTheme="majorEastAsia" w:cstheme="majorBidi"/>
      <w:color w:val="2F5597" w:themeColor="accent1" w:themeShade="BF"/>
      <w:sz w:val="28"/>
      <w:szCs w:val="28"/>
    </w:rPr>
  </w:style>
  <w:style w:type="paragraph" w:styleId="5">
    <w:name w:val="heading 4"/>
    <w:basedOn w:val="1"/>
    <w:next w:val="1"/>
    <w:link w:val="18"/>
    <w:semiHidden/>
    <w:unhideWhenUsed/>
    <w:qFormat/>
    <w:uiPriority w:val="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597" w:themeColor="accent1" w:themeShade="BF"/>
    </w:rPr>
  </w:style>
  <w:style w:type="paragraph" w:styleId="6">
    <w:name w:val="heading 5"/>
    <w:basedOn w:val="1"/>
    <w:next w:val="1"/>
    <w:link w:val="19"/>
    <w:semiHidden/>
    <w:unhideWhenUsed/>
    <w:qFormat/>
    <w:uiPriority w:val="9"/>
    <w:pPr>
      <w:keepNext/>
      <w:keepLines/>
      <w:spacing w:before="80" w:after="40"/>
      <w:outlineLvl w:val="4"/>
    </w:pPr>
    <w:rPr>
      <w:rFonts w:eastAsiaTheme="majorEastAsia" w:cstheme="majorBidi"/>
      <w:color w:val="2F5597" w:themeColor="accent1" w:themeShade="BF"/>
    </w:rPr>
  </w:style>
  <w:style w:type="paragraph" w:styleId="7">
    <w:name w:val="heading 6"/>
    <w:basedOn w:val="1"/>
    <w:next w:val="1"/>
    <w:link w:val="20"/>
    <w:semiHidden/>
    <w:unhideWhenUsed/>
    <w:qFormat/>
    <w:uiPriority w:val="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8">
    <w:name w:val="heading 7"/>
    <w:basedOn w:val="1"/>
    <w:next w:val="1"/>
    <w:link w:val="21"/>
    <w:semiHidden/>
    <w:unhideWhenUsed/>
    <w:qFormat/>
    <w:uiPriority w:val="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2"/>
    <w:semiHidden/>
    <w:unhideWhenUsed/>
    <w:qFormat/>
    <w:uiPriority w:val="9"/>
    <w:pPr>
      <w:keepNext/>
      <w:keepLines/>
      <w:spacing w:after="0"/>
      <w:outlineLvl w:val="7"/>
    </w:pPr>
    <w:rPr>
      <w:rFonts w:eastAsiaTheme="majorEastAsia" w:cstheme="majorBidi"/>
      <w:i/>
      <w:i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23"/>
    <w:semiHidden/>
    <w:unhideWhenUsed/>
    <w:qFormat/>
    <w:uiPriority w:val="9"/>
    <w:pPr>
      <w:keepNext/>
      <w:keepLines/>
      <w:spacing w:after="0"/>
      <w:outlineLvl w:val="8"/>
    </w:pPr>
    <w:rPr>
      <w:rFonts w:eastAsiaTheme="majorEastAsia" w:cstheme="majorBidi"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Subtitle"/>
    <w:basedOn w:val="1"/>
    <w:next w:val="1"/>
    <w:link w:val="25"/>
    <w:qFormat/>
    <w:uiPriority w:val="11"/>
    <w:rPr>
      <w:rFonts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4">
    <w:name w:val="Title"/>
    <w:basedOn w:val="1"/>
    <w:next w:val="1"/>
    <w:link w:val="24"/>
    <w:qFormat/>
    <w:uiPriority w:val="10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5">
    <w:name w:val="Nadpis 1 Char"/>
    <w:basedOn w:val="11"/>
    <w:link w:val="2"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16">
    <w:name w:val="Nadpis 2 Char"/>
    <w:basedOn w:val="11"/>
    <w:link w:val="3"/>
    <w:semiHidden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17">
    <w:name w:val="Nadpis 3 Char"/>
    <w:basedOn w:val="11"/>
    <w:link w:val="4"/>
    <w:semiHidden/>
    <w:uiPriority w:val="9"/>
    <w:rPr>
      <w:rFonts w:eastAsiaTheme="majorEastAsia" w:cstheme="majorBidi"/>
      <w:color w:val="2F5597" w:themeColor="accent1" w:themeShade="BF"/>
      <w:sz w:val="28"/>
      <w:szCs w:val="28"/>
    </w:rPr>
  </w:style>
  <w:style w:type="character" w:customStyle="1" w:styleId="18">
    <w:name w:val="Nadpis 4 Char"/>
    <w:basedOn w:val="11"/>
    <w:link w:val="5"/>
    <w:semiHidden/>
    <w:qFormat/>
    <w:uiPriority w:val="9"/>
    <w:rPr>
      <w:rFonts w:eastAsiaTheme="majorEastAsia" w:cstheme="majorBidi"/>
      <w:i/>
      <w:iCs/>
      <w:color w:val="2F5597" w:themeColor="accent1" w:themeShade="BF"/>
    </w:rPr>
  </w:style>
  <w:style w:type="character" w:customStyle="1" w:styleId="19">
    <w:name w:val="Nadpis 5 Char"/>
    <w:basedOn w:val="11"/>
    <w:link w:val="6"/>
    <w:semiHidden/>
    <w:uiPriority w:val="9"/>
    <w:rPr>
      <w:rFonts w:eastAsiaTheme="majorEastAsia" w:cstheme="majorBidi"/>
      <w:color w:val="2F5597" w:themeColor="accent1" w:themeShade="BF"/>
    </w:rPr>
  </w:style>
  <w:style w:type="character" w:customStyle="1" w:styleId="20">
    <w:name w:val="Nadpis 6 Char"/>
    <w:basedOn w:val="11"/>
    <w:link w:val="7"/>
    <w:semiHidden/>
    <w:uiPriority w:val="9"/>
    <w:rPr>
      <w:rFonts w:eastAsiaTheme="majorEastAsia" w:cstheme="majorBidi"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1">
    <w:name w:val="Nadpis 7 Char"/>
    <w:basedOn w:val="11"/>
    <w:link w:val="8"/>
    <w:semiHidden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2">
    <w:name w:val="Nadpis 8 Char"/>
    <w:basedOn w:val="11"/>
    <w:link w:val="9"/>
    <w:semiHidden/>
    <w:uiPriority w:val="9"/>
    <w:rPr>
      <w:rFonts w:eastAsiaTheme="majorEastAsia" w:cstheme="majorBidi"/>
      <w:i/>
      <w:i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3">
    <w:name w:val="Nadpis 9 Char"/>
    <w:basedOn w:val="11"/>
    <w:link w:val="10"/>
    <w:semiHidden/>
    <w:uiPriority w:val="9"/>
    <w:rPr>
      <w:rFonts w:eastAsiaTheme="majorEastAsia" w:cstheme="majorBidi"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4">
    <w:name w:val="Názov Char"/>
    <w:basedOn w:val="11"/>
    <w:link w:val="14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5">
    <w:name w:val="Podtitul Char"/>
    <w:basedOn w:val="11"/>
    <w:link w:val="13"/>
    <w:uiPriority w:val="11"/>
    <w:rPr>
      <w:rFonts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6">
    <w:name w:val="Quote"/>
    <w:basedOn w:val="1"/>
    <w:next w:val="1"/>
    <w:link w:val="27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7">
    <w:name w:val="Citácia Char"/>
    <w:basedOn w:val="11"/>
    <w:link w:val="26"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28">
    <w:name w:val="List Paragraph"/>
    <w:basedOn w:val="1"/>
    <w:qFormat/>
    <w:uiPriority w:val="34"/>
    <w:pPr>
      <w:ind w:left="720"/>
      <w:contextualSpacing/>
    </w:pPr>
  </w:style>
  <w:style w:type="character" w:customStyle="1" w:styleId="29">
    <w:name w:val="Intense Emphasis"/>
    <w:basedOn w:val="11"/>
    <w:qFormat/>
    <w:uiPriority w:val="21"/>
    <w:rPr>
      <w:i/>
      <w:iCs/>
      <w:color w:val="2F5597" w:themeColor="accent1" w:themeShade="BF"/>
    </w:rPr>
  </w:style>
  <w:style w:type="paragraph" w:styleId="30">
    <w:name w:val="Intense Quote"/>
    <w:basedOn w:val="1"/>
    <w:next w:val="1"/>
    <w:link w:val="31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</w:rPr>
  </w:style>
  <w:style w:type="character" w:customStyle="1" w:styleId="31">
    <w:name w:val="Zvýraznená citácia Char"/>
    <w:basedOn w:val="11"/>
    <w:link w:val="30"/>
    <w:uiPriority w:val="30"/>
    <w:rPr>
      <w:i/>
      <w:iCs/>
      <w:color w:val="2F5597" w:themeColor="accent1" w:themeShade="BF"/>
    </w:rPr>
  </w:style>
  <w:style w:type="character" w:customStyle="1" w:styleId="32">
    <w:name w:val="Intense Reference"/>
    <w:basedOn w:val="11"/>
    <w:qFormat/>
    <w:uiPriority w:val="32"/>
    <w:rPr>
      <w:b/>
      <w:bCs/>
      <w:smallCaps/>
      <w:color w:val="2F5597" w:themeColor="accent1" w:themeShade="BF"/>
      <w:spacing w:val="5"/>
    </w:rPr>
  </w:style>
  <w:style w:type="paragraph" w:customStyle="1" w:styleId="33">
    <w:name w:val="Default"/>
    <w:qFormat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 w:eastAsiaTheme="minorHAnsi"/>
      <w:color w:val="000000"/>
      <w:kern w:val="0"/>
      <w:sz w:val="24"/>
      <w:szCs w:val="24"/>
      <w:lang w:val="sk-SK" w:eastAsia="en-US" w:bidi="ar-SA"/>
      <w14:ligatures w14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559</Words>
  <Characters>3525</Characters>
  <Lines>32</Lines>
  <Paragraphs>9</Paragraphs>
  <TotalTime>7</TotalTime>
  <ScaleCrop>false</ScaleCrop>
  <LinksUpToDate>false</LinksUpToDate>
  <CharactersWithSpaces>4286</CharactersWithSpaces>
  <Application>WPS Office_12.1.0.26880_F1E327BC-269C-435d-A152-05C5408002CA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2025-03-31T20:41:00Z</dcterms:created>
  <dc:creator>Peter Stanko</dc:creator>
  <cp:lastModifiedBy>pe7er</cp:lastModifiedBy>
  <dcterms:modified xsi:type="dcterms:W3CDTF">2026-06-30T21:27:50Z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eyJoZGlkIjoiMDNmYTY5MWQ0NGE3ZjYyNDQyMTAzYTY5Mjg3MGMxNTEifQ==</vt:lpwstr>
  </property>
  <property fmtid="{D5CDD505-2E9C-101B-9397-08002B2CF9AE}" pid="3" name="KSOProductBuildVer">
    <vt:lpwstr>1033-12.1.0.26880</vt:lpwstr>
  </property>
  <property fmtid="{D5CDD505-2E9C-101B-9397-08002B2CF9AE}" pid="4" name="ICV">
    <vt:lpwstr>4FAF9116B7994EBC9D52CBAAF6905009_12</vt:lpwstr>
  </property>
</Properties>
</file>