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400AE" w14:textId="77777777" w:rsidR="00AD5EB5" w:rsidRDefault="00000000">
      <w:pPr>
        <w:spacing w:after="40"/>
      </w:pPr>
      <w:proofErr w:type="spellStart"/>
      <w:r>
        <w:rPr>
          <w:b/>
          <w:bCs/>
          <w:color w:val="164F4F"/>
          <w:sz w:val="20"/>
          <w:szCs w:val="20"/>
        </w:rPr>
        <w:t>Tanius</w:t>
      </w:r>
      <w:proofErr w:type="spellEnd"/>
      <w:r>
        <w:rPr>
          <w:b/>
          <w:bCs/>
          <w:color w:val="164F4F"/>
          <w:sz w:val="20"/>
          <w:szCs w:val="20"/>
        </w:rPr>
        <w:t xml:space="preserve"> n. o.</w:t>
      </w:r>
    </w:p>
    <w:p w14:paraId="0D1AEC87" w14:textId="77777777" w:rsidR="00AD5EB5" w:rsidRDefault="00000000">
      <w:pPr>
        <w:pBdr>
          <w:bottom w:val="single" w:sz="12" w:space="6" w:color="B5654A"/>
        </w:pBdr>
        <w:spacing w:after="240"/>
      </w:pPr>
      <w:r>
        <w:rPr>
          <w:color w:val="595959"/>
          <w:sz w:val="18"/>
          <w:szCs w:val="18"/>
        </w:rPr>
        <w:t>Obchodná ul. 2047/3, 930 41 Hviezdoslavov  •  IČO: 45 745 714  •  DIČ: 2120044091</w:t>
      </w:r>
    </w:p>
    <w:p w14:paraId="5CF0BE4C" w14:textId="77777777" w:rsidR="00AD5EB5" w:rsidRDefault="00000000">
      <w:pPr>
        <w:spacing w:before="360" w:after="80"/>
        <w:jc w:val="center"/>
      </w:pPr>
      <w:r>
        <w:rPr>
          <w:b/>
          <w:bCs/>
          <w:color w:val="1F6B6B"/>
          <w:sz w:val="44"/>
          <w:szCs w:val="44"/>
        </w:rPr>
        <w:t>VÝROČNÁ SPRÁVA</w:t>
      </w:r>
    </w:p>
    <w:p w14:paraId="1AC15FD9" w14:textId="77777777" w:rsidR="00AD5EB5" w:rsidRDefault="00000000">
      <w:pPr>
        <w:spacing w:after="60"/>
        <w:jc w:val="center"/>
      </w:pPr>
      <w:r>
        <w:rPr>
          <w:b/>
          <w:bCs/>
          <w:color w:val="164F4F"/>
          <w:sz w:val="28"/>
          <w:szCs w:val="28"/>
        </w:rPr>
        <w:t xml:space="preserve">neziskovej organizácie </w:t>
      </w:r>
      <w:proofErr w:type="spellStart"/>
      <w:r>
        <w:rPr>
          <w:b/>
          <w:bCs/>
          <w:color w:val="164F4F"/>
          <w:sz w:val="28"/>
          <w:szCs w:val="28"/>
        </w:rPr>
        <w:t>Tanius</w:t>
      </w:r>
      <w:proofErr w:type="spellEnd"/>
      <w:r>
        <w:rPr>
          <w:b/>
          <w:bCs/>
          <w:color w:val="164F4F"/>
          <w:sz w:val="28"/>
          <w:szCs w:val="28"/>
        </w:rPr>
        <w:t xml:space="preserve"> n. o.</w:t>
      </w:r>
    </w:p>
    <w:p w14:paraId="0786D370" w14:textId="77777777" w:rsidR="00AD5EB5" w:rsidRDefault="00000000">
      <w:pPr>
        <w:spacing w:after="360"/>
        <w:jc w:val="center"/>
      </w:pPr>
      <w:r>
        <w:rPr>
          <w:color w:val="595959"/>
          <w:sz w:val="28"/>
          <w:szCs w:val="28"/>
        </w:rPr>
        <w:t>za rok 2025</w:t>
      </w:r>
    </w:p>
    <w:p w14:paraId="5A6A2DBA" w14:textId="77777777" w:rsidR="00AD5EB5" w:rsidRDefault="00000000">
      <w:pPr>
        <w:spacing w:after="480"/>
        <w:jc w:val="center"/>
      </w:pPr>
      <w:r>
        <w:rPr>
          <w:i/>
          <w:iCs/>
          <w:color w:val="595959"/>
          <w:sz w:val="18"/>
          <w:szCs w:val="18"/>
        </w:rPr>
        <w:t>Vypracovaná v súlade s § 34 zákona č. 213/1997 Z. z. o neziskových organizáciách poskytujúcich všeobecne prospešné služby v znení neskorších predpisov</w:t>
      </w:r>
    </w:p>
    <w:p w14:paraId="366921B2" w14:textId="77777777" w:rsidR="00AD5EB5" w:rsidRDefault="00000000">
      <w:pPr>
        <w:spacing w:before="240" w:after="160"/>
      </w:pPr>
      <w:r>
        <w:rPr>
          <w:b/>
          <w:bCs/>
          <w:color w:val="1F6B6B"/>
          <w:sz w:val="24"/>
          <w:szCs w:val="24"/>
        </w:rPr>
        <w:t>OBSAH</w:t>
      </w:r>
    </w:p>
    <w:p w14:paraId="7A3E7D6E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1.</w:t>
      </w:r>
      <w:r>
        <w:rPr>
          <w:color w:val="595959"/>
        </w:rPr>
        <w:tab/>
        <w:t>Úvod</w:t>
      </w:r>
    </w:p>
    <w:p w14:paraId="4A5EE803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2.</w:t>
      </w:r>
      <w:r>
        <w:rPr>
          <w:color w:val="595959"/>
        </w:rPr>
        <w:tab/>
        <w:t>Prehľad činností uskutočnených organizáciou za rok 2025</w:t>
      </w:r>
    </w:p>
    <w:p w14:paraId="35F78917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3.</w:t>
      </w:r>
      <w:r>
        <w:rPr>
          <w:color w:val="595959"/>
        </w:rPr>
        <w:tab/>
        <w:t>Ročná účtovná závierka a zhodnotenie základných údajov v nej obsiahnutých</w:t>
      </w:r>
    </w:p>
    <w:p w14:paraId="74531490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4.</w:t>
      </w:r>
      <w:r>
        <w:rPr>
          <w:color w:val="595959"/>
        </w:rPr>
        <w:tab/>
        <w:t>Prehľad o príjmoch (výnosoch) a výdavkoch (nákladoch)</w:t>
      </w:r>
    </w:p>
    <w:p w14:paraId="3248D704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5.</w:t>
      </w:r>
      <w:r>
        <w:rPr>
          <w:color w:val="595959"/>
        </w:rPr>
        <w:tab/>
        <w:t>Prehľad rozsahu príjmov (výnosov) v členení podľa zdrojov</w:t>
      </w:r>
    </w:p>
    <w:p w14:paraId="2F6D944A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6.</w:t>
      </w:r>
      <w:r>
        <w:rPr>
          <w:color w:val="595959"/>
        </w:rPr>
        <w:tab/>
        <w:t>Stav a pohyb majetku a záväzkov organizácie</w:t>
      </w:r>
    </w:p>
    <w:p w14:paraId="19DE9A93" w14:textId="77777777" w:rsidR="00AD5EB5" w:rsidRDefault="00000000">
      <w:pPr>
        <w:tabs>
          <w:tab w:val="left" w:pos="460"/>
        </w:tabs>
        <w:spacing w:after="70"/>
      </w:pPr>
      <w:r>
        <w:rPr>
          <w:b/>
          <w:bCs/>
          <w:color w:val="B5654A"/>
        </w:rPr>
        <w:t>7.</w:t>
      </w:r>
      <w:r>
        <w:rPr>
          <w:color w:val="595959"/>
        </w:rPr>
        <w:tab/>
        <w:t>Zmeny a nové zloženie orgánov organizácie</w:t>
      </w:r>
    </w:p>
    <w:p w14:paraId="0BDCBC04" w14:textId="77777777" w:rsidR="00AD5EB5" w:rsidRDefault="00000000">
      <w:r>
        <w:br w:type="page"/>
      </w:r>
    </w:p>
    <w:p w14:paraId="2E25AB4A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lastRenderedPageBreak/>
        <w:t xml:space="preserve">1.  </w:t>
      </w:r>
      <w:r>
        <w:rPr>
          <w:b/>
          <w:bCs/>
          <w:color w:val="1F6B6B"/>
          <w:sz w:val="26"/>
          <w:szCs w:val="26"/>
        </w:rPr>
        <w:t>ÚVOD</w:t>
      </w:r>
    </w:p>
    <w:p w14:paraId="7628F472" w14:textId="77777777" w:rsidR="00AD5EB5" w:rsidRDefault="00000000">
      <w:pPr>
        <w:spacing w:after="120" w:line="276" w:lineRule="auto"/>
        <w:jc w:val="both"/>
      </w:pPr>
      <w:r>
        <w:t xml:space="preserve">Nezisková organizácia </w:t>
      </w:r>
      <w:proofErr w:type="spellStart"/>
      <w:r>
        <w:rPr>
          <w:b/>
          <w:bCs/>
        </w:rPr>
        <w:t>Tanius</w:t>
      </w:r>
      <w:proofErr w:type="spellEnd"/>
      <w:r>
        <w:rPr>
          <w:b/>
          <w:bCs/>
        </w:rPr>
        <w:t xml:space="preserve"> n. o.</w:t>
      </w:r>
      <w:r>
        <w:t xml:space="preserve">, so sídlom Obchodná ul. 2047/3, 930 41 Hviezdoslavov, IČO: 45 745 714, DIČ: 2120044091, vznikla dňa 26. 02. 2015 na základe rozhodnutia Okresného úradu Prešov podľa ustanovenia § 9 ods. 1 zákona č. 213/1997 Z. z. o neziskových organizáciách poskytujúcich všeobecne prospešné služby v platnom znení (ďalej len </w:t>
      </w:r>
      <w:r>
        <w:rPr>
          <w:b/>
          <w:bCs/>
        </w:rPr>
        <w:t>„Zákon“</w:t>
      </w:r>
      <w:r>
        <w:t>).</w:t>
      </w:r>
    </w:p>
    <w:p w14:paraId="1C36ACF5" w14:textId="77777777" w:rsidR="00AD5EB5" w:rsidRDefault="00000000">
      <w:pPr>
        <w:spacing w:after="120" w:line="276" w:lineRule="auto"/>
        <w:jc w:val="both"/>
      </w:pPr>
      <w:r>
        <w:t>Zakladateľom organizácie je MUDr. Vlastimil Horný.</w:t>
      </w:r>
    </w:p>
    <w:p w14:paraId="7895E9EC" w14:textId="77777777" w:rsidR="00AD5EB5" w:rsidRDefault="00000000">
      <w:pPr>
        <w:spacing w:after="120" w:line="276" w:lineRule="auto"/>
        <w:jc w:val="both"/>
      </w:pPr>
      <w:proofErr w:type="spellStart"/>
      <w:r>
        <w:t>Tanius</w:t>
      </w:r>
      <w:proofErr w:type="spellEnd"/>
      <w:r>
        <w:t xml:space="preserve"> n. o. poskytuje nasledovné všeobecne prospešné služby:</w:t>
      </w:r>
    </w:p>
    <w:p w14:paraId="2A3C0868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poskytovanie sociálnych služieb v zmysle zákona č. 448/2008 Z. z. o sociálnych službách a o zmene a doplnení zákona č. 455/1991 Zb. o živnostenskom podnikaní (živnostenský zákon) v znení neskorších predpisov;</w:t>
      </w:r>
    </w:p>
    <w:p w14:paraId="5C1B596B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poskytovanie ďalších služieb pre seniorov a sociálne odkázaných klientov – starostlivosť v oblasti bývania, stravovania, zaopatrenia, vzdelávania, poradenstva, záujmovej, kultúrnej, duchovnej a športovej činnosti.</w:t>
      </w:r>
    </w:p>
    <w:p w14:paraId="20423D55" w14:textId="77777777" w:rsidR="00AD5EB5" w:rsidRDefault="00000000">
      <w:pPr>
        <w:spacing w:after="120" w:line="276" w:lineRule="auto"/>
        <w:jc w:val="both"/>
      </w:pPr>
      <w:r>
        <w:t xml:space="preserve">Hlavným cieľom </w:t>
      </w:r>
      <w:proofErr w:type="spellStart"/>
      <w:r>
        <w:t>Tanius</w:t>
      </w:r>
      <w:proofErr w:type="spellEnd"/>
      <w:r>
        <w:t xml:space="preserve"> n. o. je najmä poskytovanie sociálnych služieb, sociálnej pomoci a humanitárnej starostlivosti, podpora sociálnej inklúzie a predchádzanie sociálnemu vylúčeniu, poskytovanie zdravotnej prevencie a propagovanie zdravého životného štýlu, ako aj budovanie služieb na podporu regionálneho rozvoja a zamestnanosti.</w:t>
      </w:r>
    </w:p>
    <w:p w14:paraId="2837A917" w14:textId="77777777" w:rsidR="00AD5EB5" w:rsidRDefault="00000000">
      <w:pPr>
        <w:spacing w:after="120" w:line="276" w:lineRule="auto"/>
        <w:jc w:val="both"/>
      </w:pPr>
      <w:r>
        <w:t>Organizácia v roku 2025 podporovala najmä fyzické osoby v dôchodkovom veku a fyzické osoby s ťažkým zdravotným postihnutím.</w:t>
      </w:r>
    </w:p>
    <w:p w14:paraId="7A5EAE92" w14:textId="77777777" w:rsidR="00AD5EB5" w:rsidRDefault="00000000">
      <w:pPr>
        <w:spacing w:after="120" w:line="276" w:lineRule="auto"/>
        <w:jc w:val="both"/>
      </w:pPr>
      <w:r>
        <w:t>Orgánmi neziskovej organizácie sú:</w:t>
      </w:r>
    </w:p>
    <w:p w14:paraId="1D5C015D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správna rada,</w:t>
      </w:r>
    </w:p>
    <w:p w14:paraId="6DAD1D08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riaditeľ,</w:t>
      </w:r>
    </w:p>
    <w:p w14:paraId="253FAA5A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revízor.</w:t>
      </w:r>
    </w:p>
    <w:p w14:paraId="16770E7F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t xml:space="preserve">2.  </w:t>
      </w:r>
      <w:r>
        <w:rPr>
          <w:b/>
          <w:bCs/>
          <w:color w:val="1F6B6B"/>
          <w:sz w:val="26"/>
          <w:szCs w:val="26"/>
        </w:rPr>
        <w:t>PREHĽAD ČINNOSTÍ USKUTOČNENÝCH ORGANIZÁCIOU ZA ROK 2025</w:t>
      </w:r>
    </w:p>
    <w:p w14:paraId="7073E2C5" w14:textId="77777777" w:rsidR="00AD5EB5" w:rsidRDefault="00000000">
      <w:pPr>
        <w:spacing w:after="120" w:line="276" w:lineRule="auto"/>
        <w:jc w:val="both"/>
      </w:pPr>
      <w:r>
        <w:t xml:space="preserve">Počas roka 2025 </w:t>
      </w:r>
      <w:proofErr w:type="spellStart"/>
      <w:r>
        <w:t>Tanius</w:t>
      </w:r>
      <w:proofErr w:type="spellEnd"/>
      <w:r>
        <w:t xml:space="preserve"> n. o. vykonával činnosti napĺňajúce účel, na ktorý bola organizácia zriadená, a to najmä:</w:t>
      </w:r>
    </w:p>
    <w:p w14:paraId="28CF8818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zabezpečoval terénnu opatrovateľskú službu</w:t>
      </w:r>
      <w:r>
        <w:t xml:space="preserve"> pre občanov s ťažkým zdravotným postihnutím, s nepriaznivým zdravotným stavom a pre seniorov v domácnosti klienta, vrátane komplexných opatrovateľských úkonov, v rámci národného projektu Podpora opatrovateľskej služby; k 31. 12. 2025 bola služba poskytovaná 3 klientom – 2 klientkam v Prešovskom kraji a 1 klientovi v Trenčianskom kraji;</w:t>
      </w:r>
    </w:p>
    <w:p w14:paraId="3CA4C32E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 xml:space="preserve">v druhom polroku 2025 organizácia rozšírila svoju činnosť o </w:t>
      </w:r>
      <w:r>
        <w:rPr>
          <w:b/>
          <w:bCs/>
        </w:rPr>
        <w:t>podporu samostatného bývania (PSB)</w:t>
      </w:r>
      <w:r>
        <w:t xml:space="preserve"> ako sociálnu službu podľa zákona č. 448/2008 Z. z.; k 31. 12. 2025 bola služba poskytovaná 8 klientom v Hviezdoslavove;</w:t>
      </w:r>
    </w:p>
    <w:p w14:paraId="17E099F9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v rámci svojej činnosti zabezpečovala poradenstvo, zaopatrenie a podporu klientov v oblasti bývania a stravovania;</w:t>
      </w:r>
    </w:p>
    <w:p w14:paraId="1E7FAC44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spolu s ďalšími organizáciami sa organizácia podieľala na riešení spoločenského problému starnutia populácie a jeho negatívnych dopadov na jednotlivca i spoločnosť.</w:t>
      </w:r>
    </w:p>
    <w:p w14:paraId="23007922" w14:textId="77777777" w:rsidR="00AD5EB5" w:rsidRDefault="00000000">
      <w:pPr>
        <w:spacing w:after="120" w:line="276" w:lineRule="auto"/>
        <w:jc w:val="both"/>
      </w:pPr>
      <w:r>
        <w:lastRenderedPageBreak/>
        <w:t xml:space="preserve">Priemerný prepočítaný počet zamestnancov organizácie v roku 2025 predstavoval </w:t>
      </w:r>
      <w:r>
        <w:rPr>
          <w:b/>
          <w:bCs/>
        </w:rPr>
        <w:t>4,50</w:t>
      </w:r>
      <w:r>
        <w:t xml:space="preserve"> zamestnanca.</w:t>
      </w:r>
    </w:p>
    <w:p w14:paraId="6433CB51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t xml:space="preserve">3.  </w:t>
      </w:r>
      <w:r>
        <w:rPr>
          <w:b/>
          <w:bCs/>
          <w:color w:val="1F6B6B"/>
          <w:sz w:val="26"/>
          <w:szCs w:val="26"/>
        </w:rPr>
        <w:t>ROČNÁ ÚČTOVNÁ ZÁVIERKA A ZHODNOTENIE ZÁKLADNÝCH ÚDAJOV V NEJ OBSIAHNUTÝCH</w:t>
      </w:r>
    </w:p>
    <w:p w14:paraId="320BC495" w14:textId="77777777" w:rsidR="00AD5EB5" w:rsidRDefault="00000000">
      <w:pPr>
        <w:spacing w:after="120" w:line="276" w:lineRule="auto"/>
        <w:jc w:val="both"/>
      </w:pPr>
      <w:r>
        <w:t xml:space="preserve">Nezisková organizácia v roku 2025 </w:t>
      </w:r>
      <w:r>
        <w:rPr>
          <w:b/>
          <w:bCs/>
        </w:rPr>
        <w:t>zmenila spôsob vedenia účtovníctva</w:t>
      </w:r>
      <w:r>
        <w:t xml:space="preserve"> – z dôvodu rozšírenia činnosti a v súlade s § 9 zákona č. 431/2002 Z. z. o účtovníctve v platnom znení prešla zo sústavy jednoduchého účtovníctva na sústavu </w:t>
      </w:r>
      <w:r>
        <w:rPr>
          <w:b/>
          <w:bCs/>
        </w:rPr>
        <w:t>podvojného účtovníctva</w:t>
      </w:r>
      <w:r>
        <w:t>, a to s účinnosťou od 1. 1. 2025.</w:t>
      </w:r>
    </w:p>
    <w:p w14:paraId="08816006" w14:textId="77777777" w:rsidR="00AD5EB5" w:rsidRDefault="00000000">
      <w:pPr>
        <w:spacing w:after="120" w:line="276" w:lineRule="auto"/>
        <w:jc w:val="both"/>
      </w:pPr>
      <w:r>
        <w:t>Účtovná závierka bola zostavená podľa opatrenia MF SR pre účtovné jednotky, ktoré nie sú založené alebo zriadené na účel podnikania a účtujú v sústave podvojného účtovníctva. Účtovná závierka neziskovej účtovnej jednotky (</w:t>
      </w:r>
      <w:proofErr w:type="spellStart"/>
      <w:r>
        <w:t>Úč</w:t>
      </w:r>
      <w:proofErr w:type="spellEnd"/>
      <w:r>
        <w:t xml:space="preserve"> NUJ) za rok 2025 pozostáva z týchto súčastí:</w:t>
      </w:r>
    </w:p>
    <w:p w14:paraId="664D7C20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Súvaha</w:t>
      </w:r>
      <w:r>
        <w:t xml:space="preserve"> (</w:t>
      </w:r>
      <w:proofErr w:type="spellStart"/>
      <w:r>
        <w:t>Úč</w:t>
      </w:r>
      <w:proofErr w:type="spellEnd"/>
      <w:r>
        <w:t xml:space="preserve"> NUJ 1 – 01),</w:t>
      </w:r>
    </w:p>
    <w:p w14:paraId="459FCF6F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Výkaz ziskov a strát</w:t>
      </w:r>
      <w:r>
        <w:t xml:space="preserve"> (</w:t>
      </w:r>
      <w:proofErr w:type="spellStart"/>
      <w:r>
        <w:t>Úč</w:t>
      </w:r>
      <w:proofErr w:type="spellEnd"/>
      <w:r>
        <w:t xml:space="preserve"> NUJ 2 – 01),</w:t>
      </w:r>
    </w:p>
    <w:p w14:paraId="1EE5C02D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Poznámky</w:t>
      </w:r>
      <w:r>
        <w:t xml:space="preserve"> (</w:t>
      </w:r>
      <w:proofErr w:type="spellStart"/>
      <w:r>
        <w:t>Úč</w:t>
      </w:r>
      <w:proofErr w:type="spellEnd"/>
      <w:r>
        <w:t xml:space="preserve"> NUJ 3 – 01).</w:t>
      </w:r>
    </w:p>
    <w:p w14:paraId="6F0A3292" w14:textId="77777777" w:rsidR="00AD5EB5" w:rsidRDefault="00000000">
      <w:pPr>
        <w:spacing w:after="120" w:line="276" w:lineRule="auto"/>
        <w:jc w:val="both"/>
      </w:pPr>
      <w:r>
        <w:t xml:space="preserve">Účtovná jednotka za rok 2025 vykázala výsledok hospodárenia vo výške </w:t>
      </w:r>
      <w:r>
        <w:rPr>
          <w:b/>
          <w:bCs/>
          <w:color w:val="B5654A"/>
        </w:rPr>
        <w:t>– 1 553,34 EUR</w:t>
      </w:r>
      <w:r>
        <w:t xml:space="preserve"> (záporný výsledok hospodárenia – strata). Strata bola ovplyvnená najmä nábehom novej služby podpory samostatného bývania a súvisiacimi osobnými nákladmi v druhom polroku 2025. O spôsobe vysporiadania výsledku hospodárenia rozhodne správna rada; navrhuje sa jeho prevod do </w:t>
      </w:r>
      <w:proofErr w:type="spellStart"/>
      <w:r>
        <w:t>nevysporiadaného</w:t>
      </w:r>
      <w:proofErr w:type="spellEnd"/>
      <w:r>
        <w:t xml:space="preserve"> výsledku hospodárenia minulých rokov.</w:t>
      </w:r>
    </w:p>
    <w:p w14:paraId="7542FC07" w14:textId="77777777" w:rsidR="00AD5EB5" w:rsidRDefault="00000000">
      <w:pPr>
        <w:spacing w:after="120" w:line="276" w:lineRule="auto"/>
        <w:jc w:val="both"/>
      </w:pPr>
      <w:r>
        <w:t>Účtovná závierka a Poznámky k účtovnej závierke za rok 2025 tvoria prílohu tejto výročnej správy.</w:t>
      </w:r>
    </w:p>
    <w:p w14:paraId="25CB9573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t xml:space="preserve">4.  </w:t>
      </w:r>
      <w:r>
        <w:rPr>
          <w:b/>
          <w:bCs/>
          <w:color w:val="1F6B6B"/>
          <w:sz w:val="26"/>
          <w:szCs w:val="26"/>
        </w:rPr>
        <w:t>PREHĽAD O PRÍJMOCH (VÝNOSOCH) A VÝDAVKOCH (NÁKLADOCH)</w:t>
      </w:r>
    </w:p>
    <w:p w14:paraId="0E312ED4" w14:textId="77777777" w:rsidR="00AD5EB5" w:rsidRDefault="00000000">
      <w:pPr>
        <w:spacing w:after="120" w:line="276" w:lineRule="auto"/>
        <w:jc w:val="both"/>
      </w:pPr>
      <w:r>
        <w:t>Vzhľadom na vedenie podvojného účtovníctva sa prehľad uvádza v štruktúre výnosov a nákladov podľa Výkazu ziskov a strát (</w:t>
      </w:r>
      <w:proofErr w:type="spellStart"/>
      <w:r>
        <w:t>Úč</w:t>
      </w:r>
      <w:proofErr w:type="spellEnd"/>
      <w:r>
        <w:t xml:space="preserve"> NUJ 2 – 01):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13"/>
        <w:gridCol w:w="4513"/>
      </w:tblGrid>
      <w:tr w:rsidR="00AD5EB5" w14:paraId="2508279A" w14:textId="77777777">
        <w:trPr>
          <w:tblHeader/>
        </w:trPr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FDE2A86" w14:textId="77777777" w:rsidR="00AD5EB5" w:rsidRDefault="00000000">
            <w:r>
              <w:rPr>
                <w:b/>
                <w:bCs/>
                <w:color w:val="FFFFFF"/>
                <w:sz w:val="20"/>
                <w:szCs w:val="20"/>
              </w:rPr>
              <w:t>Ukazovateľ</w:t>
            </w:r>
          </w:p>
        </w:tc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912104C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Suma za rok 2025 (v EUR)</w:t>
            </w:r>
          </w:p>
        </w:tc>
      </w:tr>
      <w:tr w:rsidR="00AD5EB5" w14:paraId="52A9AD9C" w14:textId="77777777"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4E3F951" w14:textId="77777777" w:rsidR="00AD5EB5" w:rsidRDefault="00000000">
            <w:r>
              <w:rPr>
                <w:b/>
                <w:bCs/>
                <w:sz w:val="20"/>
                <w:szCs w:val="20"/>
              </w:rPr>
              <w:t>Výnosy spolu</w:t>
            </w:r>
          </w:p>
        </w:tc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8E05F01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57 417,70</w:t>
            </w:r>
          </w:p>
        </w:tc>
      </w:tr>
      <w:tr w:rsidR="00AD5EB5" w14:paraId="2ED92846" w14:textId="77777777"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2762A70" w14:textId="77777777" w:rsidR="00AD5EB5" w:rsidRDefault="00000000">
            <w:r>
              <w:rPr>
                <w:b/>
                <w:bCs/>
                <w:sz w:val="20"/>
                <w:szCs w:val="20"/>
              </w:rPr>
              <w:t>Náklady spolu</w:t>
            </w:r>
          </w:p>
        </w:tc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A46F2B1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58 971,04</w:t>
            </w:r>
          </w:p>
        </w:tc>
      </w:tr>
      <w:tr w:rsidR="00AD5EB5" w14:paraId="7B4632A6" w14:textId="77777777"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BEAD334" w14:textId="77777777" w:rsidR="00AD5EB5" w:rsidRDefault="00000000">
            <w:r>
              <w:rPr>
                <w:b/>
                <w:bCs/>
                <w:sz w:val="20"/>
                <w:szCs w:val="20"/>
              </w:rPr>
              <w:t>Výsledok hospodárenia za účtovné obdobie</w:t>
            </w:r>
          </w:p>
        </w:tc>
        <w:tc>
          <w:tcPr>
            <w:tcW w:w="4513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AB5608F" w14:textId="77777777" w:rsidR="00AD5EB5" w:rsidRDefault="00000000">
            <w:pPr>
              <w:jc w:val="right"/>
            </w:pPr>
            <w:r>
              <w:rPr>
                <w:b/>
                <w:bCs/>
                <w:color w:val="B5654A"/>
                <w:sz w:val="20"/>
                <w:szCs w:val="20"/>
              </w:rPr>
              <w:t>– 1 553,34</w:t>
            </w:r>
          </w:p>
        </w:tc>
      </w:tr>
    </w:tbl>
    <w:p w14:paraId="4F120F4D" w14:textId="77777777" w:rsidR="00AD5EB5" w:rsidRDefault="00000000">
      <w:pPr>
        <w:spacing w:after="100" w:line="276" w:lineRule="auto"/>
        <w:jc w:val="both"/>
      </w:pPr>
      <w:r>
        <w:rPr>
          <w:b/>
          <w:bCs/>
        </w:rPr>
        <w:t>Štruktúra nákladov podľa druhu: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26"/>
        <w:gridCol w:w="2700"/>
      </w:tblGrid>
      <w:tr w:rsidR="00AD5EB5" w14:paraId="7C3D7702" w14:textId="77777777">
        <w:trPr>
          <w:tblHeader/>
        </w:trPr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2E1E6B3" w14:textId="77777777" w:rsidR="00AD5EB5" w:rsidRDefault="00000000">
            <w:r>
              <w:rPr>
                <w:b/>
                <w:bCs/>
                <w:color w:val="FFFFFF"/>
                <w:sz w:val="20"/>
                <w:szCs w:val="20"/>
              </w:rPr>
              <w:t>Druh nákladu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F5C1FD2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Suma (v EUR)</w:t>
            </w:r>
          </w:p>
        </w:tc>
      </w:tr>
      <w:tr w:rsidR="00AD5EB5" w14:paraId="66B3D809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D0B6FA7" w14:textId="77777777" w:rsidR="00AD5EB5" w:rsidRDefault="00000000"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AC7311D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88,83</w:t>
            </w:r>
          </w:p>
        </w:tc>
      </w:tr>
      <w:tr w:rsidR="00AD5EB5" w14:paraId="2FD3BE06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C73BB72" w14:textId="77777777" w:rsidR="00AD5EB5" w:rsidRDefault="00000000">
            <w:r>
              <w:rPr>
                <w:sz w:val="20"/>
                <w:szCs w:val="20"/>
              </w:rPr>
              <w:t>Cestovné náhrady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EEAC6A7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940,77</w:t>
            </w:r>
          </w:p>
        </w:tc>
      </w:tr>
      <w:tr w:rsidR="00AD5EB5" w14:paraId="3636E788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92DBF59" w14:textId="77777777" w:rsidR="00AD5EB5" w:rsidRDefault="00000000"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B12AB00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2 256,52</w:t>
            </w:r>
          </w:p>
        </w:tc>
      </w:tr>
      <w:tr w:rsidR="00AD5EB5" w14:paraId="0B00B0F7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35D1FA6" w14:textId="77777777" w:rsidR="00AD5EB5" w:rsidRDefault="00000000"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6941BF0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39 191,67</w:t>
            </w:r>
          </w:p>
        </w:tc>
      </w:tr>
      <w:tr w:rsidR="00AD5EB5" w14:paraId="2D59A190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491A0FD" w14:textId="77777777" w:rsidR="00AD5EB5" w:rsidRDefault="00000000">
            <w:r>
              <w:rPr>
                <w:sz w:val="20"/>
                <w:szCs w:val="20"/>
              </w:rPr>
              <w:t>Zákonné sociálne a zdravotné poistenie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1D9D8A9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13 732,62</w:t>
            </w:r>
          </w:p>
        </w:tc>
      </w:tr>
      <w:tr w:rsidR="00AD5EB5" w14:paraId="20DCFBD7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297E6CE" w14:textId="77777777" w:rsidR="00AD5EB5" w:rsidRDefault="00000000">
            <w:r>
              <w:rPr>
                <w:sz w:val="20"/>
                <w:szCs w:val="20"/>
              </w:rPr>
              <w:t>Zákonné sociálne náklady (vrátane stravného)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87E5056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2 698,09</w:t>
            </w:r>
          </w:p>
        </w:tc>
      </w:tr>
      <w:tr w:rsidR="00AD5EB5" w14:paraId="774E8D6D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8B61FAD" w14:textId="77777777" w:rsidR="00AD5EB5" w:rsidRDefault="00000000">
            <w:r>
              <w:rPr>
                <w:sz w:val="20"/>
                <w:szCs w:val="20"/>
              </w:rPr>
              <w:t>Ostatné dane a poplatky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DEA0F01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36,90</w:t>
            </w:r>
          </w:p>
        </w:tc>
      </w:tr>
      <w:tr w:rsidR="00AD5EB5" w14:paraId="5AE7C295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B94764D" w14:textId="77777777" w:rsidR="00AD5EB5" w:rsidRDefault="00000000">
            <w:r>
              <w:rPr>
                <w:sz w:val="20"/>
                <w:szCs w:val="20"/>
              </w:rPr>
              <w:t>Iné ostatné náklady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98B2A70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25,64</w:t>
            </w:r>
          </w:p>
        </w:tc>
      </w:tr>
      <w:tr w:rsidR="00AD5EB5" w14:paraId="20793E63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820BB4E" w14:textId="77777777" w:rsidR="00AD5EB5" w:rsidRDefault="00000000">
            <w:r>
              <w:rPr>
                <w:b/>
                <w:bCs/>
                <w:sz w:val="20"/>
                <w:szCs w:val="20"/>
              </w:rPr>
              <w:lastRenderedPageBreak/>
              <w:t>Náklady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ABE4566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58 971,04</w:t>
            </w:r>
          </w:p>
        </w:tc>
      </w:tr>
    </w:tbl>
    <w:p w14:paraId="665B17C1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t xml:space="preserve">5.  </w:t>
      </w:r>
      <w:r>
        <w:rPr>
          <w:b/>
          <w:bCs/>
          <w:color w:val="1F6B6B"/>
          <w:sz w:val="26"/>
          <w:szCs w:val="26"/>
        </w:rPr>
        <w:t>PREHĽAD ROZSAHU PRÍJMOV (VÝNOSOV) V ČLENENÍ PODĽA ZDROJOV</w:t>
      </w:r>
    </w:p>
    <w:p w14:paraId="4FAB455E" w14:textId="77777777" w:rsidR="00AD5EB5" w:rsidRDefault="00000000">
      <w:pPr>
        <w:spacing w:after="120" w:line="276" w:lineRule="auto"/>
        <w:jc w:val="both"/>
      </w:pPr>
      <w:r>
        <w:t xml:space="preserve">Nezisková organizácia v roku 2025 dosiahla výnosy v celkovej výške </w:t>
      </w:r>
      <w:r>
        <w:rPr>
          <w:b/>
          <w:bCs/>
        </w:rPr>
        <w:t>57 417,70 EUR</w:t>
      </w:r>
      <w:r>
        <w:t>, v členení podľa zdrojov: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26"/>
        <w:gridCol w:w="2700"/>
      </w:tblGrid>
      <w:tr w:rsidR="00AD5EB5" w14:paraId="723FC2FC" w14:textId="77777777">
        <w:trPr>
          <w:tblHeader/>
        </w:trPr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8910375" w14:textId="77777777" w:rsidR="00AD5EB5" w:rsidRDefault="00000000">
            <w:r>
              <w:rPr>
                <w:b/>
                <w:bCs/>
                <w:color w:val="FFFFFF"/>
                <w:sz w:val="20"/>
                <w:szCs w:val="20"/>
              </w:rPr>
              <w:t>Zdroj príjmov (výnosov)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E3E9750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Suma (v EUR)</w:t>
            </w:r>
          </w:p>
        </w:tc>
      </w:tr>
      <w:tr w:rsidR="00AD5EB5" w14:paraId="280DE51B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3281F2E" w14:textId="77777777" w:rsidR="00AD5EB5" w:rsidRDefault="00000000">
            <w:r>
              <w:rPr>
                <w:sz w:val="20"/>
                <w:szCs w:val="20"/>
              </w:rPr>
              <w:t>Dotácia – národný projekt Podpora opatrovateľskej služby (ÚPSVaR)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540F544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44 852,08</w:t>
            </w:r>
          </w:p>
        </w:tc>
      </w:tr>
      <w:tr w:rsidR="00AD5EB5" w14:paraId="031C554D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81B0783" w14:textId="77777777" w:rsidR="00AD5EB5" w:rsidRDefault="00000000">
            <w:r>
              <w:rPr>
                <w:sz w:val="20"/>
                <w:szCs w:val="20"/>
              </w:rPr>
              <w:t>Tržby z opatrovateľskej činnosti (úhrady klientov)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FFC0A19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4 787,20</w:t>
            </w:r>
          </w:p>
        </w:tc>
      </w:tr>
      <w:tr w:rsidR="00AD5EB5" w14:paraId="0B7B8A68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10113F5" w14:textId="77777777" w:rsidR="00AD5EB5" w:rsidRDefault="00000000">
            <w:r>
              <w:rPr>
                <w:sz w:val="20"/>
                <w:szCs w:val="20"/>
              </w:rPr>
              <w:t>Tržby z predaja služieb – podpora samostatného bývania (PSB)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167858E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7 778,40</w:t>
            </w:r>
          </w:p>
        </w:tc>
      </w:tr>
      <w:tr w:rsidR="00AD5EB5" w14:paraId="0C36E09E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D7967E3" w14:textId="77777777" w:rsidR="00AD5EB5" w:rsidRDefault="00000000">
            <w:r>
              <w:rPr>
                <w:sz w:val="20"/>
                <w:szCs w:val="20"/>
              </w:rPr>
              <w:t>Iné ostatné výnosy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5933A78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0,02</w:t>
            </w:r>
          </w:p>
        </w:tc>
      </w:tr>
      <w:tr w:rsidR="00AD5EB5" w14:paraId="406AF651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053CAC4" w14:textId="77777777" w:rsidR="00AD5EB5" w:rsidRDefault="00000000">
            <w:r>
              <w:rPr>
                <w:b/>
                <w:bCs/>
                <w:sz w:val="20"/>
                <w:szCs w:val="20"/>
              </w:rPr>
              <w:t>Výnosy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99691FA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57 417,70</w:t>
            </w:r>
          </w:p>
        </w:tc>
      </w:tr>
    </w:tbl>
    <w:p w14:paraId="62785ABD" w14:textId="77777777" w:rsidR="00AD5EB5" w:rsidRDefault="00000000">
      <w:pPr>
        <w:spacing w:after="120" w:line="276" w:lineRule="auto"/>
        <w:jc w:val="both"/>
      </w:pPr>
      <w:r>
        <w:t xml:space="preserve">Organizácia v roku 2025 </w:t>
      </w:r>
      <w:r>
        <w:rPr>
          <w:b/>
          <w:bCs/>
        </w:rPr>
        <w:t>neprijala</w:t>
      </w:r>
      <w:r>
        <w:t xml:space="preserve"> žiadny podiel zaplatenej dane (2 %) podľa § 50 zákona o dani z príjmov ani finančné dary.</w:t>
      </w:r>
    </w:p>
    <w:p w14:paraId="3E3DF248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t xml:space="preserve">6.  </w:t>
      </w:r>
      <w:r>
        <w:rPr>
          <w:b/>
          <w:bCs/>
          <w:color w:val="1F6B6B"/>
          <w:sz w:val="26"/>
          <w:szCs w:val="26"/>
        </w:rPr>
        <w:t>STAV A POHYB MAJETKU A ZÁVÄZKOV ORGANIZÁCIE</w:t>
      </w:r>
    </w:p>
    <w:p w14:paraId="69848407" w14:textId="77777777" w:rsidR="00AD5EB5" w:rsidRDefault="00000000">
      <w:pPr>
        <w:spacing w:after="120" w:line="276" w:lineRule="auto"/>
        <w:jc w:val="both"/>
      </w:pPr>
      <w:r>
        <w:t>Stav majetku a záväzkov organizácie k 31. 12. 2025 podľa Súvahy (</w:t>
      </w:r>
      <w:proofErr w:type="spellStart"/>
      <w:r>
        <w:t>Úč</w:t>
      </w:r>
      <w:proofErr w:type="spellEnd"/>
      <w:r>
        <w:t xml:space="preserve"> NUJ 1 – 01):</w:t>
      </w:r>
    </w:p>
    <w:p w14:paraId="1BC9F283" w14:textId="77777777" w:rsidR="00AD5EB5" w:rsidRDefault="00000000">
      <w:pPr>
        <w:spacing w:after="100" w:line="276" w:lineRule="auto"/>
        <w:jc w:val="both"/>
      </w:pPr>
      <w:r>
        <w:rPr>
          <w:b/>
          <w:bCs/>
        </w:rPr>
        <w:t>Majetok (aktíva):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26"/>
        <w:gridCol w:w="2700"/>
      </w:tblGrid>
      <w:tr w:rsidR="00AD5EB5" w14:paraId="507DF0CE" w14:textId="77777777">
        <w:trPr>
          <w:tblHeader/>
        </w:trPr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D6949A2" w14:textId="77777777" w:rsidR="00AD5EB5" w:rsidRDefault="00000000">
            <w:r>
              <w:rPr>
                <w:b/>
                <w:bCs/>
                <w:color w:val="FFFFFF"/>
                <w:sz w:val="20"/>
                <w:szCs w:val="20"/>
              </w:rPr>
              <w:t>Položka majetku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B3A8E9D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Stav k 31. 12. 2025 (v EUR)</w:t>
            </w:r>
          </w:p>
        </w:tc>
      </w:tr>
      <w:tr w:rsidR="00AD5EB5" w14:paraId="40FCAD8D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A8BEB87" w14:textId="77777777" w:rsidR="00AD5EB5" w:rsidRDefault="00000000"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4D7419B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82,60</w:t>
            </w:r>
          </w:p>
        </w:tc>
      </w:tr>
      <w:tr w:rsidR="00AD5EB5" w14:paraId="3185579C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89AD6AF" w14:textId="77777777" w:rsidR="00AD5EB5" w:rsidRDefault="00000000">
            <w:r>
              <w:rPr>
                <w:sz w:val="20"/>
                <w:szCs w:val="20"/>
              </w:rPr>
              <w:t>Bankové účty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72AD6F6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6 955,53</w:t>
            </w:r>
          </w:p>
        </w:tc>
      </w:tr>
      <w:tr w:rsidR="00AD5EB5" w14:paraId="11492D8C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37ED702" w14:textId="77777777" w:rsidR="00AD5EB5" w:rsidRDefault="00000000">
            <w:r>
              <w:rPr>
                <w:b/>
                <w:bCs/>
                <w:sz w:val="20"/>
                <w:szCs w:val="20"/>
              </w:rPr>
              <w:t>Finančný majetok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40B51AE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7 038,13</w:t>
            </w:r>
          </w:p>
        </w:tc>
      </w:tr>
      <w:tr w:rsidR="00AD5EB5" w14:paraId="289B0D6A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F650337" w14:textId="77777777" w:rsidR="00AD5EB5" w:rsidRDefault="00000000">
            <w:r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1392707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1,60</w:t>
            </w:r>
          </w:p>
        </w:tc>
      </w:tr>
      <w:tr w:rsidR="00AD5EB5" w14:paraId="03C287C6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F5E5520" w14:textId="77777777" w:rsidR="00AD5EB5" w:rsidRDefault="00000000">
            <w:r>
              <w:rPr>
                <w:sz w:val="20"/>
                <w:szCs w:val="20"/>
              </w:rPr>
              <w:t>Časové rozlíšenie (príjmy budúcich období)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0F4A09D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416,00</w:t>
            </w:r>
          </w:p>
        </w:tc>
      </w:tr>
      <w:tr w:rsidR="00AD5EB5" w14:paraId="45B592A1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8DF5726" w14:textId="77777777" w:rsidR="00AD5EB5" w:rsidRDefault="00000000">
            <w:r>
              <w:rPr>
                <w:b/>
                <w:bCs/>
                <w:sz w:val="20"/>
                <w:szCs w:val="20"/>
              </w:rPr>
              <w:t>MAJETOK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B1F2AB2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7 455,73</w:t>
            </w:r>
          </w:p>
        </w:tc>
      </w:tr>
    </w:tbl>
    <w:p w14:paraId="61C70B85" w14:textId="77777777" w:rsidR="00AD5EB5" w:rsidRDefault="00000000">
      <w:pPr>
        <w:spacing w:after="160" w:line="276" w:lineRule="auto"/>
        <w:jc w:val="both"/>
      </w:pPr>
      <w:r>
        <w:rPr>
          <w:i/>
          <w:iCs/>
          <w:color w:val="595959"/>
        </w:rPr>
        <w:t>Organizácia k 31. 12. 2025 neevidovala dlhodobý nehmotný ani dlhodobý hmotný majetok.</w:t>
      </w:r>
    </w:p>
    <w:p w14:paraId="2C11CFC6" w14:textId="77777777" w:rsidR="00AD5EB5" w:rsidRDefault="00000000">
      <w:pPr>
        <w:spacing w:after="100" w:line="276" w:lineRule="auto"/>
        <w:jc w:val="both"/>
      </w:pPr>
      <w:r>
        <w:rPr>
          <w:b/>
          <w:bCs/>
        </w:rPr>
        <w:t>Vlastné imanie a záväzky (pasíva):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26"/>
        <w:gridCol w:w="2700"/>
      </w:tblGrid>
      <w:tr w:rsidR="00AD5EB5" w14:paraId="175D66B4" w14:textId="77777777">
        <w:trPr>
          <w:tblHeader/>
        </w:trPr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25CAC55" w14:textId="77777777" w:rsidR="00AD5EB5" w:rsidRDefault="00000000">
            <w:r>
              <w:rPr>
                <w:b/>
                <w:bCs/>
                <w:color w:val="FFFFFF"/>
                <w:sz w:val="20"/>
                <w:szCs w:val="20"/>
              </w:rPr>
              <w:t>Položka vlastného imania / záväzkov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84C04B4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Stav k 31. 12. 2025 (v EUR)</w:t>
            </w:r>
          </w:p>
        </w:tc>
      </w:tr>
      <w:tr w:rsidR="00AD5EB5" w14:paraId="7BC0B6CD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539BDDC" w14:textId="77777777" w:rsidR="00AD5EB5" w:rsidRDefault="00000000">
            <w:proofErr w:type="spellStart"/>
            <w:r>
              <w:rPr>
                <w:sz w:val="20"/>
                <w:szCs w:val="20"/>
              </w:rPr>
              <w:t>Nevysporiadaný</w:t>
            </w:r>
            <w:proofErr w:type="spellEnd"/>
            <w:r>
              <w:rPr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335A326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1 034,16</w:t>
            </w:r>
          </w:p>
        </w:tc>
      </w:tr>
      <w:tr w:rsidR="00AD5EB5" w14:paraId="79E770C8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B31DA0C" w14:textId="77777777" w:rsidR="00AD5EB5" w:rsidRDefault="00000000">
            <w:r>
              <w:rPr>
                <w:sz w:val="20"/>
                <w:szCs w:val="20"/>
              </w:rPr>
              <w:t>Výsledok hospodárenia za rok 2025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286D6B3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– 1 553,34</w:t>
            </w:r>
          </w:p>
        </w:tc>
      </w:tr>
      <w:tr w:rsidR="00AD5EB5" w14:paraId="04B961D4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EDEAE1B" w14:textId="77777777" w:rsidR="00AD5EB5" w:rsidRDefault="00000000">
            <w:r>
              <w:rPr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FCA089D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– 519,18</w:t>
            </w:r>
          </w:p>
        </w:tc>
      </w:tr>
      <w:tr w:rsidR="00AD5EB5" w14:paraId="099EFB80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6EABFFB" w14:textId="77777777" w:rsidR="00AD5EB5" w:rsidRDefault="00000000">
            <w:r>
              <w:rPr>
                <w:sz w:val="20"/>
                <w:szCs w:val="20"/>
              </w:rPr>
              <w:t>Rezervy (ostatné krátkodobé rezervy)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6D3E258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100,00</w:t>
            </w:r>
          </w:p>
        </w:tc>
      </w:tr>
      <w:tr w:rsidR="00AD5EB5" w14:paraId="237F198F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3231373" w14:textId="77777777" w:rsidR="00AD5EB5" w:rsidRDefault="00000000">
            <w:r>
              <w:rPr>
                <w:sz w:val="20"/>
                <w:szCs w:val="20"/>
              </w:rPr>
              <w:t>Záväzky zo sociálneho fondu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3ADF439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203,71</w:t>
            </w:r>
          </w:p>
        </w:tc>
      </w:tr>
      <w:tr w:rsidR="00AD5EB5" w14:paraId="4E64E45D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E04372C" w14:textId="77777777" w:rsidR="00AD5EB5" w:rsidRDefault="00000000">
            <w:r>
              <w:rPr>
                <w:sz w:val="20"/>
                <w:szCs w:val="20"/>
              </w:rPr>
              <w:t>Nevyfakturované dodávky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2C583F9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800,00</w:t>
            </w:r>
          </w:p>
        </w:tc>
      </w:tr>
      <w:tr w:rsidR="00AD5EB5" w14:paraId="7E4F00FA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0F9995C3" w14:textId="77777777" w:rsidR="00AD5EB5" w:rsidRDefault="00000000">
            <w:r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2130261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4 100,49</w:t>
            </w:r>
          </w:p>
        </w:tc>
      </w:tr>
      <w:tr w:rsidR="00AD5EB5" w14:paraId="2F25D0D3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7E56A6F" w14:textId="77777777" w:rsidR="00AD5EB5" w:rsidRDefault="00000000">
            <w:r>
              <w:rPr>
                <w:sz w:val="20"/>
                <w:szCs w:val="20"/>
              </w:rPr>
              <w:lastRenderedPageBreak/>
              <w:t>Zúčtovanie so Sociálnou poisťovňou a zdravotnými poisťovňami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73108A6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2 426,21</w:t>
            </w:r>
          </w:p>
        </w:tc>
      </w:tr>
      <w:tr w:rsidR="00AD5EB5" w14:paraId="0FCC7CA6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8C9068B" w14:textId="77777777" w:rsidR="00AD5EB5" w:rsidRDefault="00000000">
            <w:r>
              <w:rPr>
                <w:sz w:val="20"/>
                <w:szCs w:val="20"/>
              </w:rPr>
              <w:t>Daňové záväzky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30CDECF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344,50</w:t>
            </w:r>
          </w:p>
        </w:tc>
      </w:tr>
      <w:tr w:rsidR="00AD5EB5" w14:paraId="1AF68E17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2D6B0CA" w14:textId="77777777" w:rsidR="00AD5EB5" w:rsidRDefault="00000000">
            <w:r>
              <w:rPr>
                <w:b/>
                <w:bCs/>
                <w:sz w:val="20"/>
                <w:szCs w:val="20"/>
              </w:rPr>
              <w:t>Záväzky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1490FF8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7 974,91</w:t>
            </w:r>
          </w:p>
        </w:tc>
      </w:tr>
      <w:tr w:rsidR="00AD5EB5" w14:paraId="200214ED" w14:textId="77777777">
        <w:tc>
          <w:tcPr>
            <w:tcW w:w="63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FB5B888" w14:textId="77777777" w:rsidR="00AD5EB5" w:rsidRDefault="00000000">
            <w:r>
              <w:rPr>
                <w:b/>
                <w:bCs/>
                <w:sz w:val="20"/>
                <w:szCs w:val="20"/>
              </w:rPr>
              <w:t>PASÍVA SPOLU</w:t>
            </w:r>
          </w:p>
        </w:tc>
        <w:tc>
          <w:tcPr>
            <w:tcW w:w="27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97531BD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7 455,73</w:t>
            </w:r>
          </w:p>
        </w:tc>
      </w:tr>
    </w:tbl>
    <w:p w14:paraId="0AE985EB" w14:textId="77777777" w:rsidR="00AD5EB5" w:rsidRDefault="00000000">
      <w:pPr>
        <w:spacing w:after="120" w:line="276" w:lineRule="auto"/>
        <w:jc w:val="both"/>
      </w:pPr>
      <w:r>
        <w:t>Organizácia k 31. 12. 2025 neevidovala bankové úvery ani návratné finančné výpomoci.</w:t>
      </w:r>
    </w:p>
    <w:p w14:paraId="3BC3363A" w14:textId="77777777" w:rsidR="00AD5EB5" w:rsidRDefault="00000000">
      <w:pPr>
        <w:spacing w:before="200" w:after="100" w:line="276" w:lineRule="auto"/>
      </w:pPr>
      <w:r>
        <w:rPr>
          <w:b/>
          <w:bCs/>
        </w:rPr>
        <w:t>Ekonomicky oprávnené náklady na jedného prijímateľa sociálnej služby</w:t>
      </w:r>
    </w:p>
    <w:p w14:paraId="4B042F34" w14:textId="77777777" w:rsidR="00AD5EB5" w:rsidRDefault="00000000">
      <w:pPr>
        <w:spacing w:after="120" w:line="276" w:lineRule="auto"/>
        <w:jc w:val="both"/>
      </w:pPr>
      <w:r>
        <w:t>V súlade s § 67a ods. 3 písm. g) zákona č. 448/2008 Z. z. o sociálnych službách organizácia uvádza ekonomicky oprávnené náklady na jedného prijímateľa sociálnej služby podľa druhu poskytovanej sociálnej služby za kalendárny rok 2025:</w:t>
      </w:r>
    </w:p>
    <w:tbl>
      <w:tblPr>
        <w:tblW w:w="902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6"/>
        <w:gridCol w:w="1400"/>
        <w:gridCol w:w="1900"/>
        <w:gridCol w:w="1900"/>
      </w:tblGrid>
      <w:tr w:rsidR="00AD5EB5" w14:paraId="05734EBF" w14:textId="77777777">
        <w:trPr>
          <w:tblHeader/>
        </w:trPr>
        <w:tc>
          <w:tcPr>
            <w:tcW w:w="38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7A93B973" w14:textId="77777777" w:rsidR="00AD5EB5" w:rsidRDefault="00000000">
            <w:r>
              <w:rPr>
                <w:b/>
                <w:bCs/>
                <w:color w:val="FFFFFF"/>
                <w:sz w:val="20"/>
                <w:szCs w:val="20"/>
              </w:rPr>
              <w:t>Druh sociálnej služby</w:t>
            </w:r>
          </w:p>
        </w:tc>
        <w:tc>
          <w:tcPr>
            <w:tcW w:w="14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03E6FA2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Počet prijímateľov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64D6142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EON spolu (v EUR)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1F6B6B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198FECA" w14:textId="77777777" w:rsidR="00AD5EB5" w:rsidRDefault="00000000">
            <w:pPr>
              <w:jc w:val="right"/>
            </w:pPr>
            <w:r>
              <w:rPr>
                <w:b/>
                <w:bCs/>
                <w:color w:val="FFFFFF"/>
                <w:sz w:val="20"/>
                <w:szCs w:val="20"/>
              </w:rPr>
              <w:t>EON na 1 prijímateľa (v EUR)</w:t>
            </w:r>
          </w:p>
        </w:tc>
      </w:tr>
      <w:tr w:rsidR="00AD5EB5" w14:paraId="156E1ED8" w14:textId="77777777">
        <w:tc>
          <w:tcPr>
            <w:tcW w:w="38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3A0B42D" w14:textId="77777777" w:rsidR="00AD5EB5" w:rsidRDefault="00000000">
            <w:r>
              <w:rPr>
                <w:sz w:val="20"/>
                <w:szCs w:val="20"/>
              </w:rPr>
              <w:t>Opatrovateľská služba (terénna)</w:t>
            </w:r>
          </w:p>
        </w:tc>
        <w:tc>
          <w:tcPr>
            <w:tcW w:w="14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72D046E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50FC0E2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50 457,35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58677E88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16 819,12</w:t>
            </w:r>
          </w:p>
        </w:tc>
      </w:tr>
      <w:tr w:rsidR="00AD5EB5" w14:paraId="0AB89C60" w14:textId="77777777">
        <w:tc>
          <w:tcPr>
            <w:tcW w:w="38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3CA20C7A" w14:textId="77777777" w:rsidR="00AD5EB5" w:rsidRDefault="00000000">
            <w:r>
              <w:rPr>
                <w:sz w:val="20"/>
                <w:szCs w:val="20"/>
              </w:rPr>
              <w:t>Podpora samostatného bývania (PSB)*</w:t>
            </w:r>
          </w:p>
        </w:tc>
        <w:tc>
          <w:tcPr>
            <w:tcW w:w="14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2FC56D27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3F939EC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8 513,69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B2FFAE2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1 064,21</w:t>
            </w:r>
          </w:p>
        </w:tc>
      </w:tr>
      <w:tr w:rsidR="00AD5EB5" w14:paraId="5492F01A" w14:textId="77777777">
        <w:tc>
          <w:tcPr>
            <w:tcW w:w="3826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753D468" w14:textId="77777777" w:rsidR="00AD5EB5" w:rsidRDefault="00000000"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16088934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60844730" w14:textId="77777777" w:rsidR="00AD5EB5" w:rsidRDefault="00000000">
            <w:pPr>
              <w:jc w:val="right"/>
            </w:pPr>
            <w:r>
              <w:rPr>
                <w:b/>
                <w:bCs/>
                <w:sz w:val="20"/>
                <w:szCs w:val="20"/>
              </w:rPr>
              <w:t>58 971,04</w:t>
            </w:r>
          </w:p>
        </w:tc>
        <w:tc>
          <w:tcPr>
            <w:tcW w:w="1900" w:type="dxa"/>
            <w:tcBorders>
              <w:top w:val="single" w:sz="4" w:space="0" w:color="BFD4D4"/>
              <w:left w:val="single" w:sz="4" w:space="0" w:color="BFD4D4"/>
              <w:bottom w:val="single" w:sz="4" w:space="0" w:color="BFD4D4"/>
              <w:right w:val="single" w:sz="4" w:space="0" w:color="BFD4D4"/>
            </w:tcBorders>
            <w:shd w:val="clear" w:color="auto" w:fill="EAF2F2"/>
            <w:tcMar>
              <w:top w:w="60" w:type="dxa"/>
              <w:left w:w="110" w:type="dxa"/>
              <w:bottom w:w="60" w:type="dxa"/>
              <w:right w:w="110" w:type="dxa"/>
            </w:tcMar>
            <w:vAlign w:val="center"/>
          </w:tcPr>
          <w:p w14:paraId="4DABD839" w14:textId="77777777" w:rsidR="00AD5EB5" w:rsidRDefault="00000000">
            <w:pPr>
              <w:jc w:val="right"/>
            </w:pPr>
            <w:r>
              <w:rPr>
                <w:sz w:val="20"/>
                <w:szCs w:val="20"/>
              </w:rPr>
              <w:t>—</w:t>
            </w:r>
          </w:p>
        </w:tc>
      </w:tr>
    </w:tbl>
    <w:p w14:paraId="2411F6C7" w14:textId="77777777" w:rsidR="00AD5EB5" w:rsidRDefault="00000000">
      <w:pPr>
        <w:spacing w:after="120" w:line="276" w:lineRule="auto"/>
        <w:jc w:val="both"/>
      </w:pPr>
      <w:r>
        <w:rPr>
          <w:i/>
          <w:iCs/>
          <w:color w:val="595959"/>
          <w:sz w:val="18"/>
          <w:szCs w:val="18"/>
        </w:rPr>
        <w:t>* Sociálna služba podpora samostatného bývania bola poskytovaná od augusta 2025. Náklady PSB zahŕňajú priame osobné náklady strediska PSB (mzdové náklady a zákonné sociálne a zdravotné poistenie); spoločné prevádzkové náklady organizácie (réžia) sú zahrnuté v nákladoch opatrovateľskej služby.</w:t>
      </w:r>
    </w:p>
    <w:p w14:paraId="60350842" w14:textId="77777777" w:rsidR="00AD5EB5" w:rsidRDefault="00000000">
      <w:pPr>
        <w:pBdr>
          <w:left w:val="single" w:sz="24" w:space="8" w:color="B5654A"/>
        </w:pBdr>
        <w:spacing w:before="300" w:after="140"/>
      </w:pPr>
      <w:r>
        <w:rPr>
          <w:b/>
          <w:bCs/>
          <w:color w:val="B5654A"/>
          <w:sz w:val="26"/>
          <w:szCs w:val="26"/>
        </w:rPr>
        <w:t xml:space="preserve">7.  </w:t>
      </w:r>
      <w:r>
        <w:rPr>
          <w:b/>
          <w:bCs/>
          <w:color w:val="1F6B6B"/>
          <w:sz w:val="26"/>
          <w:szCs w:val="26"/>
        </w:rPr>
        <w:t>ZMENY A NOVÉ ZLOŽENIE ORGÁNOV ORGANIZÁCIE</w:t>
      </w:r>
    </w:p>
    <w:p w14:paraId="6D8AAF41" w14:textId="77777777" w:rsidR="00AD5EB5" w:rsidRDefault="00000000">
      <w:pPr>
        <w:spacing w:after="120" w:line="276" w:lineRule="auto"/>
        <w:jc w:val="both"/>
      </w:pPr>
      <w:r>
        <w:t>Na zasadnutí správnej rady dňa 6. 10. 2025 došlo v neziskovej organizácii k nasledujúcim zmenám:</w:t>
      </w:r>
    </w:p>
    <w:p w14:paraId="7C72444D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Zmena v osobe riaditeľa</w:t>
      </w:r>
      <w:r>
        <w:t xml:space="preserve"> – uznesením správnej rady č. 1/10/2025 bola na vlastnú žiadosť uvoľnená z funkcie riaditeľky </w:t>
      </w:r>
      <w:r>
        <w:rPr>
          <w:b/>
          <w:bCs/>
        </w:rPr>
        <w:t xml:space="preserve">PhDr. Petra </w:t>
      </w:r>
      <w:proofErr w:type="spellStart"/>
      <w:r>
        <w:rPr>
          <w:b/>
          <w:bCs/>
        </w:rPr>
        <w:t>Ovádová</w:t>
      </w:r>
      <w:proofErr w:type="spellEnd"/>
      <w:r>
        <w:t xml:space="preserve"> a do funkcie riaditeľky </w:t>
      </w:r>
      <w:proofErr w:type="spellStart"/>
      <w:r>
        <w:t>Tanius</w:t>
      </w:r>
      <w:proofErr w:type="spellEnd"/>
      <w:r>
        <w:t xml:space="preserve"> n. o. bola zvolená a vymenovaná </w:t>
      </w:r>
      <w:r>
        <w:rPr>
          <w:b/>
          <w:bCs/>
        </w:rPr>
        <w:t xml:space="preserve">PhDr. Monika </w:t>
      </w:r>
      <w:proofErr w:type="spellStart"/>
      <w:r>
        <w:rPr>
          <w:b/>
          <w:bCs/>
        </w:rPr>
        <w:t>Katunská</w:t>
      </w:r>
      <w:proofErr w:type="spellEnd"/>
      <w:r>
        <w:t>, ktorá túto funkciu prijala.</w:t>
      </w:r>
    </w:p>
    <w:p w14:paraId="46B32932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Zmena sídla organizácie</w:t>
      </w:r>
      <w:r>
        <w:t xml:space="preserve"> – uznesením správnej rady č. 2/10/2025 bolo schválené nové sídlo organizácie </w:t>
      </w:r>
      <w:r>
        <w:rPr>
          <w:b/>
          <w:bCs/>
        </w:rPr>
        <w:t>Obchodná ul. 2047/3, 930 41 Hviezdoslavov</w:t>
      </w:r>
      <w:r>
        <w:t>. Zmena bola premietnutá do Dodatku č. 3 k Štatútu a vzatá na vedomie Okresným úradom Trnava dňa 11. 11. 2025.</w:t>
      </w:r>
    </w:p>
    <w:p w14:paraId="62403A4E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>Zmena spôsobu vedenia účtovníctva</w:t>
      </w:r>
      <w:r>
        <w:t xml:space="preserve"> – organizácia prešla zo sústavy jednoduchého účtovníctva na sústavu podvojného účtovníctva s účinnosťou od 1. 1. 2025.</w:t>
      </w:r>
    </w:p>
    <w:p w14:paraId="5509A5B1" w14:textId="77777777" w:rsidR="00AD5EB5" w:rsidRDefault="00000000">
      <w:pPr>
        <w:spacing w:after="80" w:line="276" w:lineRule="auto"/>
        <w:jc w:val="both"/>
      </w:pPr>
      <w:r>
        <w:t>K 31. 12. 2025 mali orgány neziskovej organizácie nasledovné zloženie:</w:t>
      </w:r>
    </w:p>
    <w:p w14:paraId="6E264B98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 xml:space="preserve">Riaditeľka: </w:t>
      </w:r>
      <w:r>
        <w:t xml:space="preserve">PhDr. Monika </w:t>
      </w:r>
      <w:proofErr w:type="spellStart"/>
      <w:r>
        <w:t>Katunská</w:t>
      </w:r>
      <w:proofErr w:type="spellEnd"/>
      <w:r>
        <w:t>,</w:t>
      </w:r>
    </w:p>
    <w:p w14:paraId="4E2EED52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rPr>
          <w:b/>
          <w:bCs/>
        </w:rPr>
        <w:t xml:space="preserve">Správna rada: </w:t>
      </w:r>
      <w:r>
        <w:t xml:space="preserve">Mgr. Alexander </w:t>
      </w:r>
      <w:proofErr w:type="spellStart"/>
      <w:r>
        <w:t>Mušinka</w:t>
      </w:r>
      <w:proofErr w:type="spellEnd"/>
      <w:r>
        <w:t xml:space="preserve">, PhD. (predseda), Mgr. Katarína Bačová, PhD. a PaedDr. Michal </w:t>
      </w:r>
      <w:proofErr w:type="spellStart"/>
      <w:r>
        <w:t>Smetanka</w:t>
      </w:r>
      <w:proofErr w:type="spellEnd"/>
      <w:r>
        <w:t>.</w:t>
      </w:r>
    </w:p>
    <w:p w14:paraId="79533A3A" w14:textId="77777777" w:rsidR="00AD5EB5" w:rsidRDefault="00000000">
      <w:pPr>
        <w:spacing w:before="240" w:after="120"/>
      </w:pPr>
      <w:r>
        <w:rPr>
          <w:b/>
          <w:bCs/>
          <w:color w:val="164F4F"/>
        </w:rPr>
        <w:t>Následné udalosti (po 31. 12. 2025)</w:t>
      </w:r>
    </w:p>
    <w:p w14:paraId="08EDC24D" w14:textId="77777777" w:rsidR="00AD5EB5" w:rsidRDefault="00000000">
      <w:pPr>
        <w:spacing w:after="120" w:line="276" w:lineRule="auto"/>
        <w:jc w:val="both"/>
      </w:pPr>
      <w:r>
        <w:t>Po dni, ku ktorému bola zostavená účtovná závierka, došlo na zasadnutí správnej rady dňa 10. 2. 2026 k týmto skutočnostiam:</w:t>
      </w:r>
    </w:p>
    <w:p w14:paraId="2443C7C9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lastRenderedPageBreak/>
        <w:t xml:space="preserve">uznesením č. 1/2026 boli po uplynutí 5-ročného funkčného obdobia opätovne zvolení členovia správnej rady – Mgr. Alexander </w:t>
      </w:r>
      <w:proofErr w:type="spellStart"/>
      <w:r>
        <w:t>Mušinka</w:t>
      </w:r>
      <w:proofErr w:type="spellEnd"/>
      <w:r>
        <w:t xml:space="preserve">, PhD., PaedDr. Michal </w:t>
      </w:r>
      <w:proofErr w:type="spellStart"/>
      <w:r>
        <w:t>Smetanka</w:t>
      </w:r>
      <w:proofErr w:type="spellEnd"/>
      <w:r>
        <w:t xml:space="preserve"> a Mgr. Katarína Bačová, PhD. – na ďalšie 5-ročné funkčné obdobie s účinnosťou od 11. 2. 2026;</w:t>
      </w:r>
    </w:p>
    <w:p w14:paraId="57542C41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 xml:space="preserve">uznesením č. 2/2026 bola do funkcie revízorky neziskovej organizácie zvolená </w:t>
      </w:r>
      <w:r>
        <w:rPr>
          <w:b/>
          <w:bCs/>
        </w:rPr>
        <w:t xml:space="preserve">PhDr. Jana </w:t>
      </w:r>
      <w:proofErr w:type="spellStart"/>
      <w:r>
        <w:rPr>
          <w:b/>
          <w:bCs/>
        </w:rPr>
        <w:t>Pitková</w:t>
      </w:r>
      <w:proofErr w:type="spellEnd"/>
      <w:r>
        <w:t xml:space="preserve"> na 6-ročné funkčné obdobie s účinnosťou od 11. 2. 2026;</w:t>
      </w:r>
    </w:p>
    <w:p w14:paraId="5332A955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uznesením č. 3/2026 bol aktualizovaný zápis konečných užívateľov výhod neziskovej organizácie v registri mimovládnych neziskových organizácií.</w:t>
      </w:r>
    </w:p>
    <w:p w14:paraId="5996F50C" w14:textId="55265BAC" w:rsidR="00AD5EB5" w:rsidRPr="00F8388E" w:rsidRDefault="00000000">
      <w:pPr>
        <w:spacing w:after="480" w:line="276" w:lineRule="auto"/>
      </w:pPr>
      <w:r>
        <w:t xml:space="preserve">V Hviezdoslavove, dňa </w:t>
      </w:r>
      <w:r w:rsidR="00F8388E" w:rsidRPr="00F8388E">
        <w:rPr>
          <w:color w:val="000000" w:themeColor="text1"/>
        </w:rPr>
        <w:t>30.6.2026</w:t>
      </w:r>
    </w:p>
    <w:p w14:paraId="0F43BF07" w14:textId="77777777" w:rsidR="00AD5EB5" w:rsidRDefault="00000000">
      <w:pPr>
        <w:spacing w:before="240"/>
        <w:jc w:val="center"/>
      </w:pPr>
      <w:r>
        <w:rPr>
          <w:color w:val="595959"/>
        </w:rPr>
        <w:t>______________________________</w:t>
      </w:r>
    </w:p>
    <w:p w14:paraId="35043813" w14:textId="77777777" w:rsidR="00AD5EB5" w:rsidRDefault="00000000">
      <w:pPr>
        <w:jc w:val="center"/>
      </w:pPr>
      <w:r>
        <w:rPr>
          <w:b/>
          <w:bCs/>
        </w:rPr>
        <w:t xml:space="preserve">PhDr. Monika </w:t>
      </w:r>
      <w:proofErr w:type="spellStart"/>
      <w:r>
        <w:rPr>
          <w:b/>
          <w:bCs/>
        </w:rPr>
        <w:t>Katunská</w:t>
      </w:r>
      <w:proofErr w:type="spellEnd"/>
    </w:p>
    <w:p w14:paraId="7DE80425" w14:textId="77777777" w:rsidR="00AD5EB5" w:rsidRDefault="00000000">
      <w:pPr>
        <w:spacing w:after="360"/>
        <w:jc w:val="center"/>
      </w:pPr>
      <w:r>
        <w:rPr>
          <w:color w:val="595959"/>
        </w:rPr>
        <w:t xml:space="preserve">riaditeľka </w:t>
      </w:r>
      <w:proofErr w:type="spellStart"/>
      <w:r>
        <w:rPr>
          <w:color w:val="595959"/>
        </w:rPr>
        <w:t>Tanius</w:t>
      </w:r>
      <w:proofErr w:type="spellEnd"/>
      <w:r>
        <w:rPr>
          <w:color w:val="595959"/>
        </w:rPr>
        <w:t xml:space="preserve"> n. o.</w:t>
      </w:r>
    </w:p>
    <w:p w14:paraId="48F3F813" w14:textId="77777777" w:rsidR="00AD5EB5" w:rsidRDefault="00000000">
      <w:pPr>
        <w:spacing w:after="60" w:line="276" w:lineRule="auto"/>
        <w:jc w:val="both"/>
      </w:pPr>
      <w:r>
        <w:rPr>
          <w:b/>
          <w:bCs/>
        </w:rPr>
        <w:t>Prílohy:</w:t>
      </w:r>
    </w:p>
    <w:p w14:paraId="5280DBAD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Účtovná závierka za rok 2025 – Súvaha (</w:t>
      </w:r>
      <w:proofErr w:type="spellStart"/>
      <w:r>
        <w:t>Úč</w:t>
      </w:r>
      <w:proofErr w:type="spellEnd"/>
      <w:r>
        <w:t xml:space="preserve"> NUJ 1 – 01), Výkaz ziskov a strát (</w:t>
      </w:r>
      <w:proofErr w:type="spellStart"/>
      <w:r>
        <w:t>Úč</w:t>
      </w:r>
      <w:proofErr w:type="spellEnd"/>
      <w:r>
        <w:t xml:space="preserve"> NUJ 2 – 01),</w:t>
      </w:r>
    </w:p>
    <w:p w14:paraId="34784F78" w14:textId="77777777" w:rsidR="00AD5EB5" w:rsidRDefault="00000000">
      <w:pPr>
        <w:pStyle w:val="Odsekzoznamu"/>
        <w:numPr>
          <w:ilvl w:val="0"/>
          <w:numId w:val="2"/>
        </w:numPr>
        <w:spacing w:after="80" w:line="276" w:lineRule="auto"/>
        <w:jc w:val="both"/>
      </w:pPr>
      <w:r>
        <w:t>Poznámky k účtovnej závierke za rok 2025 (</w:t>
      </w:r>
      <w:proofErr w:type="spellStart"/>
      <w:r>
        <w:t>Úč</w:t>
      </w:r>
      <w:proofErr w:type="spellEnd"/>
      <w:r>
        <w:t xml:space="preserve"> NUJ 3 – 01).</w:t>
      </w:r>
    </w:p>
    <w:sectPr w:rsidR="00AD5EB5">
      <w:headerReference w:type="default" r:id="rId7"/>
      <w:footerReference w:type="default" r:id="rId8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7662A" w14:textId="77777777" w:rsidR="00C5160E" w:rsidRDefault="00C5160E">
      <w:r>
        <w:separator/>
      </w:r>
    </w:p>
  </w:endnote>
  <w:endnote w:type="continuationSeparator" w:id="0">
    <w:p w14:paraId="07751ACE" w14:textId="77777777" w:rsidR="00C5160E" w:rsidRDefault="00C5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80B71" w14:textId="77777777" w:rsidR="00AD5EB5" w:rsidRDefault="00000000">
    <w:pPr>
      <w:jc w:val="center"/>
    </w:pPr>
    <w:r>
      <w:rPr>
        <w:color w:val="595959"/>
        <w:sz w:val="16"/>
        <w:szCs w:val="16"/>
      </w:rPr>
      <w:t xml:space="preserve">Strana </w:t>
    </w:r>
    <w:r>
      <w:rPr>
        <w:color w:val="595959"/>
        <w:sz w:val="16"/>
        <w:szCs w:val="16"/>
      </w:rPr>
      <w:fldChar w:fldCharType="begin"/>
    </w:r>
    <w:r>
      <w:rPr>
        <w:color w:val="595959"/>
        <w:sz w:val="16"/>
        <w:szCs w:val="16"/>
      </w:rPr>
      <w:instrText>PAGE</w:instrText>
    </w:r>
    <w:r>
      <w:rPr>
        <w:color w:val="595959"/>
        <w:sz w:val="16"/>
        <w:szCs w:val="16"/>
      </w:rPr>
      <w:fldChar w:fldCharType="separate"/>
    </w:r>
    <w:r w:rsidR="00F8388E">
      <w:rPr>
        <w:noProof/>
        <w:color w:val="595959"/>
        <w:sz w:val="16"/>
        <w:szCs w:val="16"/>
      </w:rPr>
      <w:t>1</w:t>
    </w:r>
    <w:r>
      <w:rPr>
        <w:color w:val="595959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D9623" w14:textId="77777777" w:rsidR="00C5160E" w:rsidRDefault="00C5160E">
      <w:r>
        <w:separator/>
      </w:r>
    </w:p>
  </w:footnote>
  <w:footnote w:type="continuationSeparator" w:id="0">
    <w:p w14:paraId="22A0D267" w14:textId="77777777" w:rsidR="00C5160E" w:rsidRDefault="00C516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6448B" w14:textId="77777777" w:rsidR="00AD5EB5" w:rsidRDefault="00000000">
    <w:pPr>
      <w:jc w:val="right"/>
    </w:pPr>
    <w:r>
      <w:rPr>
        <w:color w:val="595959"/>
        <w:sz w:val="16"/>
        <w:szCs w:val="16"/>
      </w:rPr>
      <w:t xml:space="preserve">Výročná správa </w:t>
    </w:r>
    <w:proofErr w:type="spellStart"/>
    <w:r>
      <w:rPr>
        <w:color w:val="595959"/>
        <w:sz w:val="16"/>
        <w:szCs w:val="16"/>
      </w:rPr>
      <w:t>Tanius</w:t>
    </w:r>
    <w:proofErr w:type="spellEnd"/>
    <w:r>
      <w:rPr>
        <w:color w:val="595959"/>
        <w:sz w:val="16"/>
        <w:szCs w:val="16"/>
      </w:rPr>
      <w:t xml:space="preserve"> n. o. za rok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9E5AD8"/>
    <w:multiLevelType w:val="hybridMultilevel"/>
    <w:tmpl w:val="99E2E9AC"/>
    <w:lvl w:ilvl="0" w:tplc="E848C3B2">
      <w:start w:val="1"/>
      <w:numFmt w:val="bullet"/>
      <w:lvlText w:val="●"/>
      <w:lvlJc w:val="left"/>
      <w:pPr>
        <w:ind w:left="720" w:hanging="360"/>
      </w:pPr>
    </w:lvl>
    <w:lvl w:ilvl="1" w:tplc="276CC3C2">
      <w:start w:val="1"/>
      <w:numFmt w:val="bullet"/>
      <w:lvlText w:val="○"/>
      <w:lvlJc w:val="left"/>
      <w:pPr>
        <w:ind w:left="1440" w:hanging="360"/>
      </w:pPr>
    </w:lvl>
    <w:lvl w:ilvl="2" w:tplc="76B6829C">
      <w:start w:val="1"/>
      <w:numFmt w:val="bullet"/>
      <w:lvlText w:val="■"/>
      <w:lvlJc w:val="left"/>
      <w:pPr>
        <w:ind w:left="2160" w:hanging="360"/>
      </w:pPr>
    </w:lvl>
    <w:lvl w:ilvl="3" w:tplc="2B2ED176">
      <w:start w:val="1"/>
      <w:numFmt w:val="bullet"/>
      <w:lvlText w:val="●"/>
      <w:lvlJc w:val="left"/>
      <w:pPr>
        <w:ind w:left="2880" w:hanging="360"/>
      </w:pPr>
    </w:lvl>
    <w:lvl w:ilvl="4" w:tplc="275A28EC">
      <w:start w:val="1"/>
      <w:numFmt w:val="bullet"/>
      <w:lvlText w:val="○"/>
      <w:lvlJc w:val="left"/>
      <w:pPr>
        <w:ind w:left="3600" w:hanging="360"/>
      </w:pPr>
    </w:lvl>
    <w:lvl w:ilvl="5" w:tplc="43BAC662">
      <w:start w:val="1"/>
      <w:numFmt w:val="bullet"/>
      <w:lvlText w:val="■"/>
      <w:lvlJc w:val="left"/>
      <w:pPr>
        <w:ind w:left="4320" w:hanging="360"/>
      </w:pPr>
    </w:lvl>
    <w:lvl w:ilvl="6" w:tplc="40127132">
      <w:start w:val="1"/>
      <w:numFmt w:val="bullet"/>
      <w:lvlText w:val="●"/>
      <w:lvlJc w:val="left"/>
      <w:pPr>
        <w:ind w:left="5040" w:hanging="360"/>
      </w:pPr>
    </w:lvl>
    <w:lvl w:ilvl="7" w:tplc="1D4C3D7C">
      <w:start w:val="1"/>
      <w:numFmt w:val="bullet"/>
      <w:lvlText w:val="●"/>
      <w:lvlJc w:val="left"/>
      <w:pPr>
        <w:ind w:left="5760" w:hanging="360"/>
      </w:pPr>
    </w:lvl>
    <w:lvl w:ilvl="8" w:tplc="439AD7DC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74E55081"/>
    <w:multiLevelType w:val="hybridMultilevel"/>
    <w:tmpl w:val="4D948462"/>
    <w:lvl w:ilvl="0" w:tplc="2F82FBD0">
      <w:start w:val="1"/>
      <w:numFmt w:val="bullet"/>
      <w:lvlText w:val="–"/>
      <w:lvlJc w:val="left"/>
      <w:pPr>
        <w:ind w:left="460" w:hanging="240"/>
      </w:pPr>
      <w:rPr>
        <w:color w:val="1F6B6B"/>
      </w:rPr>
    </w:lvl>
    <w:lvl w:ilvl="1" w:tplc="DDFE140E">
      <w:numFmt w:val="decimal"/>
      <w:lvlText w:val=""/>
      <w:lvlJc w:val="left"/>
    </w:lvl>
    <w:lvl w:ilvl="2" w:tplc="CAF0F184">
      <w:numFmt w:val="decimal"/>
      <w:lvlText w:val=""/>
      <w:lvlJc w:val="left"/>
    </w:lvl>
    <w:lvl w:ilvl="3" w:tplc="0D84D2F8">
      <w:numFmt w:val="decimal"/>
      <w:lvlText w:val=""/>
      <w:lvlJc w:val="left"/>
    </w:lvl>
    <w:lvl w:ilvl="4" w:tplc="10F275C0">
      <w:numFmt w:val="decimal"/>
      <w:lvlText w:val=""/>
      <w:lvlJc w:val="left"/>
    </w:lvl>
    <w:lvl w:ilvl="5" w:tplc="D9F2BA2C">
      <w:numFmt w:val="decimal"/>
      <w:lvlText w:val=""/>
      <w:lvlJc w:val="left"/>
    </w:lvl>
    <w:lvl w:ilvl="6" w:tplc="A29A7996">
      <w:numFmt w:val="decimal"/>
      <w:lvlText w:val=""/>
      <w:lvlJc w:val="left"/>
    </w:lvl>
    <w:lvl w:ilvl="7" w:tplc="E412159A">
      <w:numFmt w:val="decimal"/>
      <w:lvlText w:val=""/>
      <w:lvlJc w:val="left"/>
    </w:lvl>
    <w:lvl w:ilvl="8" w:tplc="2A7E9F10">
      <w:numFmt w:val="decimal"/>
      <w:lvlText w:val=""/>
      <w:lvlJc w:val="left"/>
    </w:lvl>
  </w:abstractNum>
  <w:num w:numId="1" w16cid:durableId="2067220787">
    <w:abstractNumId w:val="0"/>
    <w:lvlOverride w:ilvl="0">
      <w:startOverride w:val="1"/>
    </w:lvlOverride>
  </w:num>
  <w:num w:numId="2" w16cid:durableId="2076731756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EB5"/>
    <w:rsid w:val="001A3B04"/>
    <w:rsid w:val="00567A68"/>
    <w:rsid w:val="00687C67"/>
    <w:rsid w:val="00AD5EB5"/>
    <w:rsid w:val="00C5160E"/>
    <w:rsid w:val="00E723DB"/>
    <w:rsid w:val="00F83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FD668"/>
  <w15:docId w15:val="{4761D06C-698F-8349-AF01-A4BD76997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color w:val="222222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Nadpis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qFormat/>
  </w:style>
  <w:style w:type="character" w:styleId="Hypertextovprepojenie">
    <w:name w:val="Hyperlink"/>
    <w:uiPriority w:val="99"/>
    <w:unhideWhenUsed/>
    <w:rPr>
      <w:color w:val="0563C1"/>
      <w:u w:val="single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link w:val="TextvysvetlivkyChar"/>
    <w:uiPriority w:val="99"/>
    <w:semiHidden/>
    <w:unhideWhenUsed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1437</Words>
  <Characters>8193</Characters>
  <Application>Microsoft Office Word</Application>
  <DocSecurity>0</DocSecurity>
  <Lines>68</Lines>
  <Paragraphs>19</Paragraphs>
  <ScaleCrop>false</ScaleCrop>
  <Company/>
  <LinksUpToDate>false</LinksUpToDate>
  <CharactersWithSpaces>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Tanius n. o. za rok 2025</dc:title>
  <dc:creator>Tanius n. o.</dc:creator>
  <cp:lastModifiedBy>Eva Wolfova</cp:lastModifiedBy>
  <cp:revision>2</cp:revision>
  <dcterms:created xsi:type="dcterms:W3CDTF">2026-07-13T17:20:00Z</dcterms:created>
  <dcterms:modified xsi:type="dcterms:W3CDTF">2026-07-13T17:20:00Z</dcterms:modified>
</cp:coreProperties>
</file>