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before="280" w:after="280"/>
        <w:jc w:val="both"/>
        <w:rPr>
          <w:rFonts w:eastAsia="Times New Roman"/>
          <w:b/>
          <w:bCs/>
          <w:color w:val="000000"/>
          <w:sz w:val="48"/>
          <w:szCs w:val="48"/>
        </w:rPr>
      </w:pPr>
      <w:r>
        <w:rPr>
          <w:rFonts w:eastAsia="Times New Roman"/>
          <w:b/>
          <w:bCs/>
          <w:color w:val="000000"/>
          <w:sz w:val="48"/>
          <w:szCs w:val="48"/>
        </w:rPr>
      </w:r>
    </w:p>
    <w:p>
      <w:pPr>
        <w:pStyle w:val="Normal"/>
        <w:spacing w:before="280" w:after="280"/>
        <w:jc w:val="center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Názov neziskovej organizácie:</w:t>
      </w:r>
    </w:p>
    <w:p>
      <w:pPr>
        <w:pStyle w:val="Normal"/>
        <w:pBdr>
          <w:bottom w:val="single" w:sz="12" w:space="1" w:color="000000"/>
        </w:pBdr>
        <w:spacing w:before="280" w:after="280"/>
        <w:jc w:val="center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Národné centrum pre rovnosť príležitostí, n.o.</w:t>
      </w:r>
    </w:p>
    <w:p>
      <w:pPr>
        <w:pStyle w:val="Normal"/>
        <w:spacing w:before="280" w:after="280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>Dňa 30.06.</w:t>
      </w:r>
      <w:r>
        <w:rPr>
          <w:rFonts w:eastAsia="Times New Roman"/>
          <w:b/>
          <w:bCs/>
          <w:color w:val="000000"/>
        </w:rPr>
        <w:t>20</w:t>
      </w:r>
      <w:r>
        <w:rPr>
          <w:rFonts w:eastAsia="Times New Roman"/>
          <w:b/>
          <w:bCs/>
        </w:rPr>
        <w:t>26</w:t>
      </w:r>
    </w:p>
    <w:p>
      <w:pPr>
        <w:pStyle w:val="Normal"/>
        <w:spacing w:before="280" w:after="280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>Register účtovných závierok</w:t>
      </w:r>
    </w:p>
    <w:p>
      <w:pPr>
        <w:pStyle w:val="Normal"/>
        <w:spacing w:before="280" w:after="280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 xml:space="preserve">Vec:   </w:t>
      </w:r>
      <w:r>
        <w:rPr>
          <w:rFonts w:eastAsia="Times New Roman"/>
          <w:b/>
          <w:bCs/>
          <w:color w:val="000000"/>
          <w:sz w:val="28"/>
          <w:szCs w:val="28"/>
          <w:u w:val="single"/>
        </w:rPr>
        <w:t>Výročná správa  za rok 20</w:t>
      </w:r>
      <w:r>
        <w:rPr>
          <w:rFonts w:eastAsia="Times New Roman"/>
          <w:b/>
          <w:bCs/>
          <w:sz w:val="28"/>
          <w:szCs w:val="28"/>
          <w:u w:val="single"/>
        </w:rPr>
        <w:t>25</w:t>
      </w:r>
      <w:r>
        <w:rPr>
          <w:rFonts w:eastAsia="Times New Roman"/>
          <w:b/>
          <w:bCs/>
          <w:color w:val="000000"/>
          <w:sz w:val="28"/>
          <w:szCs w:val="28"/>
          <w:u w:val="single"/>
        </w:rPr>
        <w:t xml:space="preserve"> – predloženie</w:t>
      </w:r>
    </w:p>
    <w:p>
      <w:pPr>
        <w:pStyle w:val="Normal"/>
        <w:spacing w:before="280" w:after="280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>V prílohe Vám zasielam výročnú správu a výkazy za rok 2025 neziskovej organizácie Národné centrum pre rovnosť príležitostí no , so sídlom Kozia 26, 811 03 Bratislava</w:t>
      </w:r>
    </w:p>
    <w:p>
      <w:pPr>
        <w:pStyle w:val="Normal"/>
        <w:spacing w:before="280" w:after="280"/>
        <w:jc w:val="both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>Mgr. Anna Klimáčková riaditeľka</w:t>
      </w:r>
    </w:p>
    <w:p>
      <w:pPr>
        <w:pStyle w:val="Normal"/>
        <w:jc w:val="both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 xml:space="preserve">Podpis:  </w:t>
      </w:r>
      <w:r>
        <w:rPr/>
        <w:drawing>
          <wp:inline distT="0" distB="0" distL="0" distR="0">
            <wp:extent cx="1304925" cy="478155"/>
            <wp:effectExtent l="0" t="0" r="0" b="0"/>
            <wp:docPr id="1" name="Picture 1" descr="C:\Users\peter\OneDrive\Počítač\Stary Pocitac\PODPIS AK\podpis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peter\OneDrive\Počítač\Stary Pocitac\PODPIS AK\podpis 1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478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</w:r>
    </w:p>
    <w:p>
      <w:pPr>
        <w:pStyle w:val="Normal"/>
        <w:jc w:val="both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>Kontakt: t.č. 0907 727271</w:t>
      </w:r>
    </w:p>
    <w:p>
      <w:pPr>
        <w:pStyle w:val="Normal"/>
        <w:jc w:val="both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 xml:space="preserve">e-mail: </w:t>
      </w:r>
      <w:hyperlink r:id="rId3">
        <w:r>
          <w:rPr>
            <w:rStyle w:val="Hyperlink"/>
            <w:rFonts w:eastAsia="Times New Roman"/>
            <w:bCs/>
          </w:rPr>
          <w:t>info@ncrp.sk</w:t>
        </w:r>
      </w:hyperlink>
      <w:r>
        <w:rPr>
          <w:rFonts w:eastAsia="Times New Roman"/>
          <w:bCs/>
          <w:color w:val="000000"/>
        </w:rPr>
        <w:t xml:space="preserve">, </w:t>
      </w:r>
      <w:hyperlink r:id="rId4">
        <w:r>
          <w:rPr>
            <w:rStyle w:val="Hyperlink"/>
            <w:rFonts w:eastAsia="Times New Roman"/>
            <w:bCs/>
          </w:rPr>
          <w:t>klimackovaa@gmail.com</w:t>
        </w:r>
      </w:hyperlink>
    </w:p>
    <w:p>
      <w:pPr>
        <w:pStyle w:val="Normal"/>
        <w:jc w:val="both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</w:r>
    </w:p>
    <w:p>
      <w:pPr>
        <w:pStyle w:val="Normal"/>
        <w:spacing w:before="280" w:after="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  <w:tab/>
      </w:r>
    </w:p>
    <w:p>
      <w:pPr>
        <w:pStyle w:val="Normal"/>
        <w:spacing w:before="280" w:after="0"/>
        <w:jc w:val="center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 xml:space="preserve">Výročná správa za rok </w:t>
      </w:r>
      <w:r>
        <w:rPr>
          <w:rFonts w:eastAsia="Times New Roman"/>
          <w:b/>
          <w:sz w:val="28"/>
          <w:szCs w:val="28"/>
        </w:rPr>
        <w:t>202</w:t>
      </w:r>
      <w:r>
        <w:rPr>
          <w:rFonts w:eastAsia="Times New Roman"/>
          <w:b/>
          <w:color w:val="000000"/>
          <w:sz w:val="28"/>
          <w:szCs w:val="28"/>
        </w:rPr>
        <w:t>5</w:t>
      </w:r>
    </w:p>
    <w:p>
      <w:pPr>
        <w:pStyle w:val="Normal"/>
        <w:numPr>
          <w:ilvl w:val="0"/>
          <w:numId w:val="2"/>
        </w:numPr>
        <w:spacing w:before="280" w:after="0"/>
        <w:jc w:val="both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Úvod:</w:t>
      </w:r>
    </w:p>
    <w:p>
      <w:pPr>
        <w:pStyle w:val="Normal"/>
        <w:spacing w:before="280" w:after="0"/>
        <w:ind w:start="720"/>
        <w:jc w:val="both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</w:r>
    </w:p>
    <w:p>
      <w:pPr>
        <w:pStyle w:val="Normal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Názov: </w:t>
        <w:tab/>
        <w:t>Národné centrum pre rovnosť príležitostí, n.o.</w:t>
      </w:r>
    </w:p>
    <w:p>
      <w:pPr>
        <w:pStyle w:val="Normal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Sídlo: </w:t>
        <w:tab/>
        <w:tab/>
        <w:t>Kozia 26, 811 03 Bratislava</w:t>
      </w:r>
    </w:p>
    <w:p>
      <w:pPr>
        <w:pStyle w:val="Normal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Dátum vzniku: 30.1.1998</w:t>
      </w:r>
    </w:p>
    <w:p>
      <w:pPr>
        <w:pStyle w:val="Normal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Bola zaregistrovaná Krajským úradom Bratislava pod registračným  číslom: OVVS-42/6/1998-NO</w:t>
      </w:r>
    </w:p>
    <w:p>
      <w:pPr>
        <w:pStyle w:val="Normal"/>
        <w:jc w:val="both"/>
        <w:rPr>
          <w:rFonts w:eastAsia="Times New Roman"/>
          <w:color w:val="000000"/>
        </w:rPr>
      </w:pPr>
      <w:r>
        <w:rPr>
          <w:b/>
        </w:rPr>
        <w:t xml:space="preserve">                                         </w:t>
      </w:r>
    </w:p>
    <w:p>
      <w:pPr>
        <w:pStyle w:val="BodyTextIndent2"/>
        <w:spacing w:lineRule="auto" w:line="240" w:before="0" w:after="0"/>
        <w:rPr>
          <w:b/>
        </w:rPr>
      </w:pPr>
      <w:r>
        <w:rPr>
          <w:b/>
        </w:rPr>
        <w:t xml:space="preserve">  </w:t>
      </w:r>
      <w:r>
        <w:rPr>
          <w:b/>
        </w:rPr>
        <w:t>Druh všeobecne prospešných služieb</w:t>
      </w:r>
    </w:p>
    <w:p>
      <w:pPr>
        <w:pStyle w:val="Normal"/>
        <w:ind w:start="142"/>
        <w:jc w:val="both"/>
        <w:rPr/>
      </w:pPr>
      <w:r>
        <w:rPr/>
      </w:r>
    </w:p>
    <w:p>
      <w:pPr>
        <w:pStyle w:val="Normal"/>
        <w:ind w:start="142"/>
        <w:jc w:val="both"/>
        <w:rPr/>
      </w:pPr>
      <w:r>
        <w:rPr/>
        <w:t>Nezisková organizácia poskytuje všeobecne prospešné služby v oblasti tvorby, rozvoja, ochrany, obnovy a prezentácie duchovných a kultúrnych hodnôt so zameraním na zvýšenie vedomostnej úrovne, zamestnanosti, uplatňovanie rodovej rovnosti a zvýšenie kvality života rodín:</w:t>
      </w:r>
    </w:p>
    <w:p>
      <w:pPr>
        <w:pStyle w:val="Normal"/>
        <w:widowControl/>
        <w:numPr>
          <w:ilvl w:val="0"/>
          <w:numId w:val="1"/>
        </w:numPr>
        <w:suppressAutoHyphens w:val="false"/>
        <w:jc w:val="both"/>
        <w:rPr/>
      </w:pPr>
      <w:r>
        <w:rPr/>
        <w:t>organizovanie metodických seminárov, prezentácií, školení, kurzov, konferencií na národnej a medzinárodnej úrovni,</w:t>
      </w:r>
    </w:p>
    <w:p>
      <w:pPr>
        <w:pStyle w:val="Normal"/>
        <w:widowControl/>
        <w:numPr>
          <w:ilvl w:val="0"/>
          <w:numId w:val="1"/>
        </w:numPr>
        <w:suppressAutoHyphens w:val="false"/>
        <w:jc w:val="both"/>
        <w:rPr/>
      </w:pPr>
      <w:r>
        <w:rPr/>
        <w:t>organizovanie kultúrnych, osvetových podujatí, výstav</w:t>
      </w:r>
    </w:p>
    <w:p>
      <w:pPr>
        <w:pStyle w:val="Normal"/>
        <w:widowControl/>
        <w:suppressAutoHyphens w:val="false"/>
        <w:ind w:start="502"/>
        <w:jc w:val="both"/>
        <w:rPr/>
      </w:pPr>
      <w:r>
        <w:rPr/>
      </w:r>
    </w:p>
    <w:p>
      <w:pPr>
        <w:pStyle w:val="Normal"/>
        <w:widowControl/>
        <w:suppressAutoHyphens w:val="false"/>
        <w:ind w:start="502"/>
        <w:jc w:val="both"/>
        <w:rPr/>
      </w:pPr>
      <w:r>
        <w:rPr/>
        <w:t xml:space="preserve"> </w:t>
      </w:r>
    </w:p>
    <w:p>
      <w:pPr>
        <w:pStyle w:val="Normal"/>
        <w:ind w:start="142"/>
        <w:jc w:val="both"/>
        <w:rPr/>
      </w:pPr>
      <w:r>
        <w:rPr/>
        <w:t>A ďalšie služby v oblasti výskumu, vývoja, vedecko-technických služieb a informačných služieb so zameraním na informačné služby:</w:t>
      </w:r>
    </w:p>
    <w:p>
      <w:pPr>
        <w:pStyle w:val="Normal"/>
        <w:widowControl/>
        <w:numPr>
          <w:ilvl w:val="0"/>
          <w:numId w:val="1"/>
        </w:numPr>
        <w:suppressAutoHyphens w:val="false"/>
        <w:jc w:val="both"/>
        <w:rPr/>
      </w:pPr>
      <w:r>
        <w:rPr/>
        <w:t>analýzy, rozbory, prieskumy, realizácia a spracovanie projektov s cieľom rozvoja ekonomiky a miestnej kultúry regiónu,</w:t>
      </w:r>
    </w:p>
    <w:p>
      <w:pPr>
        <w:pStyle w:val="Normal"/>
        <w:widowControl/>
        <w:numPr>
          <w:ilvl w:val="0"/>
          <w:numId w:val="1"/>
        </w:numPr>
        <w:suppressAutoHyphens w:val="false"/>
        <w:jc w:val="both"/>
        <w:rPr/>
      </w:pPr>
      <w:r>
        <w:rPr/>
        <w:t xml:space="preserve">poskytovanie informácií v uvedených oblastiach prostredníctvom internetu a drobných tlačovín. </w:t>
      </w:r>
    </w:p>
    <w:p>
      <w:pPr>
        <w:pStyle w:val="Normal"/>
        <w:widowControl/>
        <w:suppressAutoHyphens w:val="false"/>
        <w:jc w:val="both"/>
        <w:rPr/>
      </w:pPr>
      <w:r>
        <w:rPr/>
      </w:r>
    </w:p>
    <w:p>
      <w:pPr>
        <w:pStyle w:val="Normal"/>
        <w:widowControl/>
        <w:suppressAutoHyphens w:val="false"/>
        <w:jc w:val="both"/>
        <w:rPr/>
      </w:pPr>
      <w:r>
        <w:rPr/>
        <w:t>Správna rada prerokovala a jednohlasne  schválila dňa 10.07.2026 predloženú výročnú správu za rok 2025</w:t>
      </w:r>
    </w:p>
    <w:p>
      <w:pPr>
        <w:pStyle w:val="Normal"/>
        <w:widowControl/>
        <w:suppressAutoHyphens w:val="false"/>
        <w:jc w:val="both"/>
        <w:rPr/>
      </w:pPr>
      <w:r>
        <w:rPr/>
      </w:r>
    </w:p>
    <w:p>
      <w:pPr>
        <w:pStyle w:val="Normal"/>
        <w:widowControl/>
        <w:suppressAutoHyphens w:val="false"/>
        <w:jc w:val="both"/>
        <w:rPr/>
      </w:pPr>
      <w:r>
        <w:rPr/>
      </w:r>
    </w:p>
    <w:p>
      <w:pPr>
        <w:pStyle w:val="NoSpacing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Prehľad  činností  vykonávaných  v  kalendárnom  roku  2025</w:t>
      </w:r>
    </w:p>
    <w:p>
      <w:pPr>
        <w:pStyle w:val="NoSpacing"/>
        <w:ind w:start="72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numPr>
          <w:ilvl w:val="0"/>
          <w:numId w:val="2"/>
        </w:numPr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>Realizované projekty</w:t>
      </w:r>
    </w:p>
    <w:p>
      <w:pPr>
        <w:pStyle w:val="NoSpacing"/>
        <w:rPr/>
      </w:pPr>
      <w:r>
        <w:rPr/>
      </w:r>
    </w:p>
    <w:p>
      <w:pPr>
        <w:pStyle w:val="BodyText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Projekt:</w:t>
      </w:r>
    </w:p>
    <w:p>
      <w:pPr>
        <w:pStyle w:val="BodyText3"/>
        <w:jc w:val="both"/>
        <w:rPr>
          <w:b/>
          <w:sz w:val="24"/>
          <w:szCs w:val="24"/>
        </w:rPr>
      </w:pPr>
      <w:r>
        <w:rPr>
          <w:rFonts w:cs="Arial" w:ascii="Arial" w:hAnsi="Arial"/>
          <w:b/>
          <w:color w:val="333333"/>
          <w:sz w:val="20"/>
          <w:szCs w:val="20"/>
        </w:rPr>
        <w:t xml:space="preserve"> </w:t>
      </w:r>
    </w:p>
    <w:p>
      <w:pPr>
        <w:pStyle w:val="Normal"/>
        <w:widowControl/>
        <w:suppressAutoHyphens w:val="false"/>
        <w:jc w:val="both"/>
        <w:rPr/>
      </w:pPr>
      <w:r>
        <w:rPr>
          <w:u w:val="single"/>
        </w:rPr>
        <w:t>Zosúladenie práce a rodiny</w:t>
      </w:r>
      <w:r>
        <w:rPr/>
        <w:t xml:space="preserve"> – príprava podkladov, prieskum súčasného stavu zamestnanosti rodičov s malými deťmi a osamelých rodičov v regiónoch, komunikácia a návrh programov v regiónoch..</w:t>
      </w:r>
    </w:p>
    <w:p>
      <w:pPr>
        <w:pStyle w:val="Normal"/>
        <w:widowControl/>
        <w:suppressAutoHyphens w:val="false"/>
        <w:jc w:val="both"/>
        <w:rPr/>
      </w:pPr>
      <w:r>
        <w:rPr/>
      </w:r>
    </w:p>
    <w:p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3. Ročná účtovná závierka a zhodnotenie základných údajov v nej obsiahnutých.</w:t>
      </w:r>
    </w:p>
    <w:p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Tvorí prílohu podľa formy účtovníctva –podvojné.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sz w:val="24"/>
          <w:szCs w:val="24"/>
        </w:rPr>
      </w:pPr>
      <w:r>
        <w:rPr>
          <w:b/>
          <w:sz w:val="28"/>
          <w:szCs w:val="28"/>
        </w:rPr>
        <w:t xml:space="preserve">4. Výrok audítora k ročnej účtovnej závierke.  </w:t>
      </w:r>
    </w:p>
    <w:p>
      <w:pPr>
        <w:pStyle w:val="Normal"/>
        <w:widowControl/>
        <w:suppressAutoHyphens w:val="false"/>
        <w:jc w:val="both"/>
        <w:rPr/>
      </w:pPr>
      <w:r>
        <w:rPr/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Ročnú účtovnú závierku nebolo potrebné overovať audítorom vzhľadom na objem finančných prostriedkov.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5. Prehľad o peňažných príjmoch a výdavkoch.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uppressAutoHyphens w:val="false"/>
        <w:jc w:val="both"/>
        <w:rPr/>
      </w:pPr>
      <w:r>
        <w:rPr/>
        <w:t>Počiatočný stav k 1.1.2024  .........................................................................</w:t>
      </w:r>
      <w:r>
        <w:rPr>
          <w:rFonts w:eastAsia="Times New Roman"/>
          <w:kern w:val="0"/>
          <w:lang w:eastAsia="sk-SK"/>
        </w:rPr>
        <w:t xml:space="preserve"> </w:t>
      </w:r>
      <w:r>
        <w:rPr>
          <w:rFonts w:eastAsia="Times New Roman"/>
          <w:b/>
          <w:bCs/>
          <w:kern w:val="0"/>
          <w:lang w:eastAsia="sk-SK"/>
        </w:rPr>
        <w:t>72</w:t>
      </w:r>
      <w:r>
        <w:rPr>
          <w:rFonts w:eastAsia="Times New Roman" w:cs="ArialMT" w:ascii="ArialMT" w:hAnsi="ArialMT"/>
          <w:b/>
          <w:bCs/>
          <w:kern w:val="0"/>
          <w:sz w:val="22"/>
          <w:szCs w:val="22"/>
          <w:lang w:val="en-US"/>
        </w:rPr>
        <w:t>,72</w:t>
      </w:r>
    </w:p>
    <w:p>
      <w:pPr>
        <w:pStyle w:val="Normal"/>
        <w:widowControl/>
        <w:suppressAutoHyphens w:val="false"/>
        <w:jc w:val="both"/>
        <w:rPr/>
      </w:pPr>
      <w:r>
        <w:rPr/>
      </w:r>
    </w:p>
    <w:p>
      <w:pPr>
        <w:pStyle w:val="Normal"/>
        <w:jc w:val="both"/>
        <w:rPr>
          <w:b/>
        </w:rPr>
      </w:pPr>
      <w:r>
        <w:rPr>
          <w:b/>
        </w:rPr>
        <w:t>Príjmy za rok 2025</w:t>
      </w:r>
    </w:p>
    <w:p>
      <w:pPr>
        <w:pStyle w:val="NormalWeb"/>
        <w:shd w:val="clear" w:color="auto" w:fill="FFFFFF"/>
        <w:spacing w:beforeAutospacing="0" w:before="360" w:afterAutospacing="0" w:after="0"/>
        <w:rPr>
          <w:sz w:val="22"/>
          <w:szCs w:val="22"/>
        </w:rPr>
      </w:pPr>
      <w:r>
        <w:rPr/>
        <w:t xml:space="preserve">Príjem 2% z dane .................................................................................…….. </w:t>
      </w:r>
      <w:r>
        <w:rPr>
          <w:b/>
          <w:bCs/>
        </w:rPr>
        <w:t xml:space="preserve">81,98 </w:t>
      </w:r>
      <w:r>
        <w:rPr/>
        <w:t xml:space="preserve">  </w:t>
      </w:r>
    </w:p>
    <w:p>
      <w:pPr>
        <w:pStyle w:val="Header"/>
        <w:tabs>
          <w:tab w:val="clear" w:pos="4536"/>
          <w:tab w:val="left" w:pos="720" w:leader="none"/>
        </w:tabs>
        <w:snapToGrid w:val="false"/>
        <w:rPr>
          <w:rFonts w:eastAsia="Times New Roman"/>
        </w:rPr>
      </w:pPr>
      <w:r>
        <w:rPr>
          <w:rFonts w:eastAsia="Times New Roman"/>
        </w:rPr>
      </w:r>
    </w:p>
    <w:p>
      <w:pPr>
        <w:pStyle w:val="Header"/>
        <w:tabs>
          <w:tab w:val="clear" w:pos="4536"/>
          <w:tab w:val="left" w:pos="720" w:leader="none"/>
        </w:tabs>
        <w:snapToGrid w:val="false"/>
        <w:rPr>
          <w:rFonts w:eastAsia="Times New Roman"/>
        </w:rPr>
      </w:pPr>
      <w:r>
        <w:rPr>
          <w:rFonts w:eastAsia="Times New Roman"/>
        </w:rPr>
        <w:t xml:space="preserve">Finančná výpomoc………………………………………………………….. </w:t>
      </w:r>
      <w:r>
        <w:rPr>
          <w:rFonts w:eastAsia="Times New Roman"/>
          <w:b/>
          <w:bCs/>
        </w:rPr>
        <w:t>500,00</w:t>
      </w:r>
    </w:p>
    <w:p>
      <w:pPr>
        <w:pStyle w:val="Header"/>
        <w:tabs>
          <w:tab w:val="clear" w:pos="4536"/>
          <w:tab w:val="left" w:pos="720" w:leader="none"/>
        </w:tabs>
        <w:snapToGrid w:val="false"/>
        <w:rPr>
          <w:rFonts w:eastAsia="Times New Roman"/>
        </w:rPr>
      </w:pPr>
      <w:r>
        <w:rPr>
          <w:rFonts w:eastAsia="Times New Roman"/>
        </w:rPr>
        <w:t xml:space="preserve">   </w:t>
      </w:r>
    </w:p>
    <w:p>
      <w:pPr>
        <w:pStyle w:val="Header"/>
        <w:tabs>
          <w:tab w:val="clear" w:pos="4536"/>
          <w:tab w:val="left" w:pos="720" w:leader="none"/>
        </w:tabs>
        <w:snapToGrid w:val="false"/>
        <w:rPr>
          <w:rFonts w:eastAsia="Times New Roman"/>
        </w:rPr>
      </w:pPr>
      <w:r>
        <w:rPr>
          <w:rFonts w:eastAsia="Times New Roman"/>
          <w:b/>
          <w:bCs/>
        </w:rPr>
        <w:t xml:space="preserve">Spolu:                                                        604,70     </w:t>
      </w:r>
    </w:p>
    <w:p>
      <w:pPr>
        <w:pStyle w:val="Header"/>
        <w:tabs>
          <w:tab w:val="clear" w:pos="4536"/>
          <w:tab w:val="left" w:pos="720" w:leader="none"/>
        </w:tabs>
        <w:snapToGrid w:val="false"/>
        <w:rPr>
          <w:rFonts w:eastAsia="Times New Roman"/>
        </w:rPr>
      </w:pPr>
      <w:r>
        <w:rPr>
          <w:rFonts w:eastAsia="Times New Roman"/>
        </w:rPr>
      </w:r>
    </w:p>
    <w:p>
      <w:pPr>
        <w:pStyle w:val="Header"/>
        <w:tabs>
          <w:tab w:val="clear" w:pos="4536"/>
          <w:tab w:val="left" w:pos="720" w:leader="none"/>
        </w:tabs>
        <w:snapToGrid w:val="false"/>
        <w:rPr>
          <w:rFonts w:eastAsia="Times New Roman"/>
        </w:rPr>
      </w:pPr>
      <w:r>
        <w:rPr>
          <w:rFonts w:eastAsia="Times New Roman"/>
        </w:rPr>
      </w:r>
    </w:p>
    <w:p>
      <w:pPr>
        <w:pStyle w:val="Header"/>
        <w:tabs>
          <w:tab w:val="clear" w:pos="4536"/>
          <w:tab w:val="left" w:pos="720" w:leader="none"/>
        </w:tabs>
        <w:snapToGrid w:val="false"/>
        <w:rPr>
          <w:rFonts w:eastAsia="Times New Roman"/>
        </w:rPr>
      </w:pPr>
      <w:r>
        <w:rPr>
          <w:rFonts w:eastAsia="Times New Roman"/>
          <w:b/>
          <w:bCs/>
        </w:rPr>
        <w:t xml:space="preserve">  </w:t>
      </w:r>
    </w:p>
    <w:p>
      <w:pPr>
        <w:pStyle w:val="Header"/>
        <w:tabs>
          <w:tab w:val="clear" w:pos="4536"/>
          <w:tab w:val="left" w:pos="720" w:leader="none"/>
        </w:tabs>
        <w:snapToGrid w:val="false"/>
        <w:rPr>
          <w:rFonts w:eastAsia="Times New Roman"/>
        </w:rPr>
      </w:pPr>
      <w:r>
        <w:rPr>
          <w:rFonts w:eastAsia="Times New Roman"/>
          <w:b/>
          <w:bCs/>
        </w:rPr>
        <w:t xml:space="preserve">                                                                                                        </w:t>
      </w:r>
    </w:p>
    <w:p>
      <w:pPr>
        <w:pStyle w:val="Header"/>
        <w:tabs>
          <w:tab w:val="left" w:pos="720" w:leader="none"/>
        </w:tabs>
        <w:snapToGrid w:val="false"/>
        <w:spacing w:before="120" w:after="120"/>
        <w:jc w:val="both"/>
        <w:rPr>
          <w:rFonts w:eastAsia="Times New Roman"/>
          <w:bCs/>
          <w:iCs/>
          <w:color w:val="000000"/>
        </w:rPr>
      </w:pPr>
      <w:r>
        <w:rPr>
          <w:rFonts w:eastAsia="Times New Roman"/>
          <w:bCs/>
          <w:iCs/>
          <w:color w:val="000000"/>
        </w:rPr>
        <w:t xml:space="preserve">Výdavky na správu: ....................................................................................... 537,99   </w:t>
      </w:r>
    </w:p>
    <w:p>
      <w:pPr>
        <w:pStyle w:val="Header"/>
        <w:tabs>
          <w:tab w:val="left" w:pos="720" w:leader="none"/>
        </w:tabs>
        <w:snapToGrid w:val="false"/>
        <w:spacing w:before="120" w:after="120"/>
        <w:jc w:val="both"/>
        <w:rPr>
          <w:rFonts w:eastAsia="Times New Roman"/>
          <w:bCs/>
          <w:iCs/>
          <w:color w:val="000000"/>
        </w:rPr>
      </w:pPr>
      <w:r>
        <w:rPr>
          <w:rFonts w:eastAsia="Times New Roman"/>
          <w:bCs/>
          <w:iCs/>
          <w:color w:val="000000"/>
        </w:rPr>
      </w:r>
    </w:p>
    <w:p>
      <w:pPr>
        <w:pStyle w:val="Header"/>
        <w:tabs>
          <w:tab w:val="clear" w:pos="4536"/>
          <w:tab w:val="clear" w:pos="9072"/>
          <w:tab w:val="left" w:pos="720" w:leader="none"/>
        </w:tabs>
        <w:snapToGrid w:val="false"/>
        <w:spacing w:before="120" w:after="120"/>
        <w:jc w:val="both"/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t>Výdavky spolu</w:t>
        <w:tab/>
        <w:t>...................................................................         537,99</w:t>
        <w:tab/>
      </w:r>
    </w:p>
    <w:p>
      <w:pPr>
        <w:pStyle w:val="Header"/>
        <w:tabs>
          <w:tab w:val="clear" w:pos="4536"/>
          <w:tab w:val="clear" w:pos="9072"/>
          <w:tab w:val="left" w:pos="720" w:leader="none"/>
        </w:tabs>
        <w:snapToGrid w:val="false"/>
        <w:spacing w:before="120" w:after="120"/>
        <w:jc w:val="both"/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</w:r>
    </w:p>
    <w:p>
      <w:pPr>
        <w:pStyle w:val="Header"/>
        <w:tabs>
          <w:tab w:val="clear" w:pos="4536"/>
          <w:tab w:val="clear" w:pos="9072"/>
          <w:tab w:val="left" w:pos="720" w:leader="none"/>
        </w:tabs>
        <w:snapToGrid w:val="false"/>
        <w:spacing w:before="120" w:after="120"/>
        <w:jc w:val="both"/>
        <w:rPr>
          <w:rFonts w:eastAsia="Times New Roman"/>
          <w:u w:val="single"/>
        </w:rPr>
      </w:pPr>
      <w:r>
        <w:rPr>
          <w:rFonts w:eastAsia="Times New Roman"/>
          <w:u w:val="single"/>
        </w:rPr>
        <w:t xml:space="preserve">Konečný zostatok v pokladni ................................................................... </w:t>
      </w:r>
      <w:r>
        <w:rPr>
          <w:rFonts w:eastAsia="Times New Roman"/>
          <w:b/>
          <w:bCs/>
          <w:u w:val="single"/>
        </w:rPr>
        <w:t>5,39</w:t>
      </w:r>
    </w:p>
    <w:p>
      <w:pPr>
        <w:pStyle w:val="Header"/>
        <w:tabs>
          <w:tab w:val="clear" w:pos="4536"/>
          <w:tab w:val="clear" w:pos="9072"/>
          <w:tab w:val="left" w:pos="720" w:leader="none"/>
        </w:tabs>
        <w:snapToGrid w:val="false"/>
        <w:spacing w:before="120" w:after="120"/>
        <w:jc w:val="both"/>
        <w:rPr>
          <w:rFonts w:eastAsia="Times New Roman"/>
          <w:b/>
          <w:u w:val="single"/>
        </w:rPr>
      </w:pPr>
      <w:r>
        <w:rPr>
          <w:rFonts w:eastAsia="Times New Roman"/>
          <w:u w:val="single"/>
        </w:rPr>
        <w:t xml:space="preserve">Konečný zostatok na účte ...................................................................  </w:t>
      </w:r>
      <w:r>
        <w:rPr>
          <w:rFonts w:eastAsia="Times New Roman"/>
          <w:b/>
          <w:bCs/>
          <w:u w:val="single"/>
        </w:rPr>
        <w:t>139,21</w:t>
      </w:r>
    </w:p>
    <w:p>
      <w:pPr>
        <w:pStyle w:val="Header"/>
        <w:tabs>
          <w:tab w:val="clear" w:pos="4536"/>
          <w:tab w:val="clear" w:pos="9072"/>
          <w:tab w:val="left" w:pos="720" w:leader="none"/>
        </w:tabs>
        <w:snapToGrid w:val="false"/>
        <w:spacing w:before="120" w:after="120"/>
        <w:jc w:val="both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ab/>
      </w:r>
    </w:p>
    <w:p>
      <w:pPr>
        <w:pStyle w:val="NoSpacing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 xml:space="preserve">                                          </w:t>
      </w:r>
    </w:p>
    <w:p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6. Prehľad rozsahu príjmov(výnosov) v členení podľa zdrojov.</w:t>
      </w:r>
    </w:p>
    <w:p>
      <w:pPr>
        <w:pStyle w:val="NoSpacing"/>
        <w:rPr>
          <w:sz w:val="24"/>
          <w:szCs w:val="24"/>
        </w:rPr>
      </w:pPr>
      <w:r>
        <w:rPr>
          <w:rFonts w:eastAsia="Times New Roman"/>
          <w:b/>
          <w:color w:val="000000"/>
        </w:rPr>
        <w:tab/>
      </w:r>
      <w:r>
        <w:rPr>
          <w:sz w:val="24"/>
          <w:szCs w:val="24"/>
        </w:rPr>
        <w:t>Prehľad v prílohe k výročnej správe.</w:t>
      </w:r>
    </w:p>
    <w:p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7. Stav a pohyb majetku a záväzkov neziskovej organizácie.</w:t>
      </w:r>
    </w:p>
    <w:p>
      <w:pPr>
        <w:pStyle w:val="Header"/>
        <w:tabs>
          <w:tab w:val="clear" w:pos="4536"/>
          <w:tab w:val="clear" w:pos="9072"/>
          <w:tab w:val="left" w:pos="720" w:leader="none"/>
        </w:tabs>
        <w:snapToGrid w:val="false"/>
        <w:spacing w:before="120" w:after="120"/>
        <w:jc w:val="both"/>
        <w:rPr>
          <w:rFonts w:eastAsia="Times New Roman"/>
          <w:color w:val="000000"/>
        </w:rPr>
      </w:pPr>
      <w:r>
        <w:rPr>
          <w:rFonts w:eastAsia="Times New Roman"/>
          <w:b/>
          <w:color w:val="000000"/>
        </w:rPr>
        <w:tab/>
      </w:r>
      <w:r>
        <w:rPr>
          <w:rFonts w:eastAsia="Times New Roman"/>
          <w:color w:val="000000"/>
        </w:rPr>
        <w:t>Nezisková organizácia nemá majetok. Tvoria ho iba finančné prostriedky na účte a hotovosti.</w:t>
      </w:r>
    </w:p>
    <w:p>
      <w:pPr>
        <w:pStyle w:val="Header"/>
        <w:tabs>
          <w:tab w:val="clear" w:pos="4536"/>
          <w:tab w:val="clear" w:pos="9072"/>
          <w:tab w:val="left" w:pos="720" w:leader="none"/>
        </w:tabs>
        <w:snapToGrid w:val="false"/>
        <w:spacing w:before="120" w:after="120"/>
        <w:jc w:val="both"/>
        <w:rPr>
          <w:rFonts w:eastAsia="Times New Roman"/>
          <w:b/>
          <w:color w:val="FF0000"/>
        </w:rPr>
      </w:pPr>
      <w:r>
        <w:rPr>
          <w:rFonts w:eastAsia="Times New Roman"/>
          <w:color w:val="000000"/>
        </w:rPr>
        <w:t>Ich konečný zostatok na účte k 31.12.20</w:t>
      </w:r>
      <w:r>
        <w:rPr>
          <w:rFonts w:eastAsia="Times New Roman"/>
        </w:rPr>
        <w:t>25</w:t>
      </w:r>
      <w:r>
        <w:rPr>
          <w:rFonts w:eastAsia="Times New Roman"/>
          <w:color w:val="000000"/>
        </w:rPr>
        <w:t xml:space="preserve"> je </w:t>
      </w:r>
      <w:r>
        <w:rPr>
          <w:rFonts w:eastAsia="Times New Roman"/>
          <w:b/>
          <w:color w:val="000000"/>
        </w:rPr>
        <w:t xml:space="preserve"> </w:t>
      </w:r>
      <w:r>
        <w:rPr>
          <w:rFonts w:eastAsia="Times New Roman"/>
          <w:b/>
          <w:bCs/>
          <w:color w:val="000000"/>
        </w:rPr>
        <w:t>139,21 EUR</w:t>
      </w:r>
      <w:bookmarkStart w:id="0" w:name="_GoBack"/>
      <w:bookmarkEnd w:id="0"/>
    </w:p>
    <w:p>
      <w:pPr>
        <w:pStyle w:val="NoSpacing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</w:t>
      </w:r>
    </w:p>
    <w:p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Zmeny  a nové  zloženie  orgánov  neziskovej  organizácie, ku ktorým  došlo </w:t>
      </w:r>
    </w:p>
    <w:p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  </w:t>
      </w:r>
      <w:r>
        <w:rPr>
          <w:b/>
          <w:sz w:val="28"/>
          <w:szCs w:val="28"/>
        </w:rPr>
        <w:t>v priebehu roka.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V sledovanom období nedošlo k zmene  k zmene v zložení orgánov neziskovej</w:t>
        <w:br/>
        <w:t xml:space="preserve">            organizácie.</w:t>
      </w:r>
    </w:p>
    <w:p>
      <w:pPr>
        <w:pStyle w:val="Header"/>
        <w:tabs>
          <w:tab w:val="clear" w:pos="4536"/>
          <w:tab w:val="clear" w:pos="9072"/>
          <w:tab w:val="left" w:pos="720" w:leader="none"/>
        </w:tabs>
        <w:snapToGrid w:val="false"/>
        <w:spacing w:before="120" w:after="120"/>
        <w:jc w:val="both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</w:r>
    </w:p>
    <w:p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9. Ďalšie údaje určené správnou radou.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/>
      </w:pPr>
      <w:r>
        <w:rPr/>
        <w:t>Správna rada neurčila žiadne ďalšie údaje na zverejnenie vo výročnej správe.</w:t>
      </w:r>
    </w:p>
    <w:p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10. Vyjadrenie revízora</w:t>
      </w:r>
    </w:p>
    <w:p>
      <w:pPr>
        <w:pStyle w:val="NoSpacing"/>
        <w:rPr/>
      </w:pPr>
      <w:r>
        <w:rPr/>
        <w:t>Revízor preskúmal hospodárenie neziskovej organizácie a nemá pripomienky.</w:t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  <w:t>V Bratislave 10.07.2025</w:t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</w:r>
    </w:p>
    <w:p>
      <w:pPr>
        <w:pStyle w:val="NormalWeb"/>
        <w:spacing w:before="280" w:after="280"/>
        <w:rPr/>
      </w:pPr>
      <w:r>
        <w:rPr/>
      </w:r>
    </w:p>
    <w:p>
      <w:pPr>
        <w:pStyle w:val="NormalWeb"/>
        <w:spacing w:before="280" w:after="280"/>
        <w:rPr/>
      </w:pPr>
      <w:r>
        <w:rPr/>
        <w:drawing>
          <wp:inline distT="0" distB="0" distL="0" distR="0">
            <wp:extent cx="1304925" cy="478155"/>
            <wp:effectExtent l="0" t="0" r="0" b="0"/>
            <wp:docPr id="2" name="Picture 2" descr="C:\Users\peter\OneDrive\Počítač\Stary Pocitac\PODPIS AK\podpis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peter\OneDrive\Počítač\Stary Pocitac\PODPIS AK\podpis 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478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Courier New">
    <w:charset w:val="ee" w:characterSet="windows-1250"/>
    <w:family w:val="roman"/>
    <w:pitch w:val="variable"/>
  </w:font>
  <w:font w:name="Wingdings">
    <w:charset w:val="02"/>
    <w:family w:val="roman"/>
    <w:pitch w:val="variable"/>
  </w:font>
  <w:font w:name="Wingdings 2">
    <w:charset w:val="02"/>
    <w:family w:val="roman"/>
    <w:pitch w:val="variable"/>
  </w:font>
  <w:font w:name="StarSymbol">
    <w:altName w:val="Arial Unicode MS"/>
    <w:charset w:val="02"/>
    <w:family w:val="roman"/>
    <w:pitch w:val="variable"/>
  </w:font>
  <w:font w:name="Tahoma"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Verdana"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  <w:font w:name="ArialMT">
    <w:charset w:val="ee" w:characterSet="windows-1250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start"/>
      <w:pPr>
        <w:tabs>
          <w:tab w:val="num" w:pos="0"/>
        </w:tabs>
        <w:ind w:start="502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262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hyphenationZone w:val="0"/>
  <w:compat>
    <w:balanceSingleByteDoubleByteWidth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start"/>
    </w:pPr>
    <w:rPr>
      <w:rFonts w:eastAsia="Lucida Sans Unicode" w:ascii="Times New Roman" w:hAnsi="Times New Roman" w:cs="Times New Roman"/>
      <w:color w:val="auto"/>
      <w:kern w:val="2"/>
      <w:sz w:val="24"/>
      <w:szCs w:val="24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Symbol" w:hAnsi="Symbol" w:cs="StarSymbol"/>
      <w:sz w:val="18"/>
      <w:szCs w:val="18"/>
    </w:rPr>
  </w:style>
  <w:style w:type="character" w:styleId="WW8Num2z0" w:customStyle="1">
    <w:name w:val="WW8Num2z0"/>
    <w:qFormat/>
    <w:rPr>
      <w:rFonts w:ascii="Symbol" w:hAnsi="Symbol" w:cs="StarSymbol"/>
      <w:sz w:val="18"/>
      <w:szCs w:val="18"/>
    </w:rPr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2" w:customStyle="1">
    <w:name w:val="WW8Num2z2"/>
    <w:qFormat/>
    <w:rPr>
      <w:rFonts w:ascii="Wingdings" w:hAnsi="Wingdings"/>
    </w:rPr>
  </w:style>
  <w:style w:type="character" w:styleId="WW8Num5z0" w:customStyle="1">
    <w:name w:val="WW8Num5z0"/>
    <w:qFormat/>
    <w:rPr>
      <w:rFonts w:ascii="Symbol" w:hAnsi="Symbol" w:cs="StarSymbol"/>
      <w:sz w:val="18"/>
      <w:szCs w:val="18"/>
    </w:rPr>
  </w:style>
  <w:style w:type="character" w:styleId="WW8Num5z1" w:customStyle="1">
    <w:name w:val="WW8Num5z1"/>
    <w:qFormat/>
    <w:rPr>
      <w:rFonts w:ascii="Wingdings 2" w:hAnsi="Wingdings 2" w:cs="StarSymbol"/>
      <w:sz w:val="18"/>
      <w:szCs w:val="18"/>
    </w:rPr>
  </w:style>
  <w:style w:type="character" w:styleId="WW8Num5z2" w:customStyle="1">
    <w:name w:val="WW8Num5z2"/>
    <w:qFormat/>
    <w:rPr>
      <w:rFonts w:ascii="StarSymbol" w:hAnsi="StarSymbol" w:cs="StarSymbol"/>
      <w:sz w:val="18"/>
      <w:szCs w:val="18"/>
    </w:rPr>
  </w:style>
  <w:style w:type="character" w:styleId="Absatz-Standardschriftart" w:customStyle="1">
    <w:name w:val="Absatz-Standardschriftart"/>
    <w:qFormat/>
    <w:rPr/>
  </w:style>
  <w:style w:type="character" w:styleId="WW8Num1z1" w:customStyle="1">
    <w:name w:val="WW8Num1z1"/>
    <w:qFormat/>
    <w:rPr>
      <w:rFonts w:ascii="Courier New" w:hAnsi="Courier New"/>
      <w:sz w:val="20"/>
    </w:rPr>
  </w:style>
  <w:style w:type="character" w:styleId="WW8Num1z2" w:customStyle="1">
    <w:name w:val="WW8Num1z2"/>
    <w:qFormat/>
    <w:rPr>
      <w:rFonts w:ascii="Wingdings" w:hAnsi="Wingdings"/>
      <w:sz w:val="20"/>
    </w:rPr>
  </w:style>
  <w:style w:type="character" w:styleId="WW8Num3z0" w:customStyle="1">
    <w:name w:val="WW8Num3z0"/>
    <w:qFormat/>
    <w:rPr>
      <w:rFonts w:ascii="Wingdings" w:hAnsi="Wingdings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2" w:customStyle="1">
    <w:name w:val="WW8Num3z2"/>
    <w:qFormat/>
    <w:rPr>
      <w:rFonts w:ascii="Wingdings" w:hAnsi="Wingdings"/>
      <w:sz w:val="20"/>
    </w:rPr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8Num3z6" w:customStyle="1">
    <w:name w:val="WW8Num3z6"/>
    <w:qFormat/>
    <w:rPr>
      <w:rFonts w:ascii="Symbol" w:hAnsi="Symbol"/>
    </w:rPr>
  </w:style>
  <w:style w:type="character" w:styleId="WW-Absatz-Standardschriftart1111" w:customStyle="1">
    <w:name w:val="WW-Absatz-Standardschriftart1111"/>
    <w:qFormat/>
    <w:rPr/>
  </w:style>
  <w:style w:type="character" w:styleId="WW8Num4z0" w:customStyle="1">
    <w:name w:val="WW8Num4z0"/>
    <w:qFormat/>
    <w:rPr>
      <w:rFonts w:ascii="Symbol" w:hAnsi="Symbol" w:cs="StarSymbol"/>
      <w:sz w:val="18"/>
      <w:szCs w:val="18"/>
    </w:rPr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4z2" w:customStyle="1">
    <w:name w:val="WW8Num4z2"/>
    <w:qFormat/>
    <w:rPr>
      <w:rFonts w:ascii="Wingdings" w:hAnsi="Wingdings"/>
    </w:rPr>
  </w:style>
  <w:style w:type="character" w:styleId="WW8Num4z6" w:customStyle="1">
    <w:name w:val="WW8Num4z6"/>
    <w:qFormat/>
    <w:rPr>
      <w:rFonts w:ascii="Symbol" w:hAnsi="Symbol"/>
    </w:rPr>
  </w:style>
  <w:style w:type="character" w:styleId="WW8Num6z0" w:customStyle="1">
    <w:name w:val="WW8Num6z0"/>
    <w:qFormat/>
    <w:rPr>
      <w:rFonts w:ascii="Symbol" w:hAnsi="Symbol"/>
    </w:rPr>
  </w:style>
  <w:style w:type="character" w:styleId="WW8Num7z0" w:customStyle="1">
    <w:name w:val="WW8Num7z0"/>
    <w:qFormat/>
    <w:rPr>
      <w:rFonts w:ascii="Symbol" w:hAnsi="Symbol" w:cs="StarSymbol"/>
      <w:sz w:val="18"/>
      <w:szCs w:val="18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2" w:customStyle="1">
    <w:name w:val="WW8Num7z2"/>
    <w:qFormat/>
    <w:rPr>
      <w:rFonts w:ascii="Wingdings" w:hAnsi="Wingdings"/>
    </w:rPr>
  </w:style>
  <w:style w:type="character" w:styleId="WW8Num7z6" w:customStyle="1">
    <w:name w:val="WW8Num7z6"/>
    <w:qFormat/>
    <w:rPr>
      <w:rFonts w:ascii="Symbol" w:hAnsi="Symbol"/>
    </w:rPr>
  </w:style>
  <w:style w:type="character" w:styleId="WW8Num10z0" w:customStyle="1">
    <w:name w:val="WW8Num10z0"/>
    <w:qFormat/>
    <w:rPr>
      <w:rFonts w:ascii="Times New Roman" w:hAnsi="Times New Roman" w:eastAsia="Times New Roman" w:cs="Times New Roman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/>
    </w:rPr>
  </w:style>
  <w:style w:type="character" w:styleId="WW8Num10z3" w:customStyle="1">
    <w:name w:val="WW8Num10z3"/>
    <w:qFormat/>
    <w:rPr>
      <w:rFonts w:ascii="Symbol" w:hAnsi="Symbol"/>
    </w:rPr>
  </w:style>
  <w:style w:type="character" w:styleId="Predvolenpsmoodseku1" w:customStyle="1">
    <w:name w:val="Predvolené písmo odseku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8Num8z0" w:customStyle="1">
    <w:name w:val="WW8Num8z0"/>
    <w:qFormat/>
    <w:rPr>
      <w:rFonts w:ascii="Symbol" w:hAnsi="Symbol" w:cs="StarSymbol"/>
      <w:sz w:val="18"/>
      <w:szCs w:val="18"/>
    </w:rPr>
  </w:style>
  <w:style w:type="character" w:styleId="WW8Num8z1" w:customStyle="1">
    <w:name w:val="WW8Num8z1"/>
    <w:qFormat/>
    <w:rPr>
      <w:rFonts w:ascii="Courier New" w:hAnsi="Courier New" w:cs="Courier New"/>
    </w:rPr>
  </w:style>
  <w:style w:type="character" w:styleId="WW8Num8z2" w:customStyle="1">
    <w:name w:val="WW8Num8z2"/>
    <w:qFormat/>
    <w:rPr>
      <w:rFonts w:ascii="Wingdings" w:hAnsi="Wingdings"/>
    </w:rPr>
  </w:style>
  <w:style w:type="character" w:styleId="WW8Num8z6" w:customStyle="1">
    <w:name w:val="WW8Num8z6"/>
    <w:qFormat/>
    <w:rPr>
      <w:rFonts w:ascii="Symbol" w:hAnsi="Symbol"/>
    </w:rPr>
  </w:style>
  <w:style w:type="character" w:styleId="WW-Absatz-Standardschriftart111111" w:customStyle="1">
    <w:name w:val="WW-Absatz-Standardschriftart111111"/>
    <w:qFormat/>
    <w:rPr/>
  </w:style>
  <w:style w:type="character" w:styleId="Hyperlink">
    <w:name w:val="Hyperlink"/>
    <w:semiHidden/>
    <w:rPr>
      <w:color w:val="000080"/>
      <w:u w:val="single"/>
    </w:rPr>
  </w:style>
  <w:style w:type="character" w:styleId="FollowedHyperlink">
    <w:name w:val="FollowedHyperlink"/>
    <w:semiHidden/>
    <w:rPr>
      <w:color w:val="800000"/>
      <w:u w:val="single"/>
    </w:rPr>
  </w:style>
  <w:style w:type="character" w:styleId="WW8Num2z6" w:customStyle="1">
    <w:name w:val="WW8Num2z6"/>
    <w:qFormat/>
    <w:rPr>
      <w:rFonts w:ascii="Symbol" w:hAnsi="Symbol"/>
    </w:rPr>
  </w:style>
  <w:style w:type="character" w:styleId="Odrky" w:customStyle="1">
    <w:name w:val="Odrážky"/>
    <w:qFormat/>
    <w:rPr>
      <w:rFonts w:ascii="StarSymbol" w:hAnsi="StarSymbol" w:eastAsia="StarSymbol" w:cs="StarSymbol"/>
      <w:sz w:val="18"/>
      <w:szCs w:val="18"/>
    </w:rPr>
  </w:style>
  <w:style w:type="character" w:styleId="Symbolypreslovanie" w:customStyle="1">
    <w:name w:val="Symboly pre číslovanie"/>
    <w:qFormat/>
    <w:rPr/>
  </w:style>
  <w:style w:type="character" w:styleId="Strong">
    <w:name w:val="Strong"/>
    <w:uiPriority w:val="22"/>
    <w:qFormat/>
    <w:rsid w:val="008e5c0b"/>
    <w:rPr>
      <w:b/>
      <w:bCs/>
    </w:rPr>
  </w:style>
  <w:style w:type="character" w:styleId="Emphasis">
    <w:name w:val="Emphasis"/>
    <w:uiPriority w:val="20"/>
    <w:qFormat/>
    <w:rsid w:val="008e5c0b"/>
    <w:rPr>
      <w:i/>
      <w:iCs/>
    </w:rPr>
  </w:style>
  <w:style w:type="character" w:styleId="HeaderChar" w:customStyle="1">
    <w:name w:val="Header Char"/>
    <w:semiHidden/>
    <w:qFormat/>
    <w:rsid w:val="00597138"/>
    <w:rPr>
      <w:rFonts w:eastAsia="Lucida Sans Unicode"/>
      <w:kern w:val="2"/>
      <w:sz w:val="24"/>
      <w:szCs w:val="24"/>
    </w:rPr>
  </w:style>
  <w:style w:type="character" w:styleId="apple-converted-space" w:customStyle="1">
    <w:name w:val="apple-converted-space"/>
    <w:basedOn w:val="DefaultParagraphFont"/>
    <w:qFormat/>
    <w:rsid w:val="00c7727e"/>
    <w:rPr/>
  </w:style>
  <w:style w:type="character" w:styleId="BodyTextIndent2Char" w:customStyle="1">
    <w:name w:val="Body Text Indent 2 Char"/>
    <w:link w:val="BodyTextIndent2"/>
    <w:uiPriority w:val="99"/>
    <w:semiHidden/>
    <w:qFormat/>
    <w:rsid w:val="00ef72b7"/>
    <w:rPr>
      <w:rFonts w:eastAsia="Lucida Sans Unicode"/>
      <w:kern w:val="2"/>
      <w:sz w:val="24"/>
      <w:szCs w:val="24"/>
    </w:rPr>
  </w:style>
  <w:style w:type="character" w:styleId="BodyText3Char" w:customStyle="1">
    <w:name w:val="Body Text 3 Char"/>
    <w:link w:val="BodyText3"/>
    <w:uiPriority w:val="99"/>
    <w:qFormat/>
    <w:rsid w:val="00a6308c"/>
    <w:rPr>
      <w:rFonts w:eastAsia="Lucida Sans Unicode"/>
      <w:kern w:val="2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qFormat/>
    <w:rsid w:val="00c1179c"/>
    <w:rPr>
      <w:rFonts w:ascii="Tahoma" w:hAnsi="Tahoma" w:eastAsia="Lucida Sans Unicode" w:cs="Tahoma"/>
      <w:kern w:val="2"/>
      <w:sz w:val="16"/>
      <w:szCs w:val="16"/>
    </w:rPr>
  </w:style>
  <w:style w:type="paragraph" w:styleId="Nadpis" w:customStyle="1">
    <w:name w:val="Nadpis"/>
    <w:basedOn w:val="Normal"/>
    <w:next w:val="BodyText"/>
    <w:qFormat/>
    <w:pPr>
      <w:keepNext w:val="true"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semiHidden/>
    <w:pPr>
      <w:spacing w:before="0" w:after="120"/>
    </w:pPr>
    <w:rPr/>
  </w:style>
  <w:style w:type="paragraph" w:styleId="List">
    <w:name w:val="List"/>
    <w:basedOn w:val="BodyText"/>
    <w:semiHidden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Nadpisuser" w:customStyle="1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gisteruser" w:customStyle="1">
    <w:name w:val="Register (user)"/>
    <w:basedOn w:val="Normal"/>
    <w:qFormat/>
    <w:pPr>
      <w:suppressLineNumbers/>
    </w:pPr>
    <w:rPr>
      <w:rFonts w:cs="Tahoma"/>
    </w:rPr>
  </w:style>
  <w:style w:type="paragraph" w:styleId="Popisok" w:customStyle="1">
    <w:name w:val="Popisok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Title">
    <w:name w:val="Title"/>
    <w:basedOn w:val="Nadpis"/>
    <w:next w:val="Subtitle"/>
    <w:qFormat/>
    <w:pPr/>
    <w:rPr/>
  </w:style>
  <w:style w:type="paragraph" w:styleId="Subtitle">
    <w:name w:val="Subtitle"/>
    <w:basedOn w:val="Nadpis"/>
    <w:next w:val="BodyText"/>
    <w:qFormat/>
    <w:pPr>
      <w:jc w:val="center"/>
    </w:pPr>
    <w:rPr>
      <w:i/>
      <w:iCs/>
    </w:rPr>
  </w:style>
  <w:style w:type="paragraph" w:styleId="Hlavikaaptauser" w:customStyle="1">
    <w:name w:val="Hlavička a päta (user)"/>
    <w:basedOn w:val="Normal"/>
    <w:qFormat/>
    <w:pPr/>
    <w:rPr/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HeaderChar"/>
    <w:semiHidden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Zarkazkladnhotextu21" w:customStyle="1">
    <w:name w:val="Zarážka základného textu 21"/>
    <w:basedOn w:val="Normal"/>
    <w:qFormat/>
    <w:pPr>
      <w:spacing w:lineRule="auto" w:line="480" w:before="0" w:after="120"/>
      <w:ind w:start="283"/>
    </w:pPr>
    <w:rPr/>
  </w:style>
  <w:style w:type="paragraph" w:styleId="Footer">
    <w:name w:val="footer"/>
    <w:basedOn w:val="Normal"/>
    <w:semiHidden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Default" w:customStyle="1">
    <w:name w:val="Default"/>
    <w:qFormat/>
    <w:rsid w:val="00a22900"/>
    <w:pPr>
      <w:widowControl/>
      <w:suppressAutoHyphens w:val="true"/>
      <w:bidi w:val="0"/>
      <w:spacing w:before="0" w:after="0"/>
      <w:jc w:val="start"/>
    </w:pPr>
    <w:rPr>
      <w:rFonts w:ascii="Verdana" w:hAnsi="Verdana" w:cs="Verdana" w:eastAsia="Times New Roman"/>
      <w:color w:val="000000"/>
      <w:kern w:val="0"/>
      <w:sz w:val="24"/>
      <w:szCs w:val="24"/>
      <w:lang w:val="sk-SK" w:eastAsia="sk-SK" w:bidi="ar-SA"/>
    </w:rPr>
  </w:style>
  <w:style w:type="paragraph" w:styleId="Obsahtabuky" w:customStyle="1">
    <w:name w:val="Obsah tabuľky"/>
    <w:basedOn w:val="Normal"/>
    <w:qFormat/>
    <w:rsid w:val="0087332f"/>
    <w:pPr>
      <w:suppressLineNumbers/>
    </w:pPr>
    <w:rPr>
      <w:lang w:eastAsia="ar-SA"/>
    </w:rPr>
  </w:style>
  <w:style w:type="paragraph" w:styleId="NormalWeb">
    <w:name w:val="Normal (Web)"/>
    <w:basedOn w:val="Normal"/>
    <w:uiPriority w:val="99"/>
    <w:unhideWhenUsed/>
    <w:qFormat/>
    <w:rsid w:val="00364fbb"/>
    <w:pPr>
      <w:widowControl/>
      <w:suppressAutoHyphens w:val="false"/>
      <w:spacing w:beforeAutospacing="1" w:afterAutospacing="1"/>
    </w:pPr>
    <w:rPr>
      <w:rFonts w:eastAsia="Times New Roman"/>
      <w:kern w:val="0"/>
      <w:lang w:eastAsia="sk-SK"/>
    </w:rPr>
  </w:style>
  <w:style w:type="paragraph" w:styleId="ListParagraph">
    <w:name w:val="List Paragraph"/>
    <w:basedOn w:val="Normal"/>
    <w:uiPriority w:val="34"/>
    <w:qFormat/>
    <w:rsid w:val="0045106e"/>
    <w:pPr>
      <w:widowControl/>
      <w:spacing w:before="0" w:after="0"/>
      <w:ind w:start="720"/>
      <w:contextualSpacing/>
    </w:pPr>
    <w:rPr>
      <w:rFonts w:eastAsia="Times New Roman"/>
      <w:kern w:val="0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qFormat/>
    <w:rsid w:val="00ef72b7"/>
    <w:pPr>
      <w:spacing w:lineRule="auto" w:line="480" w:before="0" w:after="120"/>
      <w:ind w:start="283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6308c"/>
    <w:pPr>
      <w:spacing w:before="0" w:after="120"/>
    </w:pPr>
    <w:rPr>
      <w:sz w:val="16"/>
      <w:szCs w:val="16"/>
    </w:rPr>
  </w:style>
  <w:style w:type="paragraph" w:styleId="NoSpacing">
    <w:name w:val="No Spacing"/>
    <w:uiPriority w:val="1"/>
    <w:qFormat/>
    <w:rsid w:val="009d7bdd"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Times New Roman"/>
      <w:color w:val="auto"/>
      <w:kern w:val="0"/>
      <w:sz w:val="22"/>
      <w:szCs w:val="22"/>
      <w:lang w:val="sk-SK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c1179c"/>
    <w:pPr/>
    <w:rPr>
      <w:rFonts w:ascii="Tahoma" w:hAnsi="Tahoma" w:cs="Tahoma"/>
      <w:sz w:val="16"/>
      <w:szCs w:val="16"/>
    </w:rPr>
  </w:style>
  <w:style w:type="numbering" w:styleId="Bezzoznamu" w:default="1">
    <w:name w:val="Bez zoznamu"/>
    <w:uiPriority w:val="99"/>
    <w:semiHidden/>
    <w:unhideWhenUsed/>
    <w:qFormat/>
  </w:style>
  <w:style w:type="numbering" w:styleId="Bezzoznamuuser" w:customStyle="1">
    <w:name w:val="Bez zoznamu (user)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info@ncrp.sk" TargetMode="External"/><Relationship Id="rId4" Type="http://schemas.openxmlformats.org/officeDocument/2006/relationships/hyperlink" Target="mailto:klimackovaa@gmail.com" TargetMode="External"/><Relationship Id="rId5" Type="http://schemas.openxmlformats.org/officeDocument/2006/relationships/image" Target="media/image1.jpeg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LibreOffice/26.2.4.2$Windows_X86_64 LibreOffice_project/0229ac93fcf0d7cbc6376066c6f35021cef002dc</Application>
  <AppVersion>15.0000</AppVersion>
  <Pages>3</Pages>
  <Words>432</Words>
  <Characters>3190</Characters>
  <CharactersWithSpaces>3987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2026-07-14T06:19:00Z</dcterms:created>
  <dc:creator>admin</dc:creator>
  <dc:description/>
  <dc:language>sk-SK</dc:language>
  <cp:lastModifiedBy/>
  <cp:lastPrinted>2025-07-09T06:30:00Z</cp:lastPrinted>
  <dcterms:modified xsi:type="dcterms:W3CDTF">2026-07-14T08:30:31Z</dcterms:modified>
  <cp:revision>4</cp:revision>
  <dc:subject/>
  <dc:title>Národné centrum pre rovnosť príležitostí, 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