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A.)  Všeobecná časť</w:t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widowControl/>
        <w:numPr>
          <w:ilvl w:val="0"/>
          <w:numId w:val="4"/>
        </w:numPr>
        <w:tabs>
          <w:tab w:val="clear" w:pos="708"/>
          <w:tab w:val="left" w:pos="284" w:leader="none"/>
        </w:tabs>
        <w:jc w:val="left"/>
        <w:rPr>
          <w:rFonts w:ascii="Arial Narrow" w:hAnsi="Arial Narrow" w:eastAsia="SimSun" w:cs="Arial Narrow"/>
          <w:color w:val="auto"/>
          <w:kern w:val="2"/>
          <w:sz w:val="22"/>
          <w:szCs w:val="22"/>
          <w:lang w:val="sk-SK" w:eastAsia="zh-CN" w:bidi="hi-IN"/>
        </w:rPr>
      </w:pPr>
      <w:r>
        <w:rPr>
          <w:rFonts w:eastAsia="SimSun" w:cs="Arial Narrow" w:ascii="Roboto;Arial;Helvetica;sans-serif" w:hAnsi="Roboto;Arial;Helvetica;sans-serif"/>
          <w:b w:val="false"/>
          <w:i w:val="false"/>
          <w:caps w:val="false"/>
          <w:smallCaps w:val="false"/>
          <w:color w:val="807A7A"/>
          <w:spacing w:val="0"/>
          <w:kern w:val="2"/>
          <w:sz w:val="21"/>
          <w:szCs w:val="22"/>
          <w:lang w:val="sk-SK" w:eastAsia="zh-CN" w:bidi="hi-IN"/>
        </w:rPr>
        <w:t>Nolan s. r. o.</w:t>
      </w:r>
      <w:r>
        <w:rPr>
          <w:rFonts w:eastAsia="SimSun" w:cs="Arial Narrow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2"/>
          <w:lang w:val="sk-SK" w:eastAsia="zh-CN" w:bidi="hi-IN"/>
        </w:rPr>
        <w:br/>
      </w:r>
      <w:r>
        <w:rPr>
          <w:rFonts w:eastAsia="SimSun" w:cs="Arial Narrow" w:ascii="Roboto;Arial;Helvetica;sans-serif" w:hAnsi="Roboto;Arial;Helvetica;sans-serif"/>
          <w:b w:val="false"/>
          <w:i w:val="false"/>
          <w:caps w:val="false"/>
          <w:smallCaps w:val="false"/>
          <w:color w:val="807A7A"/>
          <w:spacing w:val="0"/>
          <w:kern w:val="2"/>
          <w:sz w:val="21"/>
          <w:szCs w:val="22"/>
          <w:lang w:val="sk-SK" w:eastAsia="zh-CN" w:bidi="hi-IN"/>
        </w:rPr>
        <w:t>Nová Bašta 226</w:t>
      </w:r>
      <w:r>
        <w:rPr>
          <w:rFonts w:eastAsia="SimSun" w:cs="Arial Narrow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2"/>
          <w:lang w:val="sk-SK" w:eastAsia="zh-CN" w:bidi="hi-IN"/>
        </w:rPr>
        <w:br/>
      </w:r>
      <w:r>
        <w:rPr>
          <w:rFonts w:eastAsia="SimSun" w:cs="Arial Narrow" w:ascii="Roboto;Arial;Helvetica;sans-serif" w:hAnsi="Roboto;Arial;Helvetica;sans-serif"/>
          <w:b w:val="false"/>
          <w:i w:val="false"/>
          <w:caps w:val="false"/>
          <w:smallCaps w:val="false"/>
          <w:color w:val="807A7A"/>
          <w:spacing w:val="0"/>
          <w:kern w:val="2"/>
          <w:sz w:val="21"/>
          <w:szCs w:val="22"/>
          <w:lang w:val="sk-SK" w:eastAsia="zh-CN" w:bidi="hi-IN"/>
        </w:rPr>
        <w:t>980 34 Nová Bašta</w:t>
      </w:r>
      <w:r>
        <w:rPr>
          <w:rFonts w:eastAsia="SimSun" w:cs="Arial Narrow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2"/>
          <w:lang w:val="sk-SK" w:eastAsia="zh-CN" w:bidi="hi-IN"/>
        </w:rPr>
        <w:t xml:space="preserve"> </w:t>
      </w:r>
    </w:p>
    <w:p>
      <w:pPr>
        <w:pStyle w:val="Nzov"/>
        <w:jc w:val="left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>
      <w:pPr>
        <w:pStyle w:val="Standard"/>
        <w:ind w:left="284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bola založená a vznikla  2</w:t>
      </w:r>
      <w:r>
        <w:rPr>
          <w:rFonts w:cs="Arial Narrow" w:ascii="Arial Narrow" w:hAnsi="Arial Narrow"/>
          <w:sz w:val="22"/>
          <w:szCs w:val="22"/>
        </w:rPr>
        <w:t>8.05.2025</w:t>
      </w:r>
    </w:p>
    <w:p>
      <w:pPr>
        <w:pStyle w:val="Standard"/>
        <w:keepNext w:val="true"/>
        <w:spacing w:before="0" w:after="60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Standard"/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Predmet podnikania:      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630" w:type="dxa"/>
        <w:jc w:val="left"/>
        <w:tblInd w:w="2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25"/>
        <w:gridCol w:w="1005"/>
      </w:tblGrid>
      <w:tr>
        <w:trPr/>
        <w:tc>
          <w:tcPr>
            <w:tcW w:w="8625" w:type="dxa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336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Kúpa tovaru na účely jeho predaja konečnému spotrebiteľovi (maloobchod) alebo iným prevádzkovateľom živnosti (veľkoobchod)</w:t>
            </w:r>
          </w:p>
          <w:p>
            <w:pPr>
              <w:pStyle w:val="Normal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  <w:t>28.5.2025</w:t>
            </w:r>
          </w:p>
          <w:p>
            <w:pPr>
              <w:pStyle w:val="Normal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  <w:t>Sprostredkovateľská činnosť v oblasti obchodu, služieb, výroby</w:t>
            </w:r>
          </w:p>
          <w:p>
            <w:pPr>
              <w:pStyle w:val="Normal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  <w:t>28.5.2025</w:t>
            </w:r>
          </w:p>
          <w:p>
            <w:pPr>
              <w:pStyle w:val="Normal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  <w:t>Prenájom, úschova a požičiavanie hnuteľných vecí</w:t>
            </w:r>
          </w:p>
          <w:p>
            <w:pPr>
              <w:pStyle w:val="Normal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  <w:t>28.5.2025</w:t>
            </w:r>
          </w:p>
          <w:p>
            <w:pPr>
              <w:pStyle w:val="Normal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  <w:t>Oprava osobných potrieb a potrieb pre domácnosť</w:t>
            </w:r>
          </w:p>
          <w:p>
            <w:pPr>
              <w:pStyle w:val="Normal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  <w:t>28.5.2025</w:t>
            </w:r>
          </w:p>
          <w:p>
            <w:pPr>
              <w:pStyle w:val="Normal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  <w:t>Dokončovacie stavebné práce pri realizácii exteriérov a interiérov</w:t>
            </w:r>
          </w:p>
          <w:p>
            <w:pPr>
              <w:pStyle w:val="Normal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  <w:t>28.5.2025</w:t>
            </w:r>
          </w:p>
          <w:p>
            <w:pPr>
              <w:pStyle w:val="Normal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  <w:t>Prípravné práce k realizácii stavby</w:t>
            </w:r>
          </w:p>
          <w:p>
            <w:pPr>
              <w:pStyle w:val="Normal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  <w:t>28.5.2025</w:t>
            </w:r>
          </w:p>
          <w:p>
            <w:pPr>
              <w:pStyle w:val="Normal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  <w:t>Výroba a hutnícke spracovanie kovov, výroba a opracovanie jednoduchých kovových výrobkov</w:t>
            </w:r>
          </w:p>
          <w:p>
            <w:pPr>
              <w:pStyle w:val="Normal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  <w:t xml:space="preserve">28.5.2025 </w:t>
            </w:r>
          </w:p>
        </w:tc>
        <w:tc>
          <w:tcPr>
            <w:tcW w:w="1005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6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</w:r>
          </w:p>
        </w:tc>
      </w:tr>
      <w:tr>
        <w:trPr/>
        <w:tc>
          <w:tcPr>
            <w:tcW w:w="8625" w:type="dxa"/>
            <w:tcBorders/>
            <w:shd w:fill="FAFAFA" w:val="clear"/>
            <w:vAlign w:val="center"/>
          </w:tcPr>
          <w:p>
            <w:pPr>
              <w:pStyle w:val="Obsahtabuky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</w:r>
          </w:p>
        </w:tc>
        <w:tc>
          <w:tcPr>
            <w:tcW w:w="1005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6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</w:r>
          </w:p>
        </w:tc>
      </w:tr>
      <w:tr>
        <w:trPr/>
        <w:tc>
          <w:tcPr>
            <w:tcW w:w="8625" w:type="dxa"/>
            <w:tcBorders/>
            <w:shd w:fill="FFFFFF" w:val="clear"/>
            <w:vAlign w:val="center"/>
          </w:tcPr>
          <w:p>
            <w:pPr>
              <w:pStyle w:val="Obsahtabuky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</w:r>
          </w:p>
        </w:tc>
        <w:tc>
          <w:tcPr>
            <w:tcW w:w="1005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6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</w:r>
          </w:p>
        </w:tc>
      </w:tr>
      <w:tr>
        <w:trPr/>
        <w:tc>
          <w:tcPr>
            <w:tcW w:w="8625" w:type="dxa"/>
            <w:tcBorders/>
            <w:shd w:fill="FAFAFA" w:val="clear"/>
            <w:vAlign w:val="center"/>
          </w:tcPr>
          <w:p>
            <w:pPr>
              <w:pStyle w:val="Obsahtabuky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</w:r>
          </w:p>
        </w:tc>
        <w:tc>
          <w:tcPr>
            <w:tcW w:w="1005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6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</w:r>
          </w:p>
        </w:tc>
      </w:tr>
      <w:tr>
        <w:trPr/>
        <w:tc>
          <w:tcPr>
            <w:tcW w:w="8625" w:type="dxa"/>
            <w:tcBorders/>
            <w:shd w:fill="FFFFFF" w:val="clear"/>
            <w:vAlign w:val="center"/>
          </w:tcPr>
          <w:p>
            <w:pPr>
              <w:pStyle w:val="Obsahtabuky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</w:r>
          </w:p>
        </w:tc>
        <w:tc>
          <w:tcPr>
            <w:tcW w:w="1005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6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</w:r>
          </w:p>
        </w:tc>
      </w:tr>
      <w:tr>
        <w:trPr/>
        <w:tc>
          <w:tcPr>
            <w:tcW w:w="8625" w:type="dxa"/>
            <w:tcBorders/>
            <w:shd w:fill="FAFAFA" w:val="clear"/>
            <w:vAlign w:val="center"/>
          </w:tcPr>
          <w:p>
            <w:pPr>
              <w:pStyle w:val="Obsahtabuky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</w:r>
          </w:p>
        </w:tc>
        <w:tc>
          <w:tcPr>
            <w:tcW w:w="1005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6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</w:r>
          </w:p>
        </w:tc>
      </w:tr>
      <w:tr>
        <w:trPr/>
        <w:tc>
          <w:tcPr>
            <w:tcW w:w="8625" w:type="dxa"/>
            <w:tcBorders/>
            <w:shd w:fill="FFFFFF" w:val="clear"/>
            <w:vAlign w:val="center"/>
          </w:tcPr>
          <w:p>
            <w:pPr>
              <w:pStyle w:val="Obsahtabuky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</w:r>
          </w:p>
        </w:tc>
        <w:tc>
          <w:tcPr>
            <w:tcW w:w="1005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6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</w:r>
          </w:p>
        </w:tc>
      </w:tr>
      <w:tr>
        <w:trPr/>
        <w:tc>
          <w:tcPr>
            <w:tcW w:w="8625" w:type="dxa"/>
            <w:tcBorders/>
            <w:shd w:fill="FAFAFA" w:val="clear"/>
            <w:vAlign w:val="center"/>
          </w:tcPr>
          <w:p>
            <w:pPr>
              <w:pStyle w:val="Obsahtabuky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</w:r>
          </w:p>
        </w:tc>
        <w:tc>
          <w:tcPr>
            <w:tcW w:w="1005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6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</w:r>
          </w:p>
        </w:tc>
      </w:tr>
      <w:tr>
        <w:trPr/>
        <w:tc>
          <w:tcPr>
            <w:tcW w:w="8625" w:type="dxa"/>
            <w:tcBorders/>
            <w:shd w:fill="FFFFFF" w:val="clear"/>
            <w:vAlign w:val="center"/>
          </w:tcPr>
          <w:p>
            <w:pPr>
              <w:pStyle w:val="Obsahtabuky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</w:r>
          </w:p>
        </w:tc>
        <w:tc>
          <w:tcPr>
            <w:tcW w:w="1005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6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</w:r>
          </w:p>
        </w:tc>
      </w:tr>
      <w:tr>
        <w:trPr/>
        <w:tc>
          <w:tcPr>
            <w:tcW w:w="8625" w:type="dxa"/>
            <w:tcBorders/>
            <w:shd w:fill="FAFAFA" w:val="clear"/>
            <w:vAlign w:val="center"/>
          </w:tcPr>
          <w:p>
            <w:pPr>
              <w:pStyle w:val="Obsahtabuky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</w:r>
          </w:p>
        </w:tc>
        <w:tc>
          <w:tcPr>
            <w:tcW w:w="1005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6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</w:r>
          </w:p>
        </w:tc>
      </w:tr>
      <w:tr>
        <w:trPr/>
        <w:tc>
          <w:tcPr>
            <w:tcW w:w="8625" w:type="dxa"/>
            <w:tcBorders/>
            <w:shd w:fill="FFFFFF" w:val="clear"/>
            <w:vAlign w:val="center"/>
          </w:tcPr>
          <w:p>
            <w:pPr>
              <w:pStyle w:val="Obsahtabuky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</w:r>
          </w:p>
        </w:tc>
        <w:tc>
          <w:tcPr>
            <w:tcW w:w="1005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6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</w:r>
          </w:p>
        </w:tc>
      </w:tr>
      <w:tr>
        <w:trPr/>
        <w:tc>
          <w:tcPr>
            <w:tcW w:w="8625" w:type="dxa"/>
            <w:tcBorders/>
            <w:shd w:fill="FAFAFA" w:val="clear"/>
            <w:vAlign w:val="center"/>
          </w:tcPr>
          <w:p>
            <w:pPr>
              <w:pStyle w:val="Obsahtabuky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</w:r>
          </w:p>
        </w:tc>
        <w:tc>
          <w:tcPr>
            <w:tcW w:w="1005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6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</w:r>
          </w:p>
        </w:tc>
      </w:tr>
      <w:tr>
        <w:trPr/>
        <w:tc>
          <w:tcPr>
            <w:tcW w:w="8625" w:type="dxa"/>
            <w:tcBorders/>
            <w:shd w:fill="FFFFFF" w:val="clear"/>
            <w:vAlign w:val="center"/>
          </w:tcPr>
          <w:p>
            <w:pPr>
              <w:pStyle w:val="Obsahtabuky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</w:r>
          </w:p>
        </w:tc>
        <w:tc>
          <w:tcPr>
            <w:tcW w:w="1005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6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</w:r>
          </w:p>
        </w:tc>
      </w:tr>
      <w:tr>
        <w:trPr/>
        <w:tc>
          <w:tcPr>
            <w:tcW w:w="8625" w:type="dxa"/>
            <w:tcBorders/>
            <w:shd w:fill="FFF5D9" w:val="clear"/>
            <w:vAlign w:val="center"/>
          </w:tcPr>
          <w:p>
            <w:pPr>
              <w:pStyle w:val="Obsahtabuky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</w:r>
          </w:p>
        </w:tc>
        <w:tc>
          <w:tcPr>
            <w:tcW w:w="1005" w:type="dxa"/>
            <w:tcBorders/>
            <w:shd w:fill="FFF5D9" w:val="clear"/>
            <w:vAlign w:val="center"/>
          </w:tcPr>
          <w:p>
            <w:pPr>
              <w:pStyle w:val="Obsahtabuky"/>
              <w:widowControl w:val="false"/>
              <w:spacing w:lineRule="auto" w:line="336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</w:r>
          </w:p>
        </w:tc>
      </w:tr>
      <w:tr>
        <w:trPr/>
        <w:tc>
          <w:tcPr>
            <w:tcW w:w="8625" w:type="dxa"/>
            <w:tcBorders/>
            <w:shd w:fill="FFFFFF" w:val="clear"/>
            <w:vAlign w:val="center"/>
          </w:tcPr>
          <w:p>
            <w:pPr>
              <w:pStyle w:val="Obsahtabuky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</w:r>
          </w:p>
        </w:tc>
        <w:tc>
          <w:tcPr>
            <w:tcW w:w="1005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6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</w:r>
          </w:p>
        </w:tc>
      </w:tr>
      <w:tr>
        <w:trPr/>
        <w:tc>
          <w:tcPr>
            <w:tcW w:w="8625" w:type="dxa"/>
            <w:tcBorders/>
            <w:shd w:fill="FAFAFA" w:val="clear"/>
            <w:vAlign w:val="center"/>
          </w:tcPr>
          <w:p>
            <w:pPr>
              <w:pStyle w:val="Obsahtabuky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</w:r>
          </w:p>
        </w:tc>
        <w:tc>
          <w:tcPr>
            <w:tcW w:w="1005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6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</w:r>
          </w:p>
        </w:tc>
      </w:tr>
      <w:tr>
        <w:trPr/>
        <w:tc>
          <w:tcPr>
            <w:tcW w:w="8625" w:type="dxa"/>
            <w:tcBorders/>
            <w:shd w:fill="FFFFFF" w:val="clear"/>
            <w:vAlign w:val="center"/>
          </w:tcPr>
          <w:p>
            <w:pPr>
              <w:pStyle w:val="Obsahtabuky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</w:r>
          </w:p>
        </w:tc>
        <w:tc>
          <w:tcPr>
            <w:tcW w:w="1005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6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</w:r>
          </w:p>
        </w:tc>
      </w:tr>
      <w:tr>
        <w:trPr/>
        <w:tc>
          <w:tcPr>
            <w:tcW w:w="8625" w:type="dxa"/>
            <w:tcBorders/>
            <w:shd w:fill="FAFAFA" w:val="clear"/>
            <w:vAlign w:val="center"/>
          </w:tcPr>
          <w:p>
            <w:pPr>
              <w:pStyle w:val="Obsahtabuky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/>
            </w:r>
          </w:p>
        </w:tc>
        <w:tc>
          <w:tcPr>
            <w:tcW w:w="1005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6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</w:r>
          </w:p>
        </w:tc>
      </w:tr>
    </w:tbl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8"/>
      </w:tblGrid>
      <w:tr>
        <w:trPr/>
        <w:tc>
          <w:tcPr>
            <w:tcW w:w="963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Standard"/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   </w:t>
      </w:r>
    </w:p>
    <w:p>
      <w:pPr>
        <w:pStyle w:val="Nzov"/>
        <w:numPr>
          <w:ilvl w:val="0"/>
          <w:numId w:val="54"/>
        </w:numPr>
        <w:ind w:left="36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665"/>
        <w:gridCol w:w="2621"/>
        <w:gridCol w:w="2856"/>
      </w:tblGrid>
      <w:tr>
        <w:trPr/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285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Spoločnosť  nevlastnila a nevlastní žiadne majetkové podiely v iných firmách.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e)  </w:t>
      </w:r>
      <w:r>
        <w:rPr>
          <w:rFonts w:eastAsia="SimSun" w:cs="Arial Narrow" w:ascii="Arial Narrow" w:hAnsi="Arial Narrow"/>
          <w:color w:val="auto"/>
          <w:kern w:val="2"/>
          <w:sz w:val="22"/>
          <w:szCs w:val="22"/>
          <w:lang w:val="sk-SK" w:eastAsia="zh-CN" w:bidi="hi-IN"/>
        </w:rPr>
        <w:t>Nolan</w:t>
      </w:r>
      <w:r>
        <w:rPr>
          <w:rFonts w:cs="Arial Narrow" w:ascii="Arial Narrow" w:hAnsi="Arial Narrow"/>
          <w:sz w:val="22"/>
          <w:szCs w:val="22"/>
        </w:rPr>
        <w:t xml:space="preserve"> s.r.o. predkladá riadnu účtovnú závierku za rok 2025 v zmysle zákona č.431/2002 Z. z. o účtovníctve v znení neskorších predpisov.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993" w:leader="none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0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B.)   Ďalšie informácie</w:t>
      </w:r>
    </w:p>
    <w:p>
      <w:pPr>
        <w:pStyle w:val="Standard"/>
        <w:jc w:val="both"/>
        <w:rPr>
          <w:rFonts w:ascii="Arial Narrow" w:hAnsi="Arial Narrow" w:cs="Arial Narrow"/>
          <w:i/>
          <w:i/>
          <w:iCs/>
          <w:sz w:val="22"/>
          <w:szCs w:val="22"/>
        </w:rPr>
      </w:pPr>
      <w:r>
        <w:rPr>
          <w:rFonts w:cs="Arial Narrow" w:ascii="Arial Narrow" w:hAnsi="Arial Narrow"/>
          <w:i/>
          <w:iCs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</w:t>
        <w:tab/>
        <w:t>V priebehu účtovného obdobia za rok 2025 účtovníctvo spoločnosti bolo vedené v zmysle zákona o účtovníctve č.431/2002 Z. z. v plnom znení, účtovnej osnovy a postupov účtovníctva pre podnikateľov platnými od 01.01.2003 v plnom znení .</w:t>
      </w:r>
    </w:p>
    <w:p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rámci uvedených predpisov hlavný dôraz bol kladený na základné účtovné zásady, a to najmä na: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časovú a vecnú súvislosť účtovných prípadov,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nepretržitosť vedenia účtovníctva,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zásadu vecného a pravdivého obrazu účtovnej závierky,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celistvosť účtovníctva – vedenie účtovníctva za firmu ako celok,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formou sústavy účtovných zápisov, podložených účtovnými dokladmi,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a  zostavenie účtovnej závierky v peňažných jednotkách v mene euro a v štátnom jazyku,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inventarizovania majetku, záväzkov a rozdielu majetku a záväzkov,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 xml:space="preserve">C.)    Konkretizácia použitých účtovných zásad a účtovných metód  </w:t>
      </w:r>
    </w:p>
    <w:p>
      <w:pPr>
        <w:pStyle w:val="Nadpis1"/>
        <w:numPr>
          <w:ilvl w:val="0"/>
          <w:numId w:val="55"/>
        </w:numPr>
        <w:ind w:left="426" w:hanging="426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>
      <w:pPr>
        <w:pStyle w:val="Nadpis1"/>
        <w:numPr>
          <w:ilvl w:val="0"/>
          <w:numId w:val="56"/>
        </w:numPr>
        <w:tabs>
          <w:tab w:val="clear" w:pos="708"/>
          <w:tab w:val="left" w:pos="1135" w:leader="none"/>
        </w:tabs>
        <w:ind w:left="426" w:hanging="426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V roku 2025 nenastali zmeny účtovných zásad a účtovných metód.</w:t>
      </w:r>
    </w:p>
    <w:p>
      <w:pPr>
        <w:pStyle w:val="Nadpis1"/>
        <w:numPr>
          <w:ilvl w:val="0"/>
          <w:numId w:val="57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Spôsob oceňovania jednotlivých zložiek majetku :</w:t>
      </w:r>
    </w:p>
    <w:p>
      <w:pPr>
        <w:pStyle w:val="Nadpis1"/>
        <w:tabs>
          <w:tab w:val="clear" w:pos="708"/>
          <w:tab w:val="left" w:pos="1560" w:leader="none"/>
        </w:tabs>
        <w:ind w:left="78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1.</w:t>
        <w:tab/>
        <w:t xml:space="preserve">Dlhodobý nehmotný majetok spoločnosť v roku 2025 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bol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obstaraný 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formou finančného leasingu.</w:t>
      </w:r>
    </w:p>
    <w:p>
      <w:pPr>
        <w:pStyle w:val="Standard"/>
        <w:tabs>
          <w:tab w:val="clear" w:pos="708"/>
          <w:tab w:val="left" w:pos="5786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ab/>
      </w:r>
    </w:p>
    <w:p>
      <w:pPr>
        <w:pStyle w:val="Standard"/>
        <w:tabs>
          <w:tab w:val="clear" w:pos="708"/>
          <w:tab w:val="left" w:pos="360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104" w:leader="none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05" w:leader="none"/>
        </w:tabs>
        <w:ind w:left="445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    Údaje vykázané na strane aktív súvahy</w:t>
      </w:r>
    </w:p>
    <w:p>
      <w:pPr>
        <w:pStyle w:val="Standard"/>
        <w:keepNext w:val="true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nehmotnom majetku</w:t>
      </w:r>
    </w:p>
    <w:p>
      <w:pPr>
        <w:pStyle w:val="Standard"/>
        <w:numPr>
          <w:ilvl w:val="0"/>
          <w:numId w:val="58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pohybe dlhodobého majetku v €</w:t>
      </w:r>
    </w:p>
    <w:p>
      <w:pPr>
        <w:pStyle w:val="Standard"/>
        <w:numPr>
          <w:ilvl w:val="0"/>
          <w:numId w:val="59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oprávok a opravných položiek  dlhodobého majetku v  €</w:t>
      </w:r>
    </w:p>
    <w:p>
      <w:pPr>
        <w:pStyle w:val="Standard"/>
        <w:numPr>
          <w:ilvl w:val="0"/>
          <w:numId w:val="60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zostatkových hodnotách dlhodobého majetku v  €</w:t>
      </w:r>
    </w:p>
    <w:p>
      <w:pPr>
        <w:pStyle w:val="Nzov"/>
        <w:numPr>
          <w:ilvl w:val="0"/>
          <w:numId w:val="6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706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669"/>
        <w:gridCol w:w="37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Nzov"/>
        <w:numPr>
          <w:ilvl w:val="0"/>
          <w:numId w:val="6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399"/>
        <w:gridCol w:w="2742"/>
      </w:tblGrid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                           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55" w:leader="none"/>
        </w:tabs>
        <w:spacing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55" w:leader="none"/>
        </w:tabs>
        <w:spacing w:lineRule="auto" w:line="276"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>
      <w:pPr>
        <w:pStyle w:val="Nadpis1"/>
        <w:tabs>
          <w:tab w:val="clear" w:pos="708"/>
          <w:tab w:val="left" w:pos="360" w:leader="none"/>
        </w:tabs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</w:t>
      </w:r>
    </w:p>
    <w:p>
      <w:pPr>
        <w:pStyle w:val="Standard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hmotnom majetku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1) Prehľad o pohybe dlhodobého majetku v €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Prehľad oprávok a opravných položiek  dlhodobého majetku v  €</w:t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3) Prehľad o zostatkových hodnotách dlhodobého majetku v  €</w:t>
      </w:r>
    </w:p>
    <w:p>
      <w:pPr>
        <w:pStyle w:val="Nzov"/>
        <w:numPr>
          <w:ilvl w:val="0"/>
          <w:numId w:val="6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000"/>
      </w:tblPr>
      <w:tblGrid>
        <w:gridCol w:w="1533"/>
        <w:gridCol w:w="1038"/>
        <w:gridCol w:w="846"/>
        <w:gridCol w:w="847"/>
        <w:gridCol w:w="25"/>
        <w:gridCol w:w="856"/>
        <w:gridCol w:w="965"/>
        <w:gridCol w:w="745"/>
        <w:gridCol w:w="690"/>
        <w:gridCol w:w="779"/>
        <w:gridCol w:w="888"/>
      </w:tblGrid>
      <w:tr>
        <w:trPr>
          <w:trHeight w:val="278" w:hRule="atLeast"/>
        </w:trPr>
        <w:tc>
          <w:tcPr>
            <w:tcW w:w="1533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9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278" w:hRule="atLeast"/>
        </w:trPr>
        <w:tc>
          <w:tcPr>
            <w:tcW w:w="1533" w:type="dxa"/>
            <w:vMerge w:val="continue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8" w:type="dxa"/>
            <w:tcBorders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9834,94</w:t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9834,94</w:t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614,7</w:t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614,7</w:t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9220,24</w:t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9220,24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p>
      <w:pPr>
        <w:pStyle w:val="Textbody"/>
        <w:rPr/>
      </w:pPr>
      <w:r>
        <w:rPr/>
      </w:r>
    </w:p>
    <w:p>
      <w:pPr>
        <w:pStyle w:val="ListParagraph"/>
        <w:numPr>
          <w:ilvl w:val="0"/>
          <w:numId w:val="64"/>
        </w:numPr>
        <w:ind w:left="360" w:hanging="360"/>
        <w:rPr>
          <w:b/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117"/>
        <w:gridCol w:w="3024"/>
      </w:tblGrid>
      <w:tr>
        <w:trPr/>
        <w:tc>
          <w:tcPr>
            <w:tcW w:w="61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Textbody"/>
        <w:rPr/>
      </w:pPr>
      <w:r>
        <w:rPr/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>F .)</w:t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 Účtovná jednotka v roku 2025 neevidovala dlhodobý majetok, pri ktorom vlastnícke právo nadobudol veriteľ zmluvou o zabezpečovacom prevode práva, využívaný firmou na základe zmluvy o výpožičke.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</w:t>
        <w:tab/>
        <w:t>Spoločnosť neevidovala ani nevyužívala dlhodobý nehnuteľný majetok, pri ktorom nebolo vlastnícke právo zapísané vkladom do katastra nehnuteľností k 31.12.2025 ani v  bezprostredne predchádzajúcom účtovnom období.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f)</w:t>
        <w:tab/>
        <w:t>Účtovná jednotka v roku 2025 nevlastnila ani neevidovala nehmotný majetok – goodwil.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g)</w:t>
        <w:tab/>
        <w:t>Účtovná jednotka v roku 2025 nepoužívala účet 097 – opravná položka k nadobudnutému majetku.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</w:t>
        <w:tab/>
        <w:t>Účtovná jednotka v roku 2025 nerealizovala výskumnú a vývojovú činnosť.</w:t>
      </w:r>
    </w:p>
    <w:p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 – n) Spoločnosť v roku 2025 nevlastnila ani neevidovala dlhodobý finančný majetok.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zov"/>
        <w:ind w:left="360" w:hanging="36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65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66"/>
        </w:numPr>
        <w:ind w:left="36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>časti F. písm. m) o dlhodobom finančnom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257"/>
        <w:gridCol w:w="2884"/>
      </w:tblGrid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>
                <w:color w:val="666666"/>
              </w:rPr>
              <w:t xml:space="preserve">Hodnota </w:t>
            </w:r>
            <w:r>
              <w:rPr>
                <w:bCs w:val="false"/>
                <w:color w:val="666666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numPr>
          <w:ilvl w:val="0"/>
          <w:numId w:val="6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907"/>
        <w:gridCol w:w="1116"/>
        <w:gridCol w:w="1686"/>
        <w:gridCol w:w="1441"/>
        <w:gridCol w:w="1655"/>
        <w:gridCol w:w="1336"/>
      </w:tblGrid>
      <w:tr>
        <w:trPr/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6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6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3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Nzov"/>
        <w:widowControl w:val="false"/>
        <w:numPr>
          <w:ilvl w:val="0"/>
          <w:numId w:val="6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39"/>
        <w:gridCol w:w="725"/>
        <w:gridCol w:w="1266"/>
        <w:gridCol w:w="1123"/>
        <w:gridCol w:w="1127"/>
        <w:gridCol w:w="1407"/>
        <w:gridCol w:w="1054"/>
      </w:tblGrid>
      <w:tr>
        <w:trPr>
          <w:trHeight w:val="644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Dlhové CP</w:t>
              <w:br/>
              <w:t xml:space="preserve"> držané do splatnosti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7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10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spacing w:before="0" w:after="120"/>
        <w:rPr/>
      </w:pPr>
      <w:r>
        <w:rPr/>
      </w:r>
    </w:p>
    <w:p>
      <w:pPr>
        <w:pStyle w:val="Nzov"/>
        <w:widowControl w:val="false"/>
        <w:numPr>
          <w:ilvl w:val="0"/>
          <w:numId w:val="6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156" w:type="dxa"/>
        <w:jc w:val="left"/>
        <w:tblInd w:w="-71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59"/>
        <w:gridCol w:w="1449"/>
        <w:gridCol w:w="1131"/>
        <w:gridCol w:w="1104"/>
        <w:gridCol w:w="1512"/>
        <w:gridCol w:w="1200"/>
      </w:tblGrid>
      <w:tr>
        <w:trPr>
          <w:trHeight w:val="996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začiatku účtovného obdobia</w:t>
            </w:r>
          </w:p>
        </w:tc>
        <w:tc>
          <w:tcPr>
            <w:tcW w:w="113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13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o)</w:t>
        <w:tab/>
      </w:r>
    </w:p>
    <w:p>
      <w:pPr>
        <w:pStyle w:val="Nzov"/>
        <w:numPr>
          <w:ilvl w:val="0"/>
          <w:numId w:val="70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330"/>
        <w:gridCol w:w="1396"/>
        <w:gridCol w:w="983"/>
        <w:gridCol w:w="1687"/>
        <w:gridCol w:w="1558"/>
        <w:gridCol w:w="1187"/>
      </w:tblGrid>
      <w:tr>
        <w:trPr/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1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/>
        <w:tc>
          <w:tcPr>
            <w:tcW w:w="233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Účtovná jednotka k 31.12.2025 nevytvárala opravné položky k zásobám.</w:t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p)</w:t>
        <w:tab/>
      </w:r>
    </w:p>
    <w:p>
      <w:pPr>
        <w:pStyle w:val="Nzov"/>
        <w:numPr>
          <w:ilvl w:val="0"/>
          <w:numId w:val="71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zásoby vykazované v účtovníctve v roku 2025 nebolo zriadené záložné právo ani obmedzené právo s nimi nakladať.</w:t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4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q)</w:t>
        <w:tab/>
      </w:r>
    </w:p>
    <w:p>
      <w:pPr>
        <w:pStyle w:val="Nzov"/>
        <w:numPr>
          <w:ilvl w:val="0"/>
          <w:numId w:val="7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189"/>
        <w:gridCol w:w="1680"/>
        <w:gridCol w:w="2135"/>
        <w:gridCol w:w="2175"/>
      </w:tblGrid>
      <w:tr>
        <w:trPr/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029"/>
        <w:gridCol w:w="2381"/>
        <w:gridCol w:w="2770"/>
      </w:tblGrid>
      <w:tr>
        <w:trPr/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963"/>
        <w:gridCol w:w="1821"/>
        <w:gridCol w:w="2630"/>
      </w:tblGrid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  <w:r>
        <w:br w:type="page"/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jc w:val="left"/>
        <w:tblInd w:w="-11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290"/>
        <w:gridCol w:w="2383"/>
        <w:gridCol w:w="2492"/>
      </w:tblGrid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2025 nerealizovala zákazkovú výrobu ani zákazkovú  výstavbu nehnuteľnosti určenej na predaj.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>
      <w:pPr>
        <w:pStyle w:val="Nzov"/>
        <w:numPr>
          <w:ilvl w:val="0"/>
          <w:numId w:val="7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5"/>
        <w:gridCol w:w="1268"/>
        <w:gridCol w:w="1211"/>
        <w:gridCol w:w="1678"/>
        <w:gridCol w:w="1650"/>
        <w:gridCol w:w="1299"/>
      </w:tblGrid>
      <w:tr>
        <w:trPr/>
        <w:tc>
          <w:tcPr>
            <w:tcW w:w="20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widowControl w:val="false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Opravná položka k nekonkurzným nedobytným pohľadávkam v roku 2025 nebola  evidovaná.</w:t>
      </w:r>
    </w:p>
    <w:p>
      <w:pPr>
        <w:pStyle w:val="Standard"/>
        <w:rPr/>
      </w:pPr>
      <w:r>
        <w:rPr/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Veková štruktúra pohľadávok rok 2025</w:t>
      </w:r>
    </w:p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7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</w:r>
    </w:p>
    <w:p>
      <w:pPr>
        <w:pStyle w:val="Nzov"/>
        <w:numPr>
          <w:ilvl w:val="0"/>
          <w:numId w:val="75"/>
        </w:numPr>
        <w:ind w:left="360" w:hanging="360"/>
        <w:jc w:val="both"/>
        <w:rPr>
          <w:i/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>
        <w:rPr>
          <w:i/>
          <w:szCs w:val="22"/>
        </w:rPr>
        <w:t>formou zabezpečenia 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Pohľadávky, zabezpečené záložným právom alebo inou formou zabezpečenia v roku 2025</w:t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</w:tbl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Pohľadávky, zabezpečené záložným právom alebo inou formou zabezpečenia v roku 2025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600" w:hanging="63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 </w:t>
      </w:r>
      <w:r>
        <w:rPr>
          <w:rFonts w:cs="Arial Narrow" w:ascii="Arial Narrow" w:hAnsi="Arial Narrow"/>
          <w:sz w:val="22"/>
          <w:szCs w:val="22"/>
        </w:rPr>
        <w:t>v) Spoločnosť neeviduje k 31.12.2025 daňovú pohľadávku ani odložený daňový záväzok.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w)</w:t>
      </w:r>
    </w:p>
    <w:p>
      <w:pPr>
        <w:pStyle w:val="Nzov"/>
        <w:numPr>
          <w:ilvl w:val="0"/>
          <w:numId w:val="7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w) o krátkodobom finančnom majetku</w:t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186"/>
        <w:gridCol w:w="2616"/>
        <w:gridCol w:w="2378"/>
      </w:tblGrid>
      <w:tr>
        <w:trPr/>
        <w:tc>
          <w:tcPr>
            <w:tcW w:w="41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8200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52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  <w:t>303,30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  <w:t>8503,30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802"/>
        <w:gridCol w:w="1455"/>
        <w:gridCol w:w="1152"/>
        <w:gridCol w:w="930"/>
        <w:gridCol w:w="1204"/>
        <w:gridCol w:w="1598"/>
      </w:tblGrid>
      <w:tr>
        <w:trPr/>
        <w:tc>
          <w:tcPr>
            <w:tcW w:w="28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Krátkodobý finančný majetok</w:t>
            </w:r>
          </w:p>
        </w:tc>
        <w:tc>
          <w:tcPr>
            <w:tcW w:w="6339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Bežné účtovné obdobie</w:t>
            </w:r>
          </w:p>
        </w:tc>
      </w:tr>
      <w:tr>
        <w:trPr/>
        <w:tc>
          <w:tcPr>
            <w:tcW w:w="280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</w:t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Prírastky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Úbytky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Presuny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e</w:t>
            </w:r>
          </w:p>
        </w:tc>
        <w:tc>
          <w:tcPr>
            <w:tcW w:w="15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>
              <w:rPr>
                <w:color w:val="000000"/>
              </w:rPr>
              <w:br/>
            </w: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lang w:eastAsia="sk-SK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  <w:lang w:eastAsia="sk-SK"/>
        </w:rPr>
        <w:t xml:space="preserve">F .) </w:t>
      </w:r>
      <w:r>
        <w:rPr>
          <w:b w:val="false"/>
          <w:bCs w:val="false"/>
          <w:szCs w:val="22"/>
          <w:lang w:eastAsia="sk-SK"/>
        </w:rPr>
        <w:t>x)</w:t>
      </w:r>
    </w:p>
    <w:p>
      <w:pPr>
        <w:pStyle w:val="Nzov"/>
        <w:widowControl w:val="false"/>
        <w:numPr>
          <w:ilvl w:val="0"/>
          <w:numId w:val="77"/>
        </w:numPr>
        <w:ind w:left="36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21"/>
        <w:gridCol w:w="1426"/>
        <w:gridCol w:w="985"/>
        <w:gridCol w:w="1407"/>
        <w:gridCol w:w="1409"/>
        <w:gridCol w:w="1193"/>
      </w:tblGrid>
      <w:tr>
        <w:trPr/>
        <w:tc>
          <w:tcPr>
            <w:tcW w:w="27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  <w:br/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opodstatne-nosti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vyradenia majetku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konci účtovného obdobia</w:t>
            </w:r>
          </w:p>
        </w:tc>
      </w:tr>
      <w:tr>
        <w:trPr/>
        <w:tc>
          <w:tcPr>
            <w:tcW w:w="27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4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2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2025  netvorila opravné položky ku krátkodobému finančnému majetku.</w:t>
      </w:r>
    </w:p>
    <w:p>
      <w:pPr>
        <w:pStyle w:val="Nadpis4"/>
        <w:rPr/>
      </w:pPr>
      <w:r>
        <w:rPr>
          <w:rFonts w:cs="Arial Narrow"/>
          <w:i/>
          <w:sz w:val="22"/>
          <w:szCs w:val="22"/>
        </w:rPr>
        <w:t xml:space="preserve">F .) </w:t>
      </w:r>
      <w:r>
        <w:rPr>
          <w:b w:val="false"/>
          <w:bCs w:val="false"/>
          <w:sz w:val="22"/>
          <w:szCs w:val="22"/>
        </w:rPr>
        <w:t>y)</w:t>
      </w:r>
    </w:p>
    <w:p>
      <w:pPr>
        <w:pStyle w:val="Nzov"/>
        <w:numPr>
          <w:ilvl w:val="0"/>
          <w:numId w:val="7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819"/>
        <w:gridCol w:w="2322"/>
      </w:tblGrid>
      <w:tr>
        <w:trPr>
          <w:trHeight w:val="397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52" w:leader="none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26" w:leader="none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roku 2025 nevzniklo záložné právo na finančnom majetku ani obmedzenie práva s ním nakladať.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z)    a.)</w:t>
      </w:r>
    </w:p>
    <w:p>
      <w:pPr>
        <w:pStyle w:val="Nzov"/>
        <w:numPr>
          <w:ilvl w:val="0"/>
          <w:numId w:val="7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358"/>
        <w:gridCol w:w="1791"/>
        <w:gridCol w:w="2240"/>
        <w:gridCol w:w="1790"/>
      </w:tblGrid>
      <w:tr>
        <w:trPr/>
        <w:tc>
          <w:tcPr>
            <w:tcW w:w="33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 majetok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Zvýšenie/ zníženie hodnoty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(+/-)</w:t>
            </w:r>
          </w:p>
        </w:tc>
        <w:tc>
          <w:tcPr>
            <w:tcW w:w="22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3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7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22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  <w:highlight w:val="yellow"/>
        </w:rPr>
      </w:pPr>
      <w:r>
        <w:rPr>
          <w:rFonts w:cs="Arial Narrow" w:ascii="Arial Narrow" w:hAnsi="Arial Narrow"/>
          <w:b/>
          <w:bCs/>
          <w:i/>
          <w:sz w:val="22"/>
          <w:szCs w:val="22"/>
          <w:highlight w:val="yellow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36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F .) </w:t>
      </w:r>
    </w:p>
    <w:p>
      <w:pPr>
        <w:pStyle w:val="Nzov"/>
        <w:numPr>
          <w:ilvl w:val="0"/>
          <w:numId w:val="8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11"/>
        <w:gridCol w:w="1271"/>
        <w:gridCol w:w="1687"/>
        <w:gridCol w:w="1061"/>
        <w:gridCol w:w="1191"/>
        <w:gridCol w:w="1552"/>
        <w:gridCol w:w="906"/>
      </w:tblGrid>
      <w:tr>
        <w:trPr>
          <w:trHeight w:val="660" w:hRule="atLeast"/>
        </w:trPr>
        <w:tc>
          <w:tcPr>
            <w:tcW w:w="15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</w:t>
              <w:br/>
              <w:t>položky</w:t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1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7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6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2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06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>Účtovná jednotka v roku 2025 neevidovala majetok daný do prenájmu</w:t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G.)   Údaje vykázané na strane pasív súvahy</w:t>
      </w:r>
    </w:p>
    <w:p>
      <w:pPr>
        <w:pStyle w:val="Standard"/>
        <w:numPr>
          <w:ilvl w:val="0"/>
          <w:numId w:val="81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cs="Arial Narrow" w:ascii="Arial Narrow" w:hAnsi="Arial Narrow"/>
          <w:bCs/>
        </w:rPr>
        <w:t>Vlastné imanie</w:t>
      </w:r>
    </w:p>
    <w:p>
      <w:pPr>
        <w:pStyle w:val="Standard"/>
        <w:tabs>
          <w:tab w:val="clear" w:pos="708"/>
          <w:tab w:val="left" w:pos="157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Stav základného imania k 31.12.2025 tvoril 5000,- € </w:t>
      </w:r>
      <w:r>
        <w:br w:type="page"/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a) 3.</w:t>
      </w:r>
    </w:p>
    <w:p>
      <w:pPr>
        <w:pStyle w:val="Nzov"/>
        <w:numPr>
          <w:ilvl w:val="0"/>
          <w:numId w:val="8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76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55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8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5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60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725" w:leader="none"/>
          <w:tab w:val="left" w:pos="133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jc w:val="both"/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eastAsia="Arial Narrow" w:cs="Arial Narrow" w:ascii="Arial Narrow" w:hAnsi="Arial Narrow"/>
          <w:i/>
          <w:sz w:val="22"/>
          <w:szCs w:val="22"/>
        </w:rPr>
        <w:t>b</w:t>
      </w:r>
      <w:r>
        <w:rPr>
          <w:rFonts w:eastAsia="Arial Narrow" w:cs="Arial Narrow" w:ascii="Arial Narrow" w:hAnsi="Arial Narrow"/>
          <w:sz w:val="22"/>
          <w:szCs w:val="22"/>
        </w:rPr>
        <w:t xml:space="preserve">)  </w:t>
      </w:r>
    </w:p>
    <w:p>
      <w:pPr>
        <w:pStyle w:val="Nzov"/>
        <w:numPr>
          <w:ilvl w:val="0"/>
          <w:numId w:val="8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cs="Arial Narrow" w:ascii="Arial Narrow" w:hAnsi="Arial Narrow"/>
          <w:i/>
          <w:sz w:val="22"/>
          <w:szCs w:val="22"/>
        </w:rPr>
        <w:t>c-d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705"/>
        <w:gridCol w:w="2888"/>
        <w:gridCol w:w="2587"/>
      </w:tblGrid>
      <w:tr>
        <w:trPr>
          <w:trHeight w:val="920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8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8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rPr/>
      </w:pPr>
      <w:r>
        <w:rPr/>
      </w:r>
    </w:p>
    <w:tbl>
      <w:tblPr>
        <w:tblW w:w="2219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19"/>
      </w:tblGrid>
      <w:tr>
        <w:trPr>
          <w:trHeight w:val="345" w:hRule="atLeast"/>
        </w:trPr>
        <w:tc>
          <w:tcPr>
            <w:tcW w:w="221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e) Spoločnosť  v roku 2025 neevidovala záväzky zabezpečené záložným právom, alebo inou formou zabezpečenia.</w:t>
      </w:r>
    </w:p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ind w:left="264" w:hanging="264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</w:t>
      </w:r>
      <w:r>
        <w:rPr>
          <w:b w:val="false"/>
          <w:sz w:val="22"/>
          <w:szCs w:val="22"/>
        </w:rPr>
        <w:t>f)</w:t>
      </w:r>
    </w:p>
    <w:p>
      <w:pPr>
        <w:pStyle w:val="Nzov"/>
        <w:widowControl w:val="false"/>
        <w:numPr>
          <w:ilvl w:val="0"/>
          <w:numId w:val="8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925"/>
        <w:gridCol w:w="2183"/>
        <w:gridCol w:w="2072"/>
      </w:tblGrid>
      <w:tr>
        <w:trPr>
          <w:trHeight w:val="990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720" w:hanging="0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g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2618"/>
        <w:gridCol w:w="2655"/>
      </w:tblGrid>
      <w:tr>
        <w:trPr>
          <w:trHeight w:val="825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</w:tbl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h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8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164"/>
        <w:gridCol w:w="1405"/>
        <w:gridCol w:w="1401"/>
        <w:gridCol w:w="1401"/>
        <w:gridCol w:w="1402"/>
        <w:gridCol w:w="1406"/>
      </w:tblGrid>
      <w:tr>
        <w:trPr>
          <w:trHeight w:val="345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Dlhopisy spoločnosť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neemitovala.</w:t>
      </w:r>
    </w:p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 </w:t>
      </w:r>
      <w:r>
        <w:rPr>
          <w:rFonts w:cs="Arial Narrow" w:ascii="Arial Narrow" w:hAnsi="Arial Narrow"/>
          <w:sz w:val="22"/>
          <w:szCs w:val="22"/>
        </w:rPr>
        <w:t>i )</w:t>
      </w:r>
    </w:p>
    <w:p>
      <w:pPr>
        <w:pStyle w:val="Nzov"/>
        <w:widowControl w:val="false"/>
        <w:numPr>
          <w:ilvl w:val="0"/>
          <w:numId w:val="8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spacing w:before="0" w:after="120"/>
        <w:ind w:left="690" w:hanging="69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spacing w:before="0" w:after="120"/>
        <w:ind w:left="690" w:hanging="69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 xml:space="preserve">j </w:t>
      </w:r>
      <w:r>
        <w:rPr>
          <w:rFonts w:cs="Arial Narrow" w:ascii="Arial Narrow" w:hAnsi="Arial Narrow"/>
          <w:sz w:val="22"/>
          <w:szCs w:val="22"/>
        </w:rPr>
        <w:t xml:space="preserve">) </w:t>
      </w:r>
      <w:r>
        <w:rPr>
          <w:rFonts w:cs="Arial Narrow" w:ascii="Arial Narrow" w:hAnsi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>
      <w:pPr>
        <w:pStyle w:val="Nzov"/>
        <w:numPr>
          <w:ilvl w:val="0"/>
          <w:numId w:val="89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16"/>
        <w:gridCol w:w="1472"/>
        <w:gridCol w:w="1612"/>
        <w:gridCol w:w="2179"/>
      </w:tblGrid>
      <w:tr>
        <w:trPr>
          <w:trHeight w:val="278" w:hRule="atLeast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16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 obchodovanie, z toho:</w:t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1664"/>
        <w:gridCol w:w="978"/>
        <w:gridCol w:w="1679"/>
        <w:gridCol w:w="952"/>
      </w:tblGrid>
      <w:tr>
        <w:trPr>
          <w:trHeight w:val="622" w:hRule="atLeast"/>
        </w:trPr>
        <w:tc>
          <w:tcPr>
            <w:tcW w:w="3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/>
      </w:pPr>
      <w:r>
        <w:rPr>
          <w:rFonts w:ascii="Arial Narrow" w:hAnsi="Arial Narrow"/>
          <w:b w:val="false"/>
          <w:sz w:val="22"/>
          <w:szCs w:val="22"/>
        </w:rPr>
        <w:t>Spoločnosť v roku 2025  neevidovala deriváty.</w:t>
      </w:r>
    </w:p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 xml:space="preserve">l)   </w:t>
      </w:r>
    </w:p>
    <w:p>
      <w:pPr>
        <w:pStyle w:val="Nzov"/>
        <w:widowControl w:val="false"/>
        <w:numPr>
          <w:ilvl w:val="0"/>
          <w:numId w:val="9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238"/>
        <w:gridCol w:w="1960"/>
        <w:gridCol w:w="1982"/>
      </w:tblGrid>
      <w:tr>
        <w:trPr>
          <w:trHeight w:val="352" w:hRule="atLeast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3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ind w:left="709" w:hanging="709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Majetok a záväzky zabezpečené derivátmi účtovná jednotka v roku 2025 neevidovala.</w:t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Textbody"/>
        <w:ind w:left="709" w:hanging="709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>m)</w:t>
      </w:r>
    </w:p>
    <w:p>
      <w:pPr>
        <w:pStyle w:val="Nzov"/>
        <w:widowControl w:val="false"/>
        <w:numPr>
          <w:ilvl w:val="0"/>
          <w:numId w:val="9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78"/>
        <w:gridCol w:w="1205"/>
        <w:gridCol w:w="1452"/>
        <w:gridCol w:w="1098"/>
        <w:gridCol w:w="1224"/>
        <w:gridCol w:w="1503"/>
        <w:gridCol w:w="1119"/>
      </w:tblGrid>
      <w:tr>
        <w:trPr>
          <w:trHeight w:val="571" w:hRule="atLeast"/>
        </w:trPr>
        <w:tc>
          <w:tcPr>
            <w:tcW w:w="157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03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9" w:type="dxa"/>
            <w:tcBorders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Standard"/>
        <w:spacing w:before="0" w:after="120"/>
        <w:ind w:left="360" w:hanging="36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b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9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501"/>
        <w:gridCol w:w="1127"/>
        <w:gridCol w:w="1243"/>
        <w:gridCol w:w="1399"/>
        <w:gridCol w:w="1121"/>
        <w:gridCol w:w="1894"/>
      </w:tblGrid>
      <w:tr>
        <w:trPr>
          <w:trHeight w:val="990" w:hRule="atLeast"/>
        </w:trPr>
        <w:tc>
          <w:tcPr>
            <w:tcW w:w="250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50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0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Nedokončená výroba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 xml:space="preserve">Rok </w:t>
      </w:r>
      <w:r>
        <w:rPr/>
        <w:t>2025</w:t>
      </w:r>
    </w:p>
    <w:tbl>
      <w:tblPr>
        <w:tblW w:w="9538" w:type="dxa"/>
        <w:jc w:val="left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55"/>
        <w:gridCol w:w="1202"/>
        <w:gridCol w:w="1254"/>
        <w:gridCol w:w="1302"/>
        <w:gridCol w:w="1268"/>
        <w:gridCol w:w="1956"/>
      </w:tblGrid>
      <w:tr>
        <w:trPr>
          <w:trHeight w:val="729" w:hRule="atLeast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>
        <w:trPr>
          <w:trHeight w:val="796" w:hRule="atLeast"/>
        </w:trPr>
        <w:tc>
          <w:tcPr>
            <w:tcW w:w="255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349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360" w:hanging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215" w:after="221"/>
        <w:ind w:left="990" w:hanging="975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c – e)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>
      <w:pPr>
        <w:pStyle w:val="Standard"/>
        <w:keepNext w:val="true"/>
        <w:spacing w:before="0" w:after="2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2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f) O výnosoch, ktoré majú výnimočný rozsah alebo výskyt v roku 2025 účtovná jednotka neúčtovala.</w:t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g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numPr>
          <w:ilvl w:val="0"/>
          <w:numId w:val="9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817"/>
        <w:gridCol w:w="1681"/>
        <w:gridCol w:w="1682"/>
      </w:tblGrid>
      <w:tr>
        <w:trPr>
          <w:trHeight w:val="1005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40964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40964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  <w:t>0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>
      <w:pPr>
        <w:pStyle w:val="Textbody"/>
        <w:rPr/>
      </w:pPr>
      <w:r>
        <w:rPr/>
      </w:r>
    </w:p>
    <w:p>
      <w:pPr>
        <w:pStyle w:val="Standard"/>
        <w:keepNext w:val="true"/>
        <w:rPr/>
      </w:pPr>
      <w:r>
        <w:rPr>
          <w:rFonts w:cs="Arial Narrow" w:ascii="Arial Narrow" w:hAnsi="Arial Narrow"/>
          <w:bCs/>
          <w:sz w:val="22"/>
          <w:szCs w:val="22"/>
        </w:rPr>
        <w:t>I)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k časti I. prílohy č. 3 o nákladoch</w:t>
      </w:r>
    </w:p>
    <w:p>
      <w:pPr>
        <w:pStyle w:val="Standard"/>
        <w:keepNext w:val="true"/>
        <w:ind w:left="284" w:hanging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Špecifikácia významných položiek nákladov na poskytnuté služby</w:t>
      </w:r>
    </w:p>
    <w:p>
      <w:pPr>
        <w:pStyle w:val="Standard"/>
        <w:keepNext w:val="true"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Špecifikácia významných položiek ostatných nákladov z hosp. činností</w:t>
      </w:r>
    </w:p>
    <w:p>
      <w:pPr>
        <w:pStyle w:val="Textbody"/>
        <w:ind w:firstLine="284"/>
        <w:rPr/>
      </w:pPr>
      <w:r>
        <w:rPr>
          <w:b w:val="false"/>
          <w:sz w:val="22"/>
          <w:szCs w:val="22"/>
        </w:rPr>
        <w:t xml:space="preserve">c) </w:t>
      </w:r>
      <w:r>
        <w:rPr>
          <w:rFonts w:ascii="Arial Narrow" w:hAnsi="Arial Narrow"/>
          <w:b w:val="false"/>
          <w:sz w:val="22"/>
          <w:szCs w:val="22"/>
        </w:rPr>
        <w:t>Špecifikácia významných položiek finančných nákladov</w:t>
      </w:r>
    </w:p>
    <w:tbl>
      <w:tblPr>
        <w:tblW w:w="9571" w:type="dxa"/>
        <w:jc w:val="left"/>
        <w:tblInd w:w="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87"/>
        <w:gridCol w:w="2180"/>
        <w:gridCol w:w="2104"/>
      </w:tblGrid>
      <w:tr>
        <w:trPr>
          <w:trHeight w:val="85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Náklady za 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  <w:t>32518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37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1046" w:right="7" w:hanging="1055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492" w:right="12" w:hanging="510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Spotreba materiálu, energie a nesklad. dodávok</w:t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  <w:t>5580</w:t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57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numPr>
          <w:ilvl w:val="0"/>
          <w:numId w:val="2"/>
        </w:numPr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 xml:space="preserve">J.)  </w:t>
      </w:r>
      <w:r>
        <w:rPr>
          <w:b w:val="false"/>
          <w:sz w:val="22"/>
          <w:szCs w:val="22"/>
        </w:rPr>
        <w:t>a-e)</w:t>
      </w:r>
    </w:p>
    <w:p>
      <w:pPr>
        <w:pStyle w:val="Nzov"/>
        <w:numPr>
          <w:ilvl w:val="0"/>
          <w:numId w:val="94"/>
        </w:numPr>
        <w:shd w:val="clear" w:color="auto" w:fill="FFFFFF"/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709"/>
        <w:gridCol w:w="1612"/>
        <w:gridCol w:w="34"/>
        <w:gridCol w:w="1825"/>
      </w:tblGrid>
      <w:tr>
        <w:trPr>
          <w:trHeight w:val="840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4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6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>J.)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v roku 2025 neevidovala odloženú daňovú pohľadávku týkajúcu sa umorenia daňovej straty, nevyužitých daňových odpočtov, iných nárokov ako aj dočasných rozdielov z predchádzajúcich účtovných období neevidovala .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Účtovná jednotka v roku 2025 neevidovala odložený daňový záväzok, z dôvodu  neúčtovania tej časti odloženej daňovej pohľadávky v bežnom účtovnom období, o ktorej sa účtovalo v predchádzajúcich  obdobiach.</w:t>
      </w:r>
    </w:p>
    <w:p>
      <w:pPr>
        <w:pStyle w:val="Textbody"/>
        <w:numPr>
          <w:ilvl w:val="0"/>
          <w:numId w:val="95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 v roku 2025 neevidovala neuplatnené umorenie daňovej straty, nevyužité daňové odpočty a iné nároky a odpočítatľné dočasné rozdiely, ku ktorým nebola účtovaná odložená účtovná daňová pohľadávka.</w:t>
      </w:r>
    </w:p>
    <w:p>
      <w:pPr>
        <w:pStyle w:val="Textbody"/>
        <w:numPr>
          <w:ilvl w:val="0"/>
          <w:numId w:val="96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V roku 2025 nebola účtovaná odložená daň z príjmov, ktorá sa vzťahuje k položkám účtovaným priamo na účty vlastného imania bez účtovania na účty nákladov a výnosov.</w:t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false"/>
          <w:bCs w:val="false"/>
          <w:i/>
          <w:sz w:val="22"/>
          <w:szCs w:val="22"/>
        </w:rPr>
        <w:t>f ) a  g )</w:t>
      </w:r>
    </w:p>
    <w:p>
      <w:pPr>
        <w:pStyle w:val="Nzov"/>
        <w:widowControl w:val="false"/>
        <w:numPr>
          <w:ilvl w:val="0"/>
          <w:numId w:val="9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683"/>
        <w:gridCol w:w="786"/>
        <w:gridCol w:w="657"/>
        <w:gridCol w:w="1923"/>
        <w:gridCol w:w="705"/>
        <w:gridCol w:w="660"/>
      </w:tblGrid>
      <w:tr>
        <w:trPr>
          <w:trHeight w:val="642" w:hRule="atLeast"/>
        </w:trPr>
        <w:tc>
          <w:tcPr>
            <w:tcW w:w="276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12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6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9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Výsledok hospodárenia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8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8446</w:t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845</w:t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5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  <w:tab/>
      </w:r>
    </w:p>
    <w:p>
      <w:pPr>
        <w:pStyle w:val="Standard"/>
        <w:ind w:left="284" w:hanging="284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720" w:hanging="7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J.) </w:t>
      </w:r>
      <w:r>
        <w:rPr>
          <w:rFonts w:cs="Arial Narrow" w:ascii="Arial Narrow" w:hAnsi="Arial Narrow"/>
          <w:sz w:val="22"/>
          <w:szCs w:val="22"/>
        </w:rPr>
        <w:t>g)</w:t>
        <w:tab/>
        <w:t>V roku 2025 nenastali zmeny sadzby sadzby dane z príjmov a účtovná jednotka  o zmene sadzby dane v roku 2025 neúčtovala.</w:t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sz w:val="22"/>
          <w:szCs w:val="22"/>
        </w:rPr>
        <w:t>a – c)   Účtovná jednotka  v roku 2025 neevidovala  vo svojej činnosti spriaznené osoby.</w:t>
      </w:r>
    </w:p>
    <w:p>
      <w:pPr>
        <w:pStyle w:val="Standard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zostavenia účtovnej závierky.</w:t>
      </w:r>
    </w:p>
    <w:p>
      <w:pPr>
        <w:pStyle w:val="Standard"/>
        <w:ind w:left="709" w:hanging="709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a– j) Od roku </w:t>
      </w:r>
      <w:r>
        <w:rPr>
          <w:rFonts w:cs="Arial Narrow" w:ascii="Arial Narrow" w:hAnsi="Arial Narrow"/>
          <w:sz w:val="22"/>
          <w:szCs w:val="22"/>
        </w:rPr>
        <w:t>2025</w:t>
      </w:r>
      <w:r>
        <w:rPr>
          <w:rFonts w:cs="Arial Narrow" w:ascii="Arial Narrow" w:hAnsi="Arial Narrow"/>
          <w:sz w:val="22"/>
          <w:szCs w:val="22"/>
        </w:rPr>
        <w:t xml:space="preserve"> je tiež pokles záujmu o služby spoločnosti aj keď nie významný.</w:t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R.) Informácie o prehľade peňažných tokov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a)</w:t>
        <w:tab/>
        <w:t>1 – 2 Účtovná jednotka v roku 2025 evidovala len pohyb peňažných prostriedkov bez peňažných  ekvivalentov.</w:t>
      </w:r>
    </w:p>
    <w:p>
      <w:pPr>
        <w:pStyle w:val="Standard"/>
        <w:ind w:left="426" w:hanging="426"/>
        <w:jc w:val="both"/>
        <w:rPr/>
      </w:pPr>
      <w:r>
        <w:rPr/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</w:t>
        <w:tab/>
        <w:t>Prehľad  o peňažných tokoch bol spracovaný v členení: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peňažné toky z prevádzkových činností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2. peňažné toky z investičnej činnosti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3. peňažné toky z finančnej činnosti</w:t>
      </w:r>
    </w:p>
    <w:p>
      <w:pPr>
        <w:pStyle w:val="Standard"/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  Stav, pohyb a štruktúra peňažných prostriedkov je totožná s položkami vykázanými      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v súvahe.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Vysvetlivky k poznámkam:</w:t>
      </w:r>
    </w:p>
    <w:p>
      <w:pPr>
        <w:pStyle w:val="ListParagraph"/>
        <w:numPr>
          <w:ilvl w:val="0"/>
          <w:numId w:val="98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99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00"/>
        </w:numPr>
        <w:tabs>
          <w:tab w:val="clear" w:pos="708"/>
          <w:tab w:val="left" w:pos="588" w:leader="none"/>
        </w:tabs>
        <w:ind w:left="294" w:hanging="308"/>
        <w:jc w:val="both"/>
        <w:rPr/>
      </w:pPr>
      <w:r>
        <w:rPr>
          <w:szCs w:val="22"/>
        </w:rPr>
        <w:t xml:space="preserve">Kód SK NACE sa vypĺňa podľa vyhlášky Štatistického úradu Slovenskej republiky </w:t>
      </w:r>
      <w:r>
        <w:rPr/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ListParagraph"/>
        <w:numPr>
          <w:ilvl w:val="0"/>
          <w:numId w:val="101"/>
        </w:numPr>
        <w:tabs>
          <w:tab w:val="clear" w:pos="708"/>
          <w:tab w:val="left" w:pos="588" w:leader="none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andard"/>
        <w:rPr>
          <w:szCs w:val="22"/>
        </w:rPr>
      </w:pPr>
      <w:r>
        <w:rPr>
          <w:szCs w:val="22"/>
        </w:rPr>
        <w:t>CP  - cenný papier</w:t>
      </w:r>
    </w:p>
    <w:p>
      <w:pPr>
        <w:pStyle w:val="Standard"/>
        <w:rPr>
          <w:szCs w:val="22"/>
        </w:rPr>
      </w:pPr>
      <w:r>
        <w:rPr>
          <w:szCs w:val="22"/>
        </w:rPr>
        <w:t>č. - číslo</w:t>
      </w:r>
    </w:p>
    <w:p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>
      <w:pPr>
        <w:pStyle w:val="Standard"/>
        <w:rPr>
          <w:szCs w:val="22"/>
        </w:rPr>
      </w:pPr>
      <w:r>
        <w:rPr>
          <w:szCs w:val="22"/>
        </w:rPr>
        <w:t>p. a. – per annum</w:t>
      </w:r>
    </w:p>
    <w:p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>
      <w:pPr>
        <w:pStyle w:val="Standard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630" w:top="1215" w:footer="1135" w:bottom="1583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swiss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 Narro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  <w:font w:name="Roboto">
    <w:altName w:val="Arial"/>
    <w:charset w:val="ee"/>
    <w:family w:val="auto"/>
    <w:pitch w:val="default"/>
  </w:font>
  <w:font w:name="Roboto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28</w:t>
    </w:r>
    <w:r>
      <w:rPr>
        <w:szCs w:val="22"/>
        <w:lang w:eastAsia="sk-SK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6"/>
      <w:gridCol w:w="267"/>
      <w:gridCol w:w="269"/>
      <w:gridCol w:w="271"/>
      <w:gridCol w:w="271"/>
      <w:gridCol w:w="271"/>
      <w:gridCol w:w="280"/>
      <w:gridCol w:w="270"/>
      <w:gridCol w:w="267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eastAsia="SimSun" w:cs="Times New Roman"/>
                    <w:color w:val="auto"/>
                    <w:kern w:val="2"/>
                    <w:sz w:val="22"/>
                    <w:szCs w:val="22"/>
                    <w:lang w:val="sk-SK" w:eastAsia="zh-CN" w:bidi="hi-IN"/>
                  </w:rPr>
                </w:pPr>
                <w:r>
                  <w:rPr>
                    <w:rFonts w:eastAsia="SimSun" w:cs="Times New Roman" w:ascii="Arial Narrow" w:hAnsi="Arial Narrow"/>
                    <w:color w:val="auto"/>
                    <w:kern w:val="2"/>
                    <w:sz w:val="22"/>
                    <w:szCs w:val="22"/>
                    <w:lang w:val="sk-SK" w:eastAsia="zh-CN" w:bidi="hi-IN"/>
                  </w:rPr>
                  <w:t>5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eastAsia="SimSun" w:cs="Times New Roman"/>
                    <w:color w:val="auto"/>
                    <w:kern w:val="2"/>
                    <w:sz w:val="22"/>
                    <w:szCs w:val="22"/>
                    <w:lang w:val="sk-SK" w:eastAsia="zh-CN" w:bidi="hi-IN"/>
                  </w:rPr>
                </w:pPr>
                <w:r>
                  <w:rPr>
                    <w:rFonts w:eastAsia="SimSun" w:cs="Times New Roman" w:ascii="Arial Narrow" w:hAnsi="Arial Narrow"/>
                    <w:color w:val="auto"/>
                    <w:kern w:val="2"/>
                    <w:sz w:val="22"/>
                    <w:szCs w:val="22"/>
                    <w:lang w:val="sk-SK" w:eastAsia="zh-CN" w:bidi="hi-IN"/>
                  </w:rPr>
                  <w:t>6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9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3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1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3</w:t>
          </w:r>
        </w:p>
      </w:tc>
      <w:tc>
        <w:tcPr>
          <w:tcW w:w="28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5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7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1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2</w:t>
          </w:r>
        </w:p>
      </w:tc>
    </w:tr>
  </w:tbl>
  <w:p>
    <w:pPr>
      <w:pStyle w:val="Standar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b w:val="false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0"/>
      <w:numFmt w:val="upperLetter"/>
      <w:lvlText w:val="%1.)"/>
      <w:lvlJc w:val="left"/>
      <w:pPr>
        <w:tabs>
          <w:tab w:val="num" w:pos="0"/>
        </w:tabs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2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b w:val="false"/>
        <w:kern w:val="2"/>
        <w:szCs w:val="22"/>
        <w:bCs w:val="false"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6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7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"/>
    <w:lvlOverride w:ilvl="0">
      <w:startOverride w:val="1"/>
    </w:lvlOverride>
  </w:num>
  <w:num w:numId="55">
    <w:abstractNumId w:val="6"/>
    <w:lvlOverride w:ilvl="0">
      <w:startOverride w:val="1"/>
    </w:lvlOverride>
  </w:num>
  <w:num w:numId="56">
    <w:abstractNumId w:val="6"/>
  </w:num>
  <w:num w:numId="57">
    <w:abstractNumId w:val="6"/>
  </w:num>
  <w:num w:numId="58">
    <w:abstractNumId w:val="9"/>
    <w:lvlOverride w:ilvl="0">
      <w:startOverride w:val="1"/>
    </w:lvlOverride>
  </w:num>
  <w:num w:numId="59">
    <w:abstractNumId w:val="9"/>
  </w:num>
  <w:num w:numId="60">
    <w:abstractNumId w:val="9"/>
  </w:num>
  <w:num w:numId="61">
    <w:abstractNumId w:val="5"/>
  </w:num>
  <w:num w:numId="62">
    <w:abstractNumId w:val="5"/>
  </w:num>
  <w:num w:numId="63">
    <w:abstractNumId w:val="5"/>
  </w:num>
  <w:num w:numId="64">
    <w:abstractNumId w:val="5"/>
  </w:num>
  <w:num w:numId="65">
    <w:abstractNumId w:val="5"/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</w:num>
  <w:num w:numId="81">
    <w:abstractNumId w:val="32"/>
    <w:lvlOverride w:ilvl="0">
      <w:startOverride w:val="1"/>
    </w:lvlOverride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46"/>
    <w:lvlOverride w:ilvl="0">
      <w:startOverride w:val="4"/>
    </w:lvlOverride>
  </w:num>
  <w:num w:numId="96">
    <w:abstractNumId w:val="46"/>
  </w:num>
  <w:num w:numId="97">
    <w:abstractNumId w:val="5"/>
  </w:num>
  <w:num w:numId="98">
    <w:abstractNumId w:val="49"/>
    <w:lvlOverride w:ilvl="0">
      <w:startOverride w:val="1"/>
    </w:lvlOverride>
  </w:num>
  <w:num w:numId="99">
    <w:abstractNumId w:val="49"/>
  </w:num>
  <w:num w:numId="100">
    <w:abstractNumId w:val="49"/>
  </w:num>
  <w:num w:numId="101">
    <w:abstractNumId w:val="4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1">
    <w:name w:val="Heading 1"/>
    <w:basedOn w:val="Nadpis"/>
    <w:next w:val="Textbody"/>
    <w:qFormat/>
    <w:rsid w:val="00b73102"/>
    <w:pPr>
      <w:widowControl/>
      <w:spacing w:before="240" w:after="60"/>
      <w:textAlignment w:val="auto"/>
      <w:outlineLvl w:val="0"/>
    </w:pPr>
    <w:rPr>
      <w:rFonts w:ascii="Cambria" w:hAnsi="Cambria" w:eastAsia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Nadpis"/>
    <w:next w:val="Textbody"/>
    <w:qFormat/>
    <w:rsid w:val="00b73102"/>
    <w:pPr>
      <w:widowControl/>
      <w:spacing w:before="240" w:after="60"/>
      <w:textAlignment w:val="auto"/>
      <w:outlineLvl w:val="1"/>
    </w:pPr>
    <w:rPr>
      <w:rFonts w:ascii="Cambria" w:hAnsi="Cambria" w:eastAsia="Cambria" w:cs="Times New Roman"/>
      <w:b/>
      <w:bCs/>
      <w:i/>
      <w:iCs/>
      <w:lang w:eastAsia="en-US" w:bidi="ar-SA"/>
    </w:rPr>
  </w:style>
  <w:style w:type="paragraph" w:styleId="Nadpis3">
    <w:name w:val="Heading 3"/>
    <w:basedOn w:val="Nadpis"/>
    <w:next w:val="Textbody"/>
    <w:qFormat/>
    <w:rsid w:val="00b73102"/>
    <w:pPr>
      <w:widowControl/>
      <w:spacing w:before="240" w:after="60"/>
      <w:textAlignment w:val="auto"/>
      <w:outlineLvl w:val="2"/>
    </w:pPr>
    <w:rPr>
      <w:rFonts w:ascii="Cambria" w:hAnsi="Cambria" w:eastAsia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Nadpis"/>
    <w:next w:val="Textbody"/>
    <w:qFormat/>
    <w:rsid w:val="00b73102"/>
    <w:pPr>
      <w:widowControl/>
      <w:spacing w:before="240" w:after="60"/>
      <w:textAlignment w:val="auto"/>
      <w:outlineLvl w:val="3"/>
    </w:pPr>
    <w:rPr>
      <w:rFonts w:ascii="Arial Narrow" w:hAnsi="Arial Narrow" w:eastAsia="Arial Narrow" w:cs="Times New Roman"/>
      <w:b/>
      <w:bCs/>
      <w:lang w:eastAsia="en-US" w:bidi="ar-SA"/>
    </w:rPr>
  </w:style>
  <w:style w:type="paragraph" w:styleId="Nadpis5">
    <w:name w:val="Heading 5"/>
    <w:basedOn w:val="Nadpis"/>
    <w:next w:val="Textbody"/>
    <w:qFormat/>
    <w:rsid w:val="00b73102"/>
    <w:pPr>
      <w:widowControl/>
      <w:spacing w:before="240" w:after="60"/>
      <w:textAlignment w:val="auto"/>
      <w:outlineLvl w:val="4"/>
    </w:pPr>
    <w:rPr>
      <w:rFonts w:ascii="Arial Narrow" w:hAnsi="Arial Narrow" w:eastAsia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Nadpis"/>
    <w:next w:val="Textbody"/>
    <w:qFormat/>
    <w:rsid w:val="00b73102"/>
    <w:pPr>
      <w:widowControl/>
      <w:spacing w:before="240" w:after="60"/>
      <w:textAlignment w:val="auto"/>
      <w:outlineLvl w:val="5"/>
    </w:pPr>
    <w:rPr>
      <w:rFonts w:ascii="Arial Narrow" w:hAnsi="Arial Narrow" w:eastAsia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Nadpis"/>
    <w:next w:val="Textbody"/>
    <w:qFormat/>
    <w:rsid w:val="00b73102"/>
    <w:pPr>
      <w:widowControl/>
      <w:spacing w:before="240" w:after="60"/>
      <w:textAlignment w:val="auto"/>
      <w:outlineLvl w:val="6"/>
    </w:pPr>
    <w:rPr>
      <w:rFonts w:ascii="Arial Narrow" w:hAnsi="Arial Narrow" w:eastAsia="Arial Narrow" w:cs="Times New Roman"/>
      <w:sz w:val="22"/>
      <w:szCs w:val="24"/>
      <w:lang w:eastAsia="en-US" w:bidi="ar-SA"/>
    </w:rPr>
  </w:style>
  <w:style w:type="paragraph" w:styleId="Nadpis8">
    <w:name w:val="Heading 8"/>
    <w:basedOn w:val="Nadpis"/>
    <w:next w:val="Textbody"/>
    <w:qFormat/>
    <w:rsid w:val="00b73102"/>
    <w:pPr>
      <w:widowControl/>
      <w:spacing w:before="240" w:after="60"/>
      <w:textAlignment w:val="auto"/>
      <w:outlineLvl w:val="7"/>
    </w:pPr>
    <w:rPr>
      <w:rFonts w:ascii="Arial Narrow" w:hAnsi="Arial Narrow" w:eastAsia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Nadpis"/>
    <w:next w:val="Textbody"/>
    <w:qFormat/>
    <w:rsid w:val="00b73102"/>
    <w:pPr>
      <w:widowControl/>
      <w:spacing w:before="240" w:after="60"/>
      <w:textAlignment w:val="auto"/>
      <w:outlineLvl w:val="8"/>
    </w:pPr>
    <w:rPr>
      <w:rFonts w:ascii="Cambria" w:hAnsi="Cambria" w:eastAsia="Cambria" w:cs="Times New Roman"/>
      <w:sz w:val="22"/>
      <w:szCs w:val="22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b73102"/>
    <w:rPr>
      <w:rFonts w:ascii="Cambria" w:hAnsi="Cambria" w:eastAsia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qFormat/>
    <w:rsid w:val="00b73102"/>
    <w:rPr>
      <w:rFonts w:ascii="Cambria" w:hAnsi="Cambria" w:eastAsia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qFormat/>
    <w:rsid w:val="00b73102"/>
    <w:rPr>
      <w:rFonts w:ascii="Cambria" w:hAnsi="Cambria" w:eastAsia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qFormat/>
    <w:rsid w:val="00b73102"/>
    <w:rPr>
      <w:rFonts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qFormat/>
    <w:rsid w:val="00b73102"/>
    <w:rPr>
      <w:rFonts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qFormat/>
    <w:rsid w:val="00b73102"/>
    <w:rPr>
      <w:rFonts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qFormat/>
    <w:rsid w:val="00b73102"/>
    <w:rPr>
      <w:rFonts w:cs="Times New Roman"/>
      <w:sz w:val="24"/>
      <w:szCs w:val="24"/>
    </w:rPr>
  </w:style>
  <w:style w:type="character" w:styleId="Nadpis8Char" w:customStyle="1">
    <w:name w:val="Nadpis 8 Char"/>
    <w:basedOn w:val="DefaultParagraphFont"/>
    <w:qFormat/>
    <w:rsid w:val="00b73102"/>
    <w:rPr>
      <w:rFonts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qFormat/>
    <w:rsid w:val="00b73102"/>
    <w:rPr>
      <w:rFonts w:ascii="Cambria" w:hAnsi="Cambria" w:eastAsia="Cambria" w:cs="Times New Roman"/>
      <w:sz w:val="22"/>
      <w:szCs w:val="22"/>
    </w:rPr>
  </w:style>
  <w:style w:type="character" w:styleId="HlavikaChar" w:customStyle="1">
    <w:name w:val="Hlavička Char"/>
    <w:basedOn w:val="DefaultParagraphFont"/>
    <w:qFormat/>
    <w:rsid w:val="00b73102"/>
    <w:rPr>
      <w:rFonts w:cs="Times New Roman"/>
    </w:rPr>
  </w:style>
  <w:style w:type="character" w:styleId="PtaChar" w:customStyle="1">
    <w:name w:val="Päta Char"/>
    <w:basedOn w:val="DefaultParagraphFont"/>
    <w:qFormat/>
    <w:rsid w:val="00b73102"/>
    <w:rPr>
      <w:rFonts w:cs="Times New Roman"/>
    </w:rPr>
  </w:style>
  <w:style w:type="character" w:styleId="TextpoznmkypodiarouChar" w:customStyle="1">
    <w:name w:val="Text poznámky pod čiarou Char"/>
    <w:basedOn w:val="DefaultParagraphFont"/>
    <w:qFormat/>
    <w:rsid w:val="00b73102"/>
    <w:rPr>
      <w:rFonts w:ascii="Times New Roman" w:hAnsi="Times New Roman" w:eastAsia="Times New Roman" w:cs="Times New Roman"/>
      <w:sz w:val="20"/>
      <w:szCs w:val="20"/>
      <w:lang w:val="sk-SK" w:eastAsia="cs-CZ"/>
    </w:rPr>
  </w:style>
  <w:style w:type="character" w:styleId="TextpoznmkypodiarouChar1" w:customStyle="1">
    <w:name w:val="Text poznámky pod čiarou Char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qFormat/>
    <w:rsid w:val="00b73102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qFormat/>
    <w:rsid w:val="00b73102"/>
    <w:rPr>
      <w:rFonts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qFormat/>
    <w:rsid w:val="00b73102"/>
    <w:rPr>
      <w:rFonts w:ascii="Times New Roman" w:hAnsi="Times New Roman" w:eastAsia="Times New Roman" w:cs="Times New Roman"/>
      <w:b/>
      <w:bCs/>
      <w:sz w:val="24"/>
      <w:szCs w:val="24"/>
      <w:lang w:val="sk-SK" w:eastAsia="cs-CZ"/>
    </w:rPr>
  </w:style>
  <w:style w:type="character" w:styleId="ZkladntextChar1" w:customStyle="1">
    <w:name w:val="Základný text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qFormat/>
    <w:rsid w:val="00b73102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qFormat/>
    <w:rsid w:val="00b73102"/>
    <w:rPr>
      <w:rFonts w:ascii="Cambria" w:hAnsi="Cambria" w:eastAsia="Cambria" w:cs="Times New Roman"/>
      <w:sz w:val="24"/>
      <w:szCs w:val="24"/>
    </w:rPr>
  </w:style>
  <w:style w:type="character" w:styleId="PodtitulChar1" w:customStyle="1">
    <w:name w:val="Podtitul Char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5" w:customStyle="1">
    <w:name w:val="Podtitul Char13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4" w:customStyle="1">
    <w:name w:val="Podtitul Char13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3" w:customStyle="1">
    <w:name w:val="Podtitul Char13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2" w:customStyle="1">
    <w:name w:val="Podtitul Char13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1" w:customStyle="1">
    <w:name w:val="Podtitul Char13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0" w:customStyle="1">
    <w:name w:val="Podtitul Char13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9" w:customStyle="1">
    <w:name w:val="Podtitul Char12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8" w:customStyle="1">
    <w:name w:val="Podtitul Char12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7" w:customStyle="1">
    <w:name w:val="Podtitul Char12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6" w:customStyle="1">
    <w:name w:val="Podtitul Char12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5" w:customStyle="1">
    <w:name w:val="Podtitul Char12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4" w:customStyle="1">
    <w:name w:val="Podtitul Char12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3" w:customStyle="1">
    <w:name w:val="Podtitul Char12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2" w:customStyle="1">
    <w:name w:val="Podtitul Char12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1" w:customStyle="1">
    <w:name w:val="Podtitul Char12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0" w:customStyle="1">
    <w:name w:val="Podtitul Char12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9" w:customStyle="1">
    <w:name w:val="Podtitul Char1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8" w:customStyle="1">
    <w:name w:val="Podtitul Char1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7" w:customStyle="1">
    <w:name w:val="Podtitul Char1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6" w:customStyle="1">
    <w:name w:val="Podtitul Char1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5" w:customStyle="1">
    <w:name w:val="Podtitul Char1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4" w:customStyle="1">
    <w:name w:val="Podtitul Char1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3" w:customStyle="1">
    <w:name w:val="Podtitul Char1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2" w:customStyle="1">
    <w:name w:val="Podtitul Char1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1" w:customStyle="1">
    <w:name w:val="Podtitul Char1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0" w:customStyle="1">
    <w:name w:val="Podtitul Char11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9" w:customStyle="1">
    <w:name w:val="Podtitul Char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8" w:customStyle="1">
    <w:name w:val="Podtitul Char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7" w:customStyle="1">
    <w:name w:val="Podtitul Char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6" w:customStyle="1">
    <w:name w:val="Podtitul Char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5" w:customStyle="1">
    <w:name w:val="Podtitul Char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4" w:customStyle="1">
    <w:name w:val="Podtitul Char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" w:customStyle="1">
    <w:name w:val="Podtitul Char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" w:customStyle="1">
    <w:name w:val="Podtitul Char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" w:customStyle="1">
    <w:name w:val="Podtitul Char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Zkladntext2Char" w:customStyle="1">
    <w:name w:val="Základný text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kladntext2Char1" w:customStyle="1">
    <w:name w:val="Základný text 2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2Char1" w:customStyle="1">
    <w:name w:val="Zarážka základného textu 2 Char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3Char1" w:customStyle="1">
    <w:name w:val="Zarážka základného textu 3 Char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qFormat/>
    <w:rsid w:val="00b73102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qFormat/>
    <w:rsid w:val="00b73102"/>
    <w:rPr>
      <w:rFonts w:ascii="Tahoma" w:hAnsi="Tahoma" w:eastAsia="Tahoma" w:cs="Cambria"/>
      <w:sz w:val="16"/>
      <w:szCs w:val="16"/>
      <w:lang w:val="sk-SK" w:eastAsia="cs-CZ"/>
    </w:rPr>
  </w:style>
  <w:style w:type="character" w:styleId="TextbublinyChar1" w:customStyle="1">
    <w:name w:val="Text bubliny Char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5" w:customStyle="1">
    <w:name w:val="Text bubliny Char13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4" w:customStyle="1">
    <w:name w:val="Text bubliny Char13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3" w:customStyle="1">
    <w:name w:val="Text bubliny Char13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2" w:customStyle="1">
    <w:name w:val="Text bubliny Char13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1" w:customStyle="1">
    <w:name w:val="Text bubliny Char13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0" w:customStyle="1">
    <w:name w:val="Text bubliny Char13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9" w:customStyle="1">
    <w:name w:val="Text bubliny Char12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8" w:customStyle="1">
    <w:name w:val="Text bubliny Char12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7" w:customStyle="1">
    <w:name w:val="Text bubliny Char12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6" w:customStyle="1">
    <w:name w:val="Text bubliny Char12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5" w:customStyle="1">
    <w:name w:val="Text bubliny Char12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4" w:customStyle="1">
    <w:name w:val="Text bubliny Char12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3" w:customStyle="1">
    <w:name w:val="Text bubliny Char12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2" w:customStyle="1">
    <w:name w:val="Text bubliny Char12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1" w:customStyle="1">
    <w:name w:val="Text bubliny Char12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0" w:customStyle="1">
    <w:name w:val="Text bubliny Char12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9" w:customStyle="1">
    <w:name w:val="Text bubliny Char1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8" w:customStyle="1">
    <w:name w:val="Text bubliny Char118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7" w:customStyle="1">
    <w:name w:val="Text bubliny Char1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6" w:customStyle="1">
    <w:name w:val="Text bubliny Char1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5" w:customStyle="1">
    <w:name w:val="Text bubliny Char115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4" w:customStyle="1">
    <w:name w:val="Text bubliny Char114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3" w:customStyle="1">
    <w:name w:val="Text bubliny Char1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2" w:customStyle="1">
    <w:name w:val="Text bubliny Char1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1" w:customStyle="1">
    <w:name w:val="Text bubliny Char1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0" w:customStyle="1">
    <w:name w:val="Text bubliny Char11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9" w:customStyle="1">
    <w:name w:val="Text bubliny Char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8" w:customStyle="1">
    <w:name w:val="Text bubliny Char1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7" w:customStyle="1">
    <w:name w:val="Text bubliny Char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6" w:customStyle="1">
    <w:name w:val="Text bubliny Char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5" w:customStyle="1">
    <w:name w:val="Text bubliny Char1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4" w:customStyle="1">
    <w:name w:val="Text bubliny Char1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" w:customStyle="1">
    <w:name w:val="Text bubliny Char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" w:customStyle="1">
    <w:name w:val="Text bubliny Char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" w:customStyle="1">
    <w:name w:val="Text bubliny Char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WW8Num12z0" w:customStyle="1">
    <w:name w:val="WW8Num12z0"/>
    <w:qFormat/>
    <w:rsid w:val="00b73102"/>
    <w:rPr>
      <w:rFonts w:ascii="Arial Narrow" w:hAnsi="Arial Narrow" w:eastAsia="Arial Narrow" w:cs="Arial Narrow"/>
      <w:b w:val="false"/>
      <w:sz w:val="22"/>
      <w:szCs w:val="22"/>
    </w:rPr>
  </w:style>
  <w:style w:type="character" w:styleId="WW8Num2z0" w:customStyle="1">
    <w:name w:val="WW8Num2z0"/>
    <w:qFormat/>
    <w:rsid w:val="00b73102"/>
    <w:rPr>
      <w:rFonts w:ascii="Arial Narrow" w:hAnsi="Arial Narrow" w:eastAsia="Arial Narrow" w:cs="Times New Roman"/>
      <w:kern w:val="2"/>
      <w:sz w:val="22"/>
      <w:szCs w:val="22"/>
    </w:rPr>
  </w:style>
  <w:style w:type="character" w:styleId="WW8Num3z0" w:customStyle="1">
    <w:name w:val="WW8Num3z0"/>
    <w:qFormat/>
    <w:rsid w:val="00b73102"/>
    <w:rPr>
      <w:rFonts w:ascii="Arial Narrow" w:hAnsi="Arial Narrow" w:eastAsia="Arial Narrow" w:cs="Times New Roman"/>
    </w:rPr>
  </w:style>
  <w:style w:type="character" w:styleId="WW8Num10z0" w:customStyle="1">
    <w:name w:val="WW8Num10z0"/>
    <w:qFormat/>
    <w:rsid w:val="00b73102"/>
    <w:rPr>
      <w:rFonts w:ascii="Arial Narrow" w:hAnsi="Arial Narrow" w:eastAsia="Arial Narrow" w:cs="Times New Roman"/>
      <w:sz w:val="22"/>
      <w:szCs w:val="22"/>
    </w:rPr>
  </w:style>
  <w:style w:type="character" w:styleId="WW8Num11z0" w:customStyle="1">
    <w:name w:val="WW8Num11z0"/>
    <w:qFormat/>
    <w:rsid w:val="00b73102"/>
    <w:rPr>
      <w:rFonts w:ascii="Arial Narrow" w:hAnsi="Arial Narrow" w:eastAsia="Arial Narrow" w:cs="Times New Roman"/>
    </w:rPr>
  </w:style>
  <w:style w:type="character" w:styleId="WW8Num7z0" w:customStyle="1">
    <w:name w:val="WW8Num7z0"/>
    <w:qFormat/>
    <w:rsid w:val="00b73102"/>
    <w:rPr>
      <w:rFonts w:ascii="Arial Narrow" w:hAnsi="Arial Narrow" w:eastAsia="Arial Narrow" w:cs="Times New Roman"/>
      <w:b w:val="false"/>
      <w:bCs w:val="false"/>
      <w:kern w:val="2"/>
      <w:sz w:val="22"/>
      <w:szCs w:val="22"/>
    </w:rPr>
  </w:style>
  <w:style w:type="character" w:styleId="WW8Num13z0" w:customStyle="1">
    <w:name w:val="WW8Num13z0"/>
    <w:qFormat/>
    <w:rsid w:val="00b73102"/>
    <w:rPr>
      <w:rFonts w:ascii="Arial Narrow" w:hAnsi="Arial Narrow" w:eastAsia="Arial Narrow" w:cs="Times New Roman"/>
    </w:rPr>
  </w:style>
  <w:style w:type="character" w:styleId="WW8Num13z1" w:customStyle="1">
    <w:name w:val="WW8Num13z1"/>
    <w:qFormat/>
    <w:rsid w:val="00b73102"/>
    <w:rPr/>
  </w:style>
  <w:style w:type="character" w:styleId="WW8Num13z2" w:customStyle="1">
    <w:name w:val="WW8Num13z2"/>
    <w:qFormat/>
    <w:rsid w:val="00b73102"/>
    <w:rPr/>
  </w:style>
  <w:style w:type="character" w:styleId="WW8Num13z3" w:customStyle="1">
    <w:name w:val="WW8Num13z3"/>
    <w:qFormat/>
    <w:rsid w:val="00b73102"/>
    <w:rPr/>
  </w:style>
  <w:style w:type="character" w:styleId="WW8Num13z4" w:customStyle="1">
    <w:name w:val="WW8Num13z4"/>
    <w:qFormat/>
    <w:rsid w:val="00b73102"/>
    <w:rPr/>
  </w:style>
  <w:style w:type="character" w:styleId="WW8Num13z5" w:customStyle="1">
    <w:name w:val="WW8Num13z5"/>
    <w:qFormat/>
    <w:rsid w:val="00b73102"/>
    <w:rPr/>
  </w:style>
  <w:style w:type="character" w:styleId="WW8Num13z6" w:customStyle="1">
    <w:name w:val="WW8Num13z6"/>
    <w:qFormat/>
    <w:rsid w:val="00b73102"/>
    <w:rPr/>
  </w:style>
  <w:style w:type="character" w:styleId="WW8Num13z7" w:customStyle="1">
    <w:name w:val="WW8Num13z7"/>
    <w:qFormat/>
    <w:rsid w:val="00b73102"/>
    <w:rPr/>
  </w:style>
  <w:style w:type="character" w:styleId="WW8Num13z8" w:customStyle="1">
    <w:name w:val="WW8Num13z8"/>
    <w:qFormat/>
    <w:rsid w:val="00b73102"/>
    <w:rPr/>
  </w:style>
  <w:style w:type="character" w:styleId="WW8Num9z0" w:customStyle="1">
    <w:name w:val="WW8Num9z0"/>
    <w:qFormat/>
    <w:rsid w:val="00b73102"/>
    <w:rPr>
      <w:rFonts w:cs="Times New Roman"/>
    </w:rPr>
  </w:style>
  <w:style w:type="character" w:styleId="WW8Num8z0" w:customStyle="1">
    <w:name w:val="WW8Num8z0"/>
    <w:qFormat/>
    <w:rsid w:val="00b73102"/>
    <w:rPr>
      <w:rFonts w:ascii="Arial Narrow" w:hAnsi="Arial Narrow" w:eastAsia="Arial Narrow" w:cs="Times New Roman"/>
      <w:bCs/>
      <w:kern w:val="2"/>
    </w:rPr>
  </w:style>
  <w:style w:type="character" w:styleId="WW8Num5z0" w:customStyle="1">
    <w:name w:val="WW8Num5z0"/>
    <w:qFormat/>
    <w:rsid w:val="00b73102"/>
    <w:rPr>
      <w:rFonts w:ascii="Arial Narrow" w:hAnsi="Arial Narrow" w:eastAsia="Arial Narrow" w:cs="Symbol"/>
    </w:rPr>
  </w:style>
  <w:style w:type="character" w:styleId="WW8Num6z0" w:customStyle="1">
    <w:name w:val="WW8Num6z0"/>
    <w:qFormat/>
    <w:rsid w:val="00b73102"/>
    <w:rPr/>
  </w:style>
  <w:style w:type="character" w:styleId="WW8Num4z0" w:customStyle="1">
    <w:name w:val="WW8Num4z0"/>
    <w:qFormat/>
    <w:rsid w:val="00b73102"/>
    <w:rPr>
      <w:rFonts w:ascii="Symbol" w:hAnsi="Symbol" w:eastAsia="Symbol" w:cs="Symbol"/>
    </w:rPr>
  </w:style>
  <w:style w:type="character" w:styleId="Symbolypreslovanie" w:customStyle="1">
    <w:name w:val="Symboly pre číslovanie"/>
    <w:qFormat/>
    <w:rsid w:val="00b73102"/>
    <w:rPr/>
  </w:style>
  <w:style w:type="character" w:styleId="Ra" w:customStyle="1">
    <w:name w:val="ra"/>
    <w:basedOn w:val="DefaultParagraphFont"/>
    <w:qFormat/>
    <w:rsid w:val="00480be5"/>
    <w:rPr/>
  </w:style>
  <w:style w:type="paragraph" w:styleId="Nadpis" w:customStyle="1">
    <w:name w:val="Nadpis"/>
    <w:basedOn w:val="Standard"/>
    <w:next w:val="Textbody"/>
    <w:qFormat/>
    <w:rsid w:val="00b73102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xtbody"/>
    <w:rsid w:val="00b73102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rsid w:val="00b73102"/>
    <w:pPr>
      <w:suppressLineNumbers/>
    </w:pPr>
    <w:rPr/>
  </w:style>
  <w:style w:type="paragraph" w:styleId="Standard" w:customStyle="1">
    <w:name w:val="Standard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Textbody" w:customStyle="1">
    <w:name w:val="Text body"/>
    <w:basedOn w:val="Standard"/>
    <w:qFormat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Caption">
    <w:name w:val="caption"/>
    <w:basedOn w:val="Standard"/>
    <w:qFormat/>
    <w:rsid w:val="00b73102"/>
    <w:pPr>
      <w:suppressLineNumbers/>
      <w:spacing w:before="120" w:after="120"/>
    </w:pPr>
    <w:rPr>
      <w:i/>
      <w:iCs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oznmkapodiarou">
    <w:name w:val="Footnote Text"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SimSun" w:cs="Times New Roman"/>
      <w:color w:val="auto"/>
      <w:kern w:val="2"/>
      <w:sz w:val="20"/>
      <w:szCs w:val="20"/>
      <w:lang w:val="sk-SK" w:eastAsia="cs-CZ" w:bidi="ar-SA"/>
    </w:rPr>
  </w:style>
  <w:style w:type="paragraph" w:styleId="Nzov">
    <w:name w:val="Title"/>
    <w:basedOn w:val="Nadpis"/>
    <w:next w:val="Textbody"/>
    <w:qFormat/>
    <w:rsid w:val="00b73102"/>
    <w:pPr>
      <w:widowControl/>
      <w:spacing w:before="100" w:after="220"/>
      <w:jc w:val="center"/>
      <w:textAlignment w:val="auto"/>
    </w:pPr>
    <w:rPr>
      <w:rFonts w:ascii="Arial Narrow" w:hAnsi="Arial Narrow" w:eastAsia="Arial Narrow" w:cs="Times New Roman"/>
      <w:b/>
      <w:bCs/>
      <w:sz w:val="22"/>
      <w:szCs w:val="32"/>
      <w:lang w:eastAsia="en-US" w:bidi="ar-SA"/>
    </w:rPr>
  </w:style>
  <w:style w:type="paragraph" w:styleId="Podnzov">
    <w:name w:val="Subtitle"/>
    <w:basedOn w:val="Nadpis"/>
    <w:next w:val="Textbody"/>
    <w:qFormat/>
    <w:rsid w:val="00b73102"/>
    <w:pPr>
      <w:widowControl/>
      <w:spacing w:before="240" w:after="60"/>
      <w:jc w:val="center"/>
      <w:textAlignment w:val="auto"/>
    </w:pPr>
    <w:rPr>
      <w:rFonts w:ascii="Cambria" w:hAnsi="Cambria" w:eastAsia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qFormat/>
    <w:rsid w:val="00b73102"/>
    <w:pPr>
      <w:widowControl/>
      <w:suppressAutoHyphens w:val="true"/>
      <w:bidi w:val="0"/>
      <w:spacing w:before="0" w:after="0"/>
      <w:ind w:left="2124" w:hanging="2124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2">
    <w:name w:val="Body Text Indent 2"/>
    <w:qFormat/>
    <w:rsid w:val="00b73102"/>
    <w:pPr>
      <w:widowControl/>
      <w:suppressAutoHyphens w:val="true"/>
      <w:bidi w:val="0"/>
      <w:spacing w:before="0" w:after="0"/>
      <w:ind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3">
    <w:name w:val="Body Text Indent 3"/>
    <w:qFormat/>
    <w:rsid w:val="00b73102"/>
    <w:pPr>
      <w:widowControl/>
      <w:suppressAutoHyphens w:val="true"/>
      <w:bidi w:val="0"/>
      <w:spacing w:before="0" w:after="0"/>
      <w:ind w:left="708"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alloonText">
    <w:name w:val="Balloon Text"/>
    <w:qFormat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ahoma" w:hAnsi="Tahoma" w:eastAsia="Tahoma" w:cs="Cambria"/>
      <w:color w:val="auto"/>
      <w:kern w:val="2"/>
      <w:sz w:val="16"/>
      <w:szCs w:val="16"/>
      <w:lang w:val="sk-SK" w:eastAsia="cs-CZ" w:bidi="ar-SA"/>
    </w:rPr>
  </w:style>
  <w:style w:type="paragraph" w:styleId="ListParagraph">
    <w:name w:val="List Paragraph"/>
    <w:qFormat/>
    <w:rsid w:val="00b73102"/>
    <w:pPr>
      <w:widowControl/>
      <w:suppressAutoHyphens w:val="true"/>
      <w:bidi w:val="0"/>
      <w:spacing w:before="0" w:after="200"/>
      <w:ind w:left="720" w:hanging="0"/>
      <w:jc w:val="left"/>
      <w:textAlignment w:val="auto"/>
    </w:pPr>
    <w:rPr>
      <w:rFonts w:ascii="Arial Narrow" w:hAnsi="Arial Narrow" w:eastAsia="Arial Narrow" w:cs="Times New Roman"/>
      <w:color w:val="auto"/>
      <w:kern w:val="2"/>
      <w:sz w:val="22"/>
      <w:szCs w:val="36"/>
      <w:lang w:val="sk-SK" w:eastAsia="en-US" w:bidi="ar-SA"/>
    </w:rPr>
  </w:style>
  <w:style w:type="paragraph" w:styleId="TopHeader" w:customStyle="1">
    <w:name w:val="Top Header"/>
    <w:qFormat/>
    <w:rsid w:val="00b73102"/>
    <w:pPr>
      <w:widowControl/>
      <w:suppressAutoHyphens w:val="true"/>
      <w:bidi w:val="0"/>
      <w:spacing w:before="0" w:after="0"/>
      <w:jc w:val="center"/>
      <w:textAlignment w:val="auto"/>
    </w:pPr>
    <w:rPr>
      <w:rFonts w:ascii="Arial Narrow" w:hAnsi="Arial Narrow" w:eastAsia="Arial Narrow" w:cs="Times New Roman"/>
      <w:b/>
      <w:bCs/>
      <w:color w:val="auto"/>
      <w:kern w:val="2"/>
      <w:sz w:val="22"/>
      <w:szCs w:val="22"/>
      <w:lang w:val="sk-SK" w:eastAsia="en-US" w:bidi="ar-SA"/>
    </w:rPr>
  </w:style>
  <w:style w:type="paragraph" w:styleId="NormalWeb">
    <w:name w:val="Normal (Web)"/>
    <w:qFormat/>
    <w:rsid w:val="00b73102"/>
    <w:pPr>
      <w:widowControl/>
      <w:suppressAutoHyphens w:val="true"/>
      <w:bidi w:val="0"/>
      <w:spacing w:before="100" w:after="10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k-SK" w:eastAsia="sk-SK" w:bidi="ar-SA"/>
    </w:rPr>
  </w:style>
  <w:style w:type="paragraph" w:styleId="Obsahtabuky" w:customStyle="1">
    <w:name w:val="Obsah tabuľky"/>
    <w:basedOn w:val="Standard"/>
    <w:qFormat/>
    <w:rsid w:val="00b73102"/>
    <w:pPr>
      <w:suppressLineNumbers/>
    </w:pPr>
    <w:rPr/>
  </w:style>
  <w:style w:type="paragraph" w:styleId="Citcie" w:customStyle="1">
    <w:name w:val="Citácie"/>
    <w:basedOn w:val="Standard"/>
    <w:qFormat/>
    <w:rsid w:val="00b73102"/>
    <w:pPr>
      <w:spacing w:before="0" w:after="283"/>
      <w:ind w:left="567" w:right="567" w:hanging="0"/>
    </w:pPr>
    <w:rPr/>
  </w:style>
  <w:style w:type="paragraph" w:styleId="Zhlavietabuky" w:customStyle="1">
    <w:name w:val="Záhlavie tabuľky"/>
    <w:basedOn w:val="Obsahtabuky"/>
    <w:qFormat/>
    <w:rsid w:val="00b73102"/>
    <w:pPr>
      <w:jc w:val="center"/>
    </w:pPr>
    <w:rPr>
      <w:b/>
      <w:bCs/>
    </w:rPr>
  </w:style>
  <w:style w:type="paragraph" w:styleId="Obsahrmca" w:customStyle="1">
    <w:name w:val="Obsah rámca"/>
    <w:basedOn w:val="Standard"/>
    <w:qFormat/>
    <w:rsid w:val="00b73102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2" w:customStyle="1">
    <w:name w:val="WW8Num12"/>
    <w:qFormat/>
    <w:rsid w:val="00b73102"/>
  </w:style>
  <w:style w:type="numbering" w:styleId="WW8Num2" w:customStyle="1">
    <w:name w:val="WW8Num2"/>
    <w:qFormat/>
    <w:rsid w:val="00b73102"/>
  </w:style>
  <w:style w:type="numbering" w:styleId="WW8Num3" w:customStyle="1">
    <w:name w:val="WW8Num3"/>
    <w:qFormat/>
    <w:rsid w:val="00b73102"/>
  </w:style>
  <w:style w:type="numbering" w:styleId="WW8Num10" w:customStyle="1">
    <w:name w:val="WW8Num10"/>
    <w:qFormat/>
    <w:rsid w:val="00b73102"/>
  </w:style>
  <w:style w:type="numbering" w:styleId="WW8Num11" w:customStyle="1">
    <w:name w:val="WW8Num11"/>
    <w:qFormat/>
    <w:rsid w:val="00b73102"/>
  </w:style>
  <w:style w:type="numbering" w:styleId="WW8Num7" w:customStyle="1">
    <w:name w:val="WW8Num7"/>
    <w:qFormat/>
    <w:rsid w:val="00b73102"/>
  </w:style>
  <w:style w:type="numbering" w:styleId="WW8Num13" w:customStyle="1">
    <w:name w:val="WW8Num13"/>
    <w:qFormat/>
    <w:rsid w:val="00b73102"/>
  </w:style>
  <w:style w:type="numbering" w:styleId="WW8Num9" w:customStyle="1">
    <w:name w:val="WW8Num9"/>
    <w:qFormat/>
    <w:rsid w:val="00b73102"/>
  </w:style>
  <w:style w:type="numbering" w:styleId="WW8Num8" w:customStyle="1">
    <w:name w:val="WW8Num8"/>
    <w:qFormat/>
    <w:rsid w:val="00b73102"/>
  </w:style>
  <w:style w:type="numbering" w:styleId="WW8Num5" w:customStyle="1">
    <w:name w:val="WW8Num5"/>
    <w:qFormat/>
    <w:rsid w:val="00b73102"/>
  </w:style>
  <w:style w:type="numbering" w:styleId="WW8Num6" w:customStyle="1">
    <w:name w:val="WW8Num6"/>
    <w:qFormat/>
    <w:rsid w:val="00b73102"/>
  </w:style>
  <w:style w:type="numbering" w:styleId="WW8Num4" w:customStyle="1">
    <w:name w:val="WW8Num4"/>
    <w:qFormat/>
    <w:rsid w:val="00b73102"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LibreOffice/7.1.1.2$Windows_X86_64 LibreOffice_project/fe0b08f4af1bacafe4c7ecc87ce55bb426164676</Application>
  <AppVersion>15.0000</AppVersion>
  <Pages>28</Pages>
  <Words>4662</Words>
  <Characters>25181</Characters>
  <CharactersWithSpaces>28802</CharactersWithSpaces>
  <Paragraphs>1221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2020-11-02T16:35:00Z</dcterms:created>
  <dc:creator>Matulova Silvia</dc:creator>
  <dc:description/>
  <dc:language>sk-SK</dc:language>
  <cp:lastModifiedBy/>
  <cp:lastPrinted>2016-03-02T06:45:00Z</cp:lastPrinted>
  <dcterms:modified xsi:type="dcterms:W3CDTF">2026-06-27T09:45:29Z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