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POZNÁMKY</w:t>
      </w:r>
    </w:p>
    <w:p>
      <w:pPr>
        <w:spacing w:after="200"/>
        <w:jc w:val="center"/>
      </w:pPr>
      <w:r>
        <w:rPr>
          <w:rFonts w:ascii="Arial" w:cs="Arial" w:eastAsia="Arial" w:hAnsi="Arial"/>
          <w:sz w:val="22"/>
          <w:szCs w:val="22"/>
        </w:rPr>
        <w:t xml:space="preserve">k účtovnej závierke mikro účtovnej jednotky k 31. 12. 2025</w:t>
      </w:r>
    </w:p>
    <w:p>
      <w:pPr>
        <w:spacing w:after="80" w:before="16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Článok I</w:t>
      </w:r>
    </w:p>
    <w:p>
      <w:pPr>
        <w:spacing w:after="80" w:before="16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Všeobecné údaje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(1) Názov a sídlo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40"/>
        <w:gridCol w:w="4320"/>
      </w:tblGrid>
      <w:tr>
        <w:tc>
          <w:tcPr>
            <w:tcW w:type="dxa" w:w="504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Obchodné meno (názov) účtovnej jednotky</w:t>
            </w:r>
          </w:p>
        </w:tc>
        <w:tc>
          <w:tcPr>
            <w:tcW w:type="dxa" w:w="432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THE TAB s. r. o.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Ulica a číslo</w:t>
            </w:r>
          </w:p>
        </w:tc>
        <w:tc>
          <w:tcPr>
            <w:tcW w:type="dxa" w:w="432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Moskovská 2663/13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PSČ</w:t>
            </w:r>
          </w:p>
        </w:tc>
        <w:tc>
          <w:tcPr>
            <w:tcW w:type="dxa" w:w="432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811 08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Názov obce</w:t>
            </w:r>
          </w:p>
        </w:tc>
        <w:tc>
          <w:tcPr>
            <w:tcW w:type="dxa" w:w="432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Bratislava - Staré Mesto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Okres / Kraj</w:t>
            </w:r>
          </w:p>
        </w:tc>
        <w:tc>
          <w:tcPr>
            <w:tcW w:type="dxa" w:w="432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Bratislava I / Bratislavský kraj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IČO</w:t>
            </w:r>
          </w:p>
        </w:tc>
        <w:tc>
          <w:tcPr>
            <w:tcW w:type="dxa" w:w="432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56848862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DIČ</w:t>
            </w:r>
          </w:p>
        </w:tc>
        <w:tc>
          <w:tcPr>
            <w:tcW w:type="dxa" w:w="432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SK NACE</w:t>
            </w:r>
          </w:p>
        </w:tc>
        <w:tc>
          <w:tcPr>
            <w:tcW w:type="dxa" w:w="432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82990 – Ostatné pomocné obchodné činnosti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(2) Údaje o konsolidovanom celku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Účtovná jednotka nie je súčasťou konsolidovaného celku a nezostavuje konsolidovanú účtovnú závierku.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(3) Priemerný prepočítaný počet zamestnancov účtovnej jednotky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2340"/>
        <w:gridCol w:w="2340"/>
      </w:tblGrid>
      <w:tr>
        <w:tc>
          <w:tcPr>
            <w:tcW w:type="dxa" w:w="4680"/>
            <w:shd w:fill="E8E8E8" w:val="clear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Názov položky</w:t>
            </w:r>
          </w:p>
        </w:tc>
        <w:tc>
          <w:tcPr>
            <w:tcW w:type="dxa" w:w="2340"/>
            <w:shd w:fill="E8E8E8" w:val="clear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Bežné účtovné obdobie</w:t>
            </w:r>
          </w:p>
        </w:tc>
        <w:tc>
          <w:tcPr>
            <w:tcW w:type="dxa" w:w="2340"/>
            <w:shd w:fill="E8E8E8" w:val="clear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Bezprostredne predchádzajúce obdobie</w:t>
            </w:r>
          </w:p>
        </w:tc>
      </w:tr>
      <w:tr>
        <w:tc>
          <w:tcPr>
            <w:tcW w:type="dxa" w:w="4680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Priemerný prepočítaný počet zamestnancov</w:t>
            </w:r>
          </w:p>
        </w:tc>
        <w:tc>
          <w:tcPr>
            <w:tcW w:type="dxa" w:w="2340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340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680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Stav zamestnancov ku dňu zostavenia závierky, z toho:</w:t>
            </w:r>
          </w:p>
        </w:tc>
        <w:tc>
          <w:tcPr>
            <w:tcW w:type="dxa" w:w="2340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340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680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počet vedúcich zamestnancov</w:t>
            </w:r>
          </w:p>
        </w:tc>
        <w:tc>
          <w:tcPr>
            <w:tcW w:type="dxa" w:w="2340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340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80" w:before="16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Článok II</w:t>
      </w:r>
    </w:p>
    <w:p>
      <w:pPr>
        <w:spacing w:after="80" w:before="16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Informácie o prijatých postupoch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(1) Predpoklad nepretržitého pokračovania v činnosti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Účtovná závierka bola zostavená za predpokladu nepretržitého trvania spoločnosti.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(2) Spôsob oceňovania jednotlivých zložiek majetku a záväzkov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a) Oceňovanie dlhodobého nehmotného majetku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0"/>
          <w:szCs w:val="20"/>
        </w:rPr>
        <w:t xml:space="preserve">Účtovná jednotka oceňovala nakúpený dlhodobý nehmotný majetok cenou obstarania.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b) Oceňovanie dlhodobého hmotného majetku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0"/>
          <w:szCs w:val="20"/>
        </w:rPr>
        <w:t xml:space="preserve">Účtovná jednotka oceňovala nakúpený dlhodobý hmotný majetok cenou obstarania.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c) Oceňovanie dlhodobého finančného majetku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0"/>
          <w:szCs w:val="20"/>
        </w:rPr>
        <w:t xml:space="preserve">cenou obstarania pri nákupe a predaji.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d) Oceňovanie zásob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0"/>
          <w:szCs w:val="20"/>
        </w:rPr>
        <w:t xml:space="preserve">Zásoby obstarané kúpou účtovná jednotka oceňovala obstarávacou cenou, ktorá zahŕňa cenu obstarania a náklady súvisiace s obstaraním.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e) Oceňovanie pohľadávok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0"/>
          <w:szCs w:val="20"/>
        </w:rPr>
        <w:t xml:space="preserve">Pohľadávky sa pri ich vzniku oceňovali menovitou hodnotou.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f) Oceňovanie krátkodobého finančného majetku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0"/>
          <w:szCs w:val="20"/>
        </w:rPr>
        <w:t xml:space="preserve">Krátkodobý finančný majetok sa oceňoval menovitou hodnotou.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g) Oceňovanie záväzkov, vrátane rezerv, dlhopisov, pôžičiek a úverov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0"/>
          <w:szCs w:val="20"/>
        </w:rPr>
        <w:t xml:space="preserve">Rezervy sa oceňovali v očakávanej výške záväzkov.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0"/>
          <w:szCs w:val="20"/>
        </w:rPr>
        <w:t xml:space="preserve">Záväzky sa pri ich vzniku oceňovali menovitou hodnotou.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0"/>
          <w:szCs w:val="20"/>
        </w:rPr>
        <w:t xml:space="preserve">Pôžičky, dlhopisy a úvery sa oceňovali menovitou hodnotou.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(3) Spôsob zostavenia odpisového plánu pre dlhodobý majetok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0"/>
          <w:szCs w:val="20"/>
        </w:rPr>
        <w:t xml:space="preserve">Odpisový plán účtovných odpisov dlhodobého majetku účtovná jednotka zostavila v internom predpise tak, že za základ vzala metódy používané pri vyčísľovaní daňových odpisov; účtovné a daňové odpisy sa rovnajú.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(4) Významné zmeny účtovných zásad a účtovných metód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V sledovanom účtovnom období nedošlo k významným zmenám účtovných zásad a účtovných metód.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(5) Informácie o poskytnutých dotáciách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Účtovnej jednotke neboli poskytnuté žiadne dotácie.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(6) Opravy významných chýb minulých účtovných období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V bežnom účtovnom období neboli účtované opravy významných chýb minulých účtovných období.</w:t>
      </w:r>
    </w:p>
    <w:p>
      <w:pPr>
        <w:spacing w:after="80" w:before="16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Článok III</w:t>
      </w:r>
    </w:p>
    <w:p>
      <w:pPr>
        <w:spacing w:after="80" w:before="16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Informácie, ktoré vysvetľujú a dopĺňajú súvahu a výkaz ziskov a strát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(1) Informácie o položkách nákladov alebo výnosov výnimočného rozsahu alebo výskytu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Účtovná jednotka neeviduje náklady ani výnosy výnimočného charakteru alebo rozsahu.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(2) Informácie o záväzkoch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0"/>
        <w:gridCol w:w="2360"/>
      </w:tblGrid>
      <w:tr>
        <w:tc>
          <w:tcPr>
            <w:tcW w:type="dxa" w:w="700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Názov položky</w:t>
            </w:r>
          </w:p>
        </w:tc>
        <w:tc>
          <w:tcPr>
            <w:tcW w:type="dxa" w:w="236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Suma (€)</w:t>
            </w:r>
          </w:p>
        </w:tc>
      </w:tr>
      <w:tr>
        <w:tc>
          <w:tcPr>
            <w:tcW w:type="dxa" w:w="700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Celková suma záväzkov so zostatkovou dobou splatnosti dlhšou ako päť rokov</w:t>
            </w:r>
          </w:p>
        </w:tc>
        <w:tc>
          <w:tcPr>
            <w:tcW w:type="dxa" w:w="236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0</w:t>
            </w:r>
          </w:p>
        </w:tc>
      </w:tr>
      <w:tr>
        <w:tc>
          <w:tcPr>
            <w:tcW w:type="dxa" w:w="700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Celková suma zabezpečených záväzkov</w:t>
            </w:r>
          </w:p>
        </w:tc>
        <w:tc>
          <w:tcPr>
            <w:tcW w:type="dxa" w:w="236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0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(3) Informácie o vlastných akciách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Účtovná jednotka nenadobudla ani nedržala vlastné akcie.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(4) Informácie o vytvorení kapitálového fondu z príspevkov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Účtovná jednotka nevytvorila kapitálový fond z príspevkov podľa § 123 ods. 2 a § 217a Obchodného zákonníka.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(5) Informácie o orgánoch účtovnej jednotky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Členom orgánov účtovnej jednotky neboli poskytnuté žiadne záruky, iné zabezpečenia ani pôžičky. Finančné prostriedky ani iné plnenia neboli použité na súkromné účely.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(6) Informácie o iných právach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Účtovnej jednotke nebolo udelené výlučné ani osobitné právo poskytovať služby vo verejnom záujme.</w:t>
      </w:r>
    </w:p>
    <w:p>
      <w:pPr>
        <w:spacing w:after="60" w:before="300"/>
      </w:pPr>
      <w:r>
        <w:rPr>
          <w:rFonts w:ascii="Arial" w:cs="Arial" w:eastAsia="Arial" w:hAnsi="Arial"/>
          <w:sz w:val="20"/>
          <w:szCs w:val="20"/>
        </w:rPr>
        <w:t xml:space="preserve">Zostavené dňa: ............................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Podpis štatutárneho orgánu: 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2026-07-08T20:04:02.995Z</dcterms:created>
  <dcterms:modified xsi:type="dcterms:W3CDTF">2026-07-08T20:04:03.011Z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