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1F4E4A"/>
          <w:sz w:val="34"/>
          <w:szCs w:val="34"/>
        </w:rPr>
        <w:t xml:space="preserve">POZNÁMKY</w:t>
      </w:r>
    </w:p>
    <w:p>
      <w:pPr>
        <w:spacing w:after="60"/>
        <w:jc w:val="center"/>
      </w:pPr>
      <w:r>
        <w:rPr>
          <w:rFonts w:ascii="Calibri" w:cs="Calibri" w:eastAsia="Calibri" w:hAnsi="Calibri"/>
          <w:sz w:val="24"/>
          <w:szCs w:val="24"/>
        </w:rPr>
        <w:t xml:space="preserve">k individuálnej účtovnej závierke</w:t>
      </w:r>
    </w:p>
    <w:p>
      <w:pPr>
        <w:spacing w:after="300"/>
        <w:jc w:val="center"/>
      </w:pPr>
      <w:r>
        <w:rPr>
          <w:rFonts w:ascii="Calibri" w:cs="Calibri" w:eastAsia="Calibri" w:hAnsi="Calibri"/>
          <w:b/>
          <w:bCs/>
          <w:sz w:val="24"/>
          <w:szCs w:val="24"/>
        </w:rPr>
        <w:t xml:space="preserve">zostavenej k 31. decembru 2025</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2600"/>
        <w:gridCol w:w="6400"/>
      </w:tblGrid>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Obchodné meno</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EVENTRA s. r. o.</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Sídlo</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Haanova 2601/46, 851 04 Bratislava-Petržalka</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IČO</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55 697 909</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DIČ</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2122061271</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Právna forma</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Spoločnosť s ručením obmedzeným</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SK NACE</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73110 – Reklamné agentúry</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Účtovné obdobie</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1. 1. 2025 – 31. 12. 2025</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Veľkostná skupina</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Mikro účtovná jednotka (§ 2 ods. 6 zákona č. 431/2002 Z. z.)</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Sústava účtovníctva</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Podvojné účtovníctvo</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Dátum zostavenia ÚZ</w:t>
            </w:r>
          </w:p>
        </w:tc>
        <w:tc>
          <w:tcPr>
            <w:tcW w:type="dxa" w:w="64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iCs/>
          <w:sz w:val="19"/>
          <w:szCs w:val="19"/>
        </w:rPr>
        <w:t xml:space="preserve">Poznámky sú zostavené v súlade s opatrením Ministerstva financií SR č. MF/15464/2013-74, ktorým sa ustanovujú podrobnosti o usporiadaní, označovaní a obsahovom vymedzení položiek individuálnej účtovnej závierky a rozsahu údajov určených z individuálnej účtovnej závierky na zverejnenie pre mikro účtovné jednotky, v znení neskorších predpisov.</w:t>
      </w:r>
    </w:p>
    <w:p>
      <w:pPr>
        <w:pStyle w:val="Heading1"/>
        <w:spacing w:after="140" w:before="280"/>
      </w:pPr>
      <w:r>
        <w:rPr>
          <w:rFonts w:ascii="Calibri" w:cs="Calibri" w:eastAsia="Calibri" w:hAnsi="Calibri"/>
          <w:b/>
          <w:bCs/>
          <w:caps w:val="false"/>
          <w:color w:val="1F4E4A"/>
          <w:sz w:val="23"/>
          <w:szCs w:val="23"/>
        </w:rPr>
        <w:t xml:space="preserve">Čl. I – Všeobecné informácie o účtovnej jednotke</w:t>
      </w:r>
    </w:p>
    <w:p>
      <w:pPr>
        <w:spacing w:after="80" w:before="180"/>
      </w:pPr>
      <w:r>
        <w:rPr>
          <w:rFonts w:ascii="Calibri" w:cs="Calibri" w:eastAsia="Calibri" w:hAnsi="Calibri"/>
          <w:b/>
          <w:bCs/>
          <w:sz w:val="21"/>
          <w:szCs w:val="21"/>
        </w:rPr>
        <w:t xml:space="preserve">1. Základné údaje</w:t>
      </w:r>
    </w:p>
    <w:p>
      <w:pPr>
        <w:spacing w:after="100" w:line="260"/>
        <w:jc w:val="both"/>
      </w:pPr>
      <w:r>
        <w:rPr>
          <w:rFonts w:ascii="Calibri" w:cs="Calibri" w:eastAsia="Calibri" w:hAnsi="Calibri"/>
          <w:b w:val="false"/>
          <w:bCs w:val="false"/>
          <w:i w:val="false"/>
          <w:iCs w:val="false"/>
          <w:sz w:val="21"/>
          <w:szCs w:val="21"/>
        </w:rPr>
        <w:t xml:space="preserve">Účtovná jednotka EVENTRA s. r. o. bola založená dňa [DOPLNIŤ] a vznikla dňom zápisu do Obchodného registra Okresného súdu Bratislava I dňa [DOPLNIŤ], oddiel: Sro, vložka č. [DOPLNIŤ].</w:t>
      </w:r>
    </w:p>
    <w:p>
      <w:pPr>
        <w:spacing w:after="100" w:line="260"/>
        <w:jc w:val="both"/>
      </w:pPr>
      <w:r>
        <w:rPr>
          <w:rFonts w:ascii="Calibri" w:cs="Calibri" w:eastAsia="Calibri" w:hAnsi="Calibri"/>
          <w:b w:val="false"/>
          <w:bCs w:val="false"/>
          <w:i w:val="false"/>
          <w:iCs w:val="false"/>
          <w:sz w:val="21"/>
          <w:szCs w:val="21"/>
        </w:rPr>
        <w:t xml:space="preserve">Sídlo spoločnosti: Haanova 2601/46, 851 04 Bratislava-Petržalka, Slovenská republika.</w:t>
      </w:r>
    </w:p>
    <w:p>
      <w:pPr>
        <w:spacing w:after="80" w:before="180"/>
      </w:pPr>
      <w:r>
        <w:rPr>
          <w:rFonts w:ascii="Calibri" w:cs="Calibri" w:eastAsia="Calibri" w:hAnsi="Calibri"/>
          <w:b/>
          <w:bCs/>
          <w:sz w:val="21"/>
          <w:szCs w:val="21"/>
        </w:rPr>
        <w:t xml:space="preserve">2. Opis hospodárskej činnosti</w:t>
      </w:r>
    </w:p>
    <w:p>
      <w:pPr>
        <w:spacing w:after="100" w:line="260"/>
        <w:jc w:val="both"/>
      </w:pPr>
      <w:r>
        <w:rPr>
          <w:rFonts w:ascii="Calibri" w:cs="Calibri" w:eastAsia="Calibri" w:hAnsi="Calibri"/>
          <w:b w:val="false"/>
          <w:bCs w:val="false"/>
          <w:i w:val="false"/>
          <w:iCs w:val="false"/>
          <w:sz w:val="21"/>
          <w:szCs w:val="21"/>
        </w:rPr>
        <w:t xml:space="preserve">Hlavným predmetom činnosti účtovnej jednotky podľa zápisu v obchodnom registri je reklamná a marketingová činnosť (SK NACE 73110 – Reklamné agentúry).</w:t>
      </w:r>
    </w:p>
    <w:p>
      <w:pPr>
        <w:spacing w:after="100" w:line="260"/>
        <w:jc w:val="both"/>
      </w:pPr>
      <w:r>
        <w:rPr>
          <w:rFonts w:ascii="Calibri" w:cs="Calibri" w:eastAsia="Calibri" w:hAnsi="Calibri"/>
          <w:b/>
          <w:bCs/>
          <w:i w:val="false"/>
          <w:iCs w:val="false"/>
          <w:sz w:val="21"/>
          <w:szCs w:val="21"/>
        </w:rPr>
        <w:t xml:space="preserve">V účtovnom období od 1. 1. 2025 do 31. 12. 2025 účtovná jednotka nevykonávala žiadnu podnikateľskú činnosť. Nedosiahla žiadne výnosy a nevznikli jej žiadne náklady. Účtovná závierka za rok 2025 je preto zostavená s nulovými hodnotami vo výkaze ziskov a strát.</w:t>
      </w:r>
    </w:p>
    <w:p>
      <w:pPr>
        <w:spacing w:after="80" w:before="180"/>
      </w:pPr>
      <w:r>
        <w:rPr>
          <w:rFonts w:ascii="Calibri" w:cs="Calibri" w:eastAsia="Calibri" w:hAnsi="Calibri"/>
          <w:b/>
          <w:bCs/>
          <w:sz w:val="21"/>
          <w:szCs w:val="21"/>
        </w:rPr>
        <w:t xml:space="preserve">3. Priemerný prepočítaný počet zamestnancov</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Ukazovateľ</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Bežné obdobie 2025</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Predchádzajúce obdobie 2024</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Priemerný prepočítaný počet zamestnancov</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z toho počet vedúcich zamestnancov</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Účtovná jednotka v účtovnom období nezamestnávala žiadnych zamestnancov.</w:t>
      </w:r>
    </w:p>
    <w:p>
      <w:pPr>
        <w:spacing w:after="80" w:before="180"/>
      </w:pPr>
      <w:r>
        <w:rPr>
          <w:rFonts w:ascii="Calibri" w:cs="Calibri" w:eastAsia="Calibri" w:hAnsi="Calibri"/>
          <w:b/>
          <w:bCs/>
          <w:sz w:val="21"/>
          <w:szCs w:val="21"/>
        </w:rPr>
        <w:t xml:space="preserve">4. Právny dôvod na zostavenie účtovnej závierky</w:t>
      </w:r>
    </w:p>
    <w:p>
      <w:pPr>
        <w:spacing w:after="100" w:line="260"/>
        <w:jc w:val="both"/>
      </w:pPr>
      <w:r>
        <w:rPr>
          <w:rFonts w:ascii="Calibri" w:cs="Calibri" w:eastAsia="Calibri" w:hAnsi="Calibri"/>
          <w:b w:val="false"/>
          <w:bCs w:val="false"/>
          <w:i w:val="false"/>
          <w:iCs w:val="false"/>
          <w:sz w:val="21"/>
          <w:szCs w:val="21"/>
        </w:rPr>
        <w:t xml:space="preserve">Účtovná závierka je zostavená ako riadna individuálna účtovná závierka podľa § 17 ods. 6 zákona č. 431/2002 Z. z. o účtovníctve v znení neskorších predpisov, za účtovné obdobie od 1. 1. 2025 do 31. 12. 2025.</w:t>
      </w:r>
    </w:p>
    <w:p>
      <w:pPr>
        <w:spacing w:after="80" w:before="180"/>
      </w:pPr>
      <w:r>
        <w:rPr>
          <w:rFonts w:ascii="Calibri" w:cs="Calibri" w:eastAsia="Calibri" w:hAnsi="Calibri"/>
          <w:b/>
          <w:bCs/>
          <w:sz w:val="21"/>
          <w:szCs w:val="21"/>
        </w:rPr>
        <w:t xml:space="preserve">5. Neobmedzené ručenie v iných účtovných jednotkách</w:t>
      </w:r>
    </w:p>
    <w:p>
      <w:pPr>
        <w:spacing w:after="100" w:line="260"/>
        <w:jc w:val="both"/>
      </w:pPr>
      <w:r>
        <w:rPr>
          <w:rFonts w:ascii="Calibri" w:cs="Calibri" w:eastAsia="Calibri" w:hAnsi="Calibri"/>
          <w:b w:val="false"/>
          <w:bCs w:val="false"/>
          <w:i w:val="false"/>
          <w:iCs w:val="false"/>
          <w:sz w:val="21"/>
          <w:szCs w:val="21"/>
        </w:rPr>
        <w:t xml:space="preserve">Účtovná jednotka nie je neobmedzene ručiacim spoločníkom v iných účtovných jednotkách podľa § 22 ods. 5 zákona č. 431/2002 Z. z.</w:t>
      </w:r>
    </w:p>
    <w:p>
      <w:pPr>
        <w:spacing w:after="80" w:before="180"/>
      </w:pPr>
      <w:r>
        <w:rPr>
          <w:rFonts w:ascii="Calibri" w:cs="Calibri" w:eastAsia="Calibri" w:hAnsi="Calibri"/>
          <w:b/>
          <w:bCs/>
          <w:sz w:val="21"/>
          <w:szCs w:val="21"/>
        </w:rPr>
        <w:t xml:space="preserve">6. Schválenie účtovnej závierky za predchádzajúce účtovné obdobie</w:t>
      </w:r>
    </w:p>
    <w:p>
      <w:pPr>
        <w:spacing w:after="100" w:line="260"/>
        <w:jc w:val="both"/>
      </w:pPr>
      <w:r>
        <w:rPr>
          <w:rFonts w:ascii="Calibri" w:cs="Calibri" w:eastAsia="Calibri" w:hAnsi="Calibri"/>
          <w:b w:val="false"/>
          <w:bCs w:val="false"/>
          <w:i w:val="false"/>
          <w:iCs w:val="false"/>
          <w:sz w:val="21"/>
          <w:szCs w:val="21"/>
        </w:rPr>
        <w:t xml:space="preserve">Účtovná závierka za predchádzajúce účtovné obdobie (rok 2024) bola schválená valným zhromaždením dňa [DOPLNIŤ].</w:t>
      </w:r>
    </w:p>
    <w:p>
      <w:pPr>
        <w:spacing w:after="80" w:before="180"/>
      </w:pPr>
      <w:r>
        <w:rPr>
          <w:rFonts w:ascii="Calibri" w:cs="Calibri" w:eastAsia="Calibri" w:hAnsi="Calibri"/>
          <w:b/>
          <w:bCs/>
          <w:sz w:val="21"/>
          <w:szCs w:val="21"/>
        </w:rPr>
        <w:t xml:space="preserve">7. Konsolidovaný celok</w:t>
      </w:r>
    </w:p>
    <w:p>
      <w:pPr>
        <w:spacing w:after="100" w:line="260"/>
        <w:jc w:val="both"/>
      </w:pPr>
      <w:r>
        <w:rPr>
          <w:rFonts w:ascii="Calibri" w:cs="Calibri" w:eastAsia="Calibri" w:hAnsi="Calibri"/>
          <w:b w:val="false"/>
          <w:bCs w:val="false"/>
          <w:i w:val="false"/>
          <w:iCs w:val="false"/>
          <w:sz w:val="21"/>
          <w:szCs w:val="21"/>
        </w:rPr>
        <w:t xml:space="preserve">Účtovná jednotka nie je súčasťou konsolidovaného celku a nemá povinnosť zostavovať konsolidovanú účtovnú závierku.</w:t>
      </w:r>
    </w:p>
    <w:p>
      <w:pPr>
        <w:spacing w:after="80" w:before="180"/>
      </w:pPr>
      <w:r>
        <w:rPr>
          <w:rFonts w:ascii="Calibri" w:cs="Calibri" w:eastAsia="Calibri" w:hAnsi="Calibri"/>
          <w:b/>
          <w:bCs/>
          <w:sz w:val="21"/>
          <w:szCs w:val="21"/>
        </w:rPr>
        <w:t xml:space="preserve">8. Overenie účtovnej závierky audítorom</w:t>
      </w:r>
    </w:p>
    <w:p>
      <w:pPr>
        <w:spacing w:after="100" w:line="260"/>
        <w:jc w:val="both"/>
      </w:pPr>
      <w:r>
        <w:rPr>
          <w:rFonts w:ascii="Calibri" w:cs="Calibri" w:eastAsia="Calibri" w:hAnsi="Calibri"/>
          <w:b w:val="false"/>
          <w:bCs w:val="false"/>
          <w:i w:val="false"/>
          <w:iCs w:val="false"/>
          <w:sz w:val="21"/>
          <w:szCs w:val="21"/>
        </w:rPr>
        <w:t xml:space="preserve">Účtovná jednotka nespĺňa podmienky podľa § 19 ods. 1 zákona č. 431/2002 Z. z., účtovná závierka nepodlieha overeniu audítorom.</w:t>
      </w:r>
    </w:p>
    <w:p>
      <w:pPr>
        <w:pStyle w:val="Heading1"/>
        <w:spacing w:after="140" w:before="280"/>
      </w:pPr>
      <w:r>
        <w:rPr>
          <w:rFonts w:ascii="Calibri" w:cs="Calibri" w:eastAsia="Calibri" w:hAnsi="Calibri"/>
          <w:b/>
          <w:bCs/>
          <w:caps w:val="false"/>
          <w:color w:val="1F4E4A"/>
          <w:sz w:val="23"/>
          <w:szCs w:val="23"/>
        </w:rPr>
        <w:t xml:space="preserve">Čl. II – Informácie o štatutárnom orgáne a spoločníkoch</w:t>
      </w:r>
    </w:p>
    <w:p>
      <w:pPr>
        <w:spacing w:after="80" w:before="180"/>
      </w:pPr>
      <w:r>
        <w:rPr>
          <w:rFonts w:ascii="Calibri" w:cs="Calibri" w:eastAsia="Calibri" w:hAnsi="Calibri"/>
          <w:b/>
          <w:bCs/>
          <w:sz w:val="21"/>
          <w:szCs w:val="21"/>
        </w:rPr>
        <w:t xml:space="preserve">1. Štatutárny orgán</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2600"/>
        <w:gridCol w:w="4200"/>
        <w:gridCol w:w="2200"/>
      </w:tblGrid>
      <w:tr>
        <w:tc>
          <w:tcPr>
            <w:tcW w:type="dxa" w:w="2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Funkcia</w:t>
            </w:r>
          </w:p>
        </w:tc>
        <w:tc>
          <w:tcPr>
            <w:tcW w:type="dxa" w:w="4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Meno a priezvisko</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Vznik funkcie</w:t>
            </w:r>
          </w:p>
        </w:tc>
      </w:tr>
      <w:tr>
        <w:tc>
          <w:tcPr>
            <w:tcW w:type="dxa" w:w="2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Konateľ</w:t>
            </w:r>
          </w:p>
        </w:tc>
        <w:tc>
          <w:tcPr>
            <w:tcW w:type="dxa" w:w="4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Spoločnosť nemá zriadenú dozornú radu.</w:t>
      </w:r>
    </w:p>
    <w:p>
      <w:pPr>
        <w:spacing w:after="80" w:before="180"/>
      </w:pPr>
      <w:r>
        <w:rPr>
          <w:rFonts w:ascii="Calibri" w:cs="Calibri" w:eastAsia="Calibri" w:hAnsi="Calibri"/>
          <w:b/>
          <w:bCs/>
          <w:sz w:val="21"/>
          <w:szCs w:val="21"/>
        </w:rPr>
        <w:t xml:space="preserve">2. Štruktúra spoločníkov</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Spoločník</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Vklad v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Podiel v %</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100,00</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V priebehu účtovného obdobia nedošlo k zmene v štruktúre spoločníkov ani k zmene výšky základného imania.</w:t>
      </w:r>
    </w:p>
    <w:p>
      <w:pPr>
        <w:pStyle w:val="Heading1"/>
        <w:spacing w:after="140" w:before="280"/>
      </w:pPr>
      <w:r>
        <w:rPr>
          <w:rFonts w:ascii="Calibri" w:cs="Calibri" w:eastAsia="Calibri" w:hAnsi="Calibri"/>
          <w:b/>
          <w:bCs/>
          <w:caps w:val="false"/>
          <w:color w:val="1F4E4A"/>
          <w:sz w:val="23"/>
          <w:szCs w:val="23"/>
        </w:rPr>
        <w:t xml:space="preserve">Čl. III – Informácie o prijatých účtovných zásadách a účtovných metódach</w:t>
      </w:r>
    </w:p>
    <w:p>
      <w:pPr>
        <w:spacing w:after="80" w:before="180"/>
      </w:pPr>
      <w:r>
        <w:rPr>
          <w:rFonts w:ascii="Calibri" w:cs="Calibri" w:eastAsia="Calibri" w:hAnsi="Calibri"/>
          <w:b/>
          <w:bCs/>
          <w:sz w:val="21"/>
          <w:szCs w:val="21"/>
        </w:rPr>
        <w:t xml:space="preserve">1. Predpoklad nepretržitého pokračovania činnosti</w:t>
      </w:r>
    </w:p>
    <w:p>
      <w:pPr>
        <w:spacing w:after="100" w:line="260"/>
        <w:jc w:val="both"/>
      </w:pPr>
      <w:r>
        <w:rPr>
          <w:rFonts w:ascii="Calibri" w:cs="Calibri" w:eastAsia="Calibri" w:hAnsi="Calibri"/>
          <w:b w:val="false"/>
          <w:bCs w:val="false"/>
          <w:i w:val="false"/>
          <w:iCs w:val="false"/>
          <w:sz w:val="21"/>
          <w:szCs w:val="21"/>
        </w:rPr>
        <w:t xml:space="preserve">Účtovná závierka bola zostavená za predpokladu nepretržitého pokračovania činnosti účtovnej jednotky v súlade s § 7 ods. 4 zákona č. 431/2002 Z. z. Ku dňu, ku ktorému sa zostavuje účtovná závierka, nie sú účtovnej jednotke známe skutočnosti, ktoré by ju obmedzovali alebo jej zabraňovali pokračovať v činnosti aj v období najmenej 12 mesiacov od dátumu zostavenia účtovnej závierky.</w:t>
      </w:r>
    </w:p>
    <w:p>
      <w:pPr>
        <w:spacing w:after="100" w:line="260"/>
        <w:jc w:val="both"/>
      </w:pPr>
      <w:r>
        <w:rPr>
          <w:rFonts w:ascii="Calibri" w:cs="Calibri" w:eastAsia="Calibri" w:hAnsi="Calibri"/>
          <w:b w:val="false"/>
          <w:bCs w:val="false"/>
          <w:i w:val="false"/>
          <w:iCs w:val="false"/>
          <w:sz w:val="21"/>
          <w:szCs w:val="21"/>
        </w:rPr>
        <w:t xml:space="preserve">Napriek tomu, že účtovná jednotka v roku 2025 nevykonávala podnikateľskú činnosť, spoločník a štatutárny orgán rozhodli o zachovaní spoločnosti a o obnovení jej činnosti v nasledujúcich účtovných obdobiach.</w:t>
      </w:r>
    </w:p>
    <w:p>
      <w:pPr>
        <w:spacing w:after="80" w:before="180"/>
      </w:pPr>
      <w:r>
        <w:rPr>
          <w:rFonts w:ascii="Calibri" w:cs="Calibri" w:eastAsia="Calibri" w:hAnsi="Calibri"/>
          <w:b/>
          <w:bCs/>
          <w:sz w:val="21"/>
          <w:szCs w:val="21"/>
        </w:rPr>
        <w:t xml:space="preserve">2. Zmeny účtovných zásad a účtovných metód</w:t>
      </w:r>
    </w:p>
    <w:p>
      <w:pPr>
        <w:spacing w:after="100" w:line="260"/>
        <w:jc w:val="both"/>
      </w:pPr>
      <w:r>
        <w:rPr>
          <w:rFonts w:ascii="Calibri" w:cs="Calibri" w:eastAsia="Calibri" w:hAnsi="Calibri"/>
          <w:b w:val="false"/>
          <w:bCs w:val="false"/>
          <w:i w:val="false"/>
          <w:iCs w:val="false"/>
          <w:sz w:val="21"/>
          <w:szCs w:val="21"/>
        </w:rPr>
        <w:t xml:space="preserve">V účtovnom období nedošlo k zmene účtovných zásad ani účtovných metód oproti predchádzajúcemu účtovnému obdobiu. Údaje bežného a predchádzajúceho účtovného obdobia sú vzájomne porovnateľné.</w:t>
      </w:r>
    </w:p>
    <w:p>
      <w:pPr>
        <w:spacing w:after="80" w:before="180"/>
      </w:pPr>
      <w:r>
        <w:rPr>
          <w:rFonts w:ascii="Calibri" w:cs="Calibri" w:eastAsia="Calibri" w:hAnsi="Calibri"/>
          <w:b/>
          <w:bCs/>
          <w:sz w:val="21"/>
          <w:szCs w:val="21"/>
        </w:rPr>
        <w:t xml:space="preserve">3. Spôsob oceňovania jednotlivých zložiek majetku a záväzkov</w:t>
      </w:r>
    </w:p>
    <w:p>
      <w:pPr>
        <w:spacing w:after="100" w:line="260"/>
        <w:ind w:left="340"/>
        <w:jc w:val="both"/>
      </w:pPr>
      <w:r>
        <w:rPr>
          <w:rFonts w:ascii="Calibri" w:cs="Calibri" w:eastAsia="Calibri" w:hAnsi="Calibri"/>
          <w:b w:val="false"/>
          <w:bCs w:val="false"/>
          <w:i w:val="false"/>
          <w:iCs w:val="false"/>
          <w:sz w:val="21"/>
          <w:szCs w:val="21"/>
        </w:rPr>
        <w:t xml:space="preserve">a) dlhodobý nehmotný a dlhodobý hmotný majetok obstaraný kúpou – obstarávacou cenou vrátane nákladov súvisiacich s obstaraním;</w:t>
      </w:r>
    </w:p>
    <w:p>
      <w:pPr>
        <w:spacing w:after="100" w:line="260"/>
        <w:ind w:left="340"/>
        <w:jc w:val="both"/>
      </w:pPr>
      <w:r>
        <w:rPr>
          <w:rFonts w:ascii="Calibri" w:cs="Calibri" w:eastAsia="Calibri" w:hAnsi="Calibri"/>
          <w:b w:val="false"/>
          <w:bCs w:val="false"/>
          <w:i w:val="false"/>
          <w:iCs w:val="false"/>
          <w:sz w:val="21"/>
          <w:szCs w:val="21"/>
        </w:rPr>
        <w:t xml:space="preserve">b) dlhodobý majetok obstaraný vlastnou činnosťou – vlastnými nákladmi;</w:t>
      </w:r>
    </w:p>
    <w:p>
      <w:pPr>
        <w:spacing w:after="100" w:line="260"/>
        <w:ind w:left="340"/>
        <w:jc w:val="both"/>
      </w:pPr>
      <w:r>
        <w:rPr>
          <w:rFonts w:ascii="Calibri" w:cs="Calibri" w:eastAsia="Calibri" w:hAnsi="Calibri"/>
          <w:b w:val="false"/>
          <w:bCs w:val="false"/>
          <w:i w:val="false"/>
          <w:iCs w:val="false"/>
          <w:sz w:val="21"/>
          <w:szCs w:val="21"/>
        </w:rPr>
        <w:t xml:space="preserve">c) dlhodobý majetok nadobudnutý bezodplatne – reálnou hodnotou;</w:t>
      </w:r>
    </w:p>
    <w:p>
      <w:pPr>
        <w:spacing w:after="100" w:line="260"/>
        <w:ind w:left="340"/>
        <w:jc w:val="both"/>
      </w:pPr>
      <w:r>
        <w:rPr>
          <w:rFonts w:ascii="Calibri" w:cs="Calibri" w:eastAsia="Calibri" w:hAnsi="Calibri"/>
          <w:b w:val="false"/>
          <w:bCs w:val="false"/>
          <w:i w:val="false"/>
          <w:iCs w:val="false"/>
          <w:sz w:val="21"/>
          <w:szCs w:val="21"/>
        </w:rPr>
        <w:t xml:space="preserve">d) zásoby obstarané kúpou – obstarávacou cenou; zásoby vytvorené vlastnou činnosťou – vlastnými nákladmi;</w:t>
      </w:r>
    </w:p>
    <w:p>
      <w:pPr>
        <w:spacing w:after="100" w:line="260"/>
        <w:ind w:left="340"/>
        <w:jc w:val="both"/>
      </w:pPr>
      <w:r>
        <w:rPr>
          <w:rFonts w:ascii="Calibri" w:cs="Calibri" w:eastAsia="Calibri" w:hAnsi="Calibri"/>
          <w:b w:val="false"/>
          <w:bCs w:val="false"/>
          <w:i w:val="false"/>
          <w:iCs w:val="false"/>
          <w:sz w:val="21"/>
          <w:szCs w:val="21"/>
        </w:rPr>
        <w:t xml:space="preserve">e) pohľadávky pri ich vzniku – menovitou hodnotou; postúpené pohľadávky – obstarávacou cenou;</w:t>
      </w:r>
    </w:p>
    <w:p>
      <w:pPr>
        <w:spacing w:after="100" w:line="260"/>
        <w:ind w:left="340"/>
        <w:jc w:val="both"/>
      </w:pPr>
      <w:r>
        <w:rPr>
          <w:rFonts w:ascii="Calibri" w:cs="Calibri" w:eastAsia="Calibri" w:hAnsi="Calibri"/>
          <w:b w:val="false"/>
          <w:bCs w:val="false"/>
          <w:i w:val="false"/>
          <w:iCs w:val="false"/>
          <w:sz w:val="21"/>
          <w:szCs w:val="21"/>
        </w:rPr>
        <w:t xml:space="preserve">f) peňažné prostriedky a ceniny – menovitou hodnotou;</w:t>
      </w:r>
    </w:p>
    <w:p>
      <w:pPr>
        <w:spacing w:after="100" w:line="260"/>
        <w:ind w:left="340"/>
        <w:jc w:val="both"/>
      </w:pPr>
      <w:r>
        <w:rPr>
          <w:rFonts w:ascii="Calibri" w:cs="Calibri" w:eastAsia="Calibri" w:hAnsi="Calibri"/>
          <w:b w:val="false"/>
          <w:bCs w:val="false"/>
          <w:i w:val="false"/>
          <w:iCs w:val="false"/>
          <w:sz w:val="21"/>
          <w:szCs w:val="21"/>
        </w:rPr>
        <w:t xml:space="preserve">g) záväzky vrátane rezerv, dlhopisov, pôžičiek a úverov – menovitou hodnotou; pri prevzatí – obstarávacou cenou.</w:t>
      </w:r>
    </w:p>
    <w:p>
      <w:pPr>
        <w:spacing w:after="100" w:line="260"/>
        <w:jc w:val="both"/>
      </w:pPr>
      <w:r>
        <w:rPr>
          <w:rFonts w:ascii="Calibri" w:cs="Calibri" w:eastAsia="Calibri" w:hAnsi="Calibri"/>
          <w:b w:val="false"/>
          <w:bCs w:val="false"/>
          <w:i w:val="false"/>
          <w:iCs w:val="false"/>
          <w:sz w:val="21"/>
          <w:szCs w:val="21"/>
        </w:rPr>
        <w:t xml:space="preserve">Účtovná jednotka ku dňu, ku ktorému sa zostavuje účtovná závierka, neevidovala žiadny dlhodobý majetok ani zásoby. Uvedené zásady oceňovania predstavujú všeobecne prijaté postupy účtovnej jednotky.</w:t>
      </w:r>
    </w:p>
    <w:p>
      <w:pPr>
        <w:spacing w:after="80" w:before="180"/>
      </w:pPr>
      <w:r>
        <w:rPr>
          <w:rFonts w:ascii="Calibri" w:cs="Calibri" w:eastAsia="Calibri" w:hAnsi="Calibri"/>
          <w:b/>
          <w:bCs/>
          <w:sz w:val="21"/>
          <w:szCs w:val="21"/>
        </w:rPr>
        <w:t xml:space="preserve">4. Odpisový plán</w:t>
      </w:r>
    </w:p>
    <w:p>
      <w:pPr>
        <w:spacing w:after="100" w:line="260"/>
        <w:jc w:val="both"/>
      </w:pPr>
      <w:r>
        <w:rPr>
          <w:rFonts w:ascii="Calibri" w:cs="Calibri" w:eastAsia="Calibri" w:hAnsi="Calibri"/>
          <w:b w:val="false"/>
          <w:bCs w:val="false"/>
          <w:i w:val="false"/>
          <w:iCs w:val="false"/>
          <w:sz w:val="21"/>
          <w:szCs w:val="21"/>
        </w:rPr>
        <w:t xml:space="preserve">Účtovná jednotka neeviduje dlhodobý hmotný ani dlhodobý nehmotný majetok, odpisový plán sa preto neuplatňoval a v účtovnom období neboli zaúčtované žiadne odpisy.</w:t>
      </w:r>
    </w:p>
    <w:p>
      <w:pPr>
        <w:spacing w:after="80" w:before="180"/>
      </w:pPr>
      <w:r>
        <w:rPr>
          <w:rFonts w:ascii="Calibri" w:cs="Calibri" w:eastAsia="Calibri" w:hAnsi="Calibri"/>
          <w:b/>
          <w:bCs/>
          <w:sz w:val="21"/>
          <w:szCs w:val="21"/>
        </w:rPr>
        <w:t xml:space="preserve">5. Opravné položky a rezervy</w:t>
      </w:r>
    </w:p>
    <w:p>
      <w:pPr>
        <w:spacing w:after="100" w:line="260"/>
        <w:jc w:val="both"/>
      </w:pPr>
      <w:r>
        <w:rPr>
          <w:rFonts w:ascii="Calibri" w:cs="Calibri" w:eastAsia="Calibri" w:hAnsi="Calibri"/>
          <w:b w:val="false"/>
          <w:bCs w:val="false"/>
          <w:i w:val="false"/>
          <w:iCs w:val="false"/>
          <w:sz w:val="21"/>
          <w:szCs w:val="21"/>
        </w:rPr>
        <w:t xml:space="preserve">V účtovnom období účtovná jednotka netvorila a nerozpúšťala žiadne opravné položky k majetku ani žiadne rezervy.</w:t>
      </w:r>
    </w:p>
    <w:p>
      <w:pPr>
        <w:spacing w:after="80" w:before="180"/>
      </w:pPr>
      <w:r>
        <w:rPr>
          <w:rFonts w:ascii="Calibri" w:cs="Calibri" w:eastAsia="Calibri" w:hAnsi="Calibri"/>
          <w:b/>
          <w:bCs/>
          <w:sz w:val="21"/>
          <w:szCs w:val="21"/>
        </w:rPr>
        <w:t xml:space="preserve">6. Prepočet údajov v cudzích menách</w:t>
      </w:r>
    </w:p>
    <w:p>
      <w:pPr>
        <w:spacing w:after="100" w:line="260"/>
        <w:jc w:val="both"/>
      </w:pPr>
      <w:r>
        <w:rPr>
          <w:rFonts w:ascii="Calibri" w:cs="Calibri" w:eastAsia="Calibri" w:hAnsi="Calibri"/>
          <w:b w:val="false"/>
          <w:bCs w:val="false"/>
          <w:i w:val="false"/>
          <w:iCs w:val="false"/>
          <w:sz w:val="21"/>
          <w:szCs w:val="21"/>
        </w:rPr>
        <w:t xml:space="preserve">Majetok a záväzky vyjadrené v cudzej mene sa ku dňu uskutočnenia účtovného prípadu prepočítavajú referenčným výmenným kurzom určeným a vyhláseným Európskou centrálnou bankou alebo Národnou bankou Slovenska v deň predchádzajúci dňu uskutočnenia účtovného prípadu, a ku dňu, ku ktorému sa zostavuje účtovná závierka, kurzom platným k tomuto dňu. V účtovnom období sa neuskutočnili žiadne účtovné prípady v cudzej mene.</w:t>
      </w:r>
    </w:p>
    <w:p>
      <w:pPr>
        <w:pStyle w:val="Heading1"/>
        <w:spacing w:after="140" w:before="280"/>
      </w:pPr>
      <w:r>
        <w:rPr>
          <w:rFonts w:ascii="Calibri" w:cs="Calibri" w:eastAsia="Calibri" w:hAnsi="Calibri"/>
          <w:b/>
          <w:bCs/>
          <w:caps w:val="false"/>
          <w:color w:val="1F4E4A"/>
          <w:sz w:val="23"/>
          <w:szCs w:val="23"/>
        </w:rPr>
        <w:t xml:space="preserve">Čl. IV – Informácie, ktoré dopĺňajú a vysvetľujú údaje v súvahe</w:t>
      </w:r>
    </w:p>
    <w:p>
      <w:pPr>
        <w:spacing w:after="80" w:before="180"/>
      </w:pPr>
      <w:r>
        <w:rPr>
          <w:rFonts w:ascii="Calibri" w:cs="Calibri" w:eastAsia="Calibri" w:hAnsi="Calibri"/>
          <w:b/>
          <w:bCs/>
          <w:sz w:val="21"/>
          <w:szCs w:val="21"/>
        </w:rPr>
        <w:t xml:space="preserve">1. Dlhodobý nehmotný a dlhodobý hmotný majetok</w:t>
      </w:r>
    </w:p>
    <w:p>
      <w:pPr>
        <w:spacing w:after="100" w:line="260"/>
        <w:jc w:val="both"/>
      </w:pPr>
      <w:r>
        <w:rPr>
          <w:rFonts w:ascii="Calibri" w:cs="Calibri" w:eastAsia="Calibri" w:hAnsi="Calibri"/>
          <w:b w:val="false"/>
          <w:bCs w:val="false"/>
          <w:i w:val="false"/>
          <w:iCs w:val="false"/>
          <w:sz w:val="21"/>
          <w:szCs w:val="21"/>
        </w:rPr>
        <w:t xml:space="preserve">Účtovná jednotka ku dňu 31. 12. 2025 ani ku dňu 31. 12. 2024 neevidovala žiadny dlhodobý nehmotný ani dlhodobý hmotný majetok. Prehľad o pohybe majetku sa preto neuvádza.</w:t>
      </w:r>
    </w:p>
    <w:p>
      <w:pPr>
        <w:spacing w:after="80" w:before="180"/>
      </w:pPr>
      <w:r>
        <w:rPr>
          <w:rFonts w:ascii="Calibri" w:cs="Calibri" w:eastAsia="Calibri" w:hAnsi="Calibri"/>
          <w:b/>
          <w:bCs/>
          <w:sz w:val="21"/>
          <w:szCs w:val="21"/>
        </w:rPr>
        <w:t xml:space="preserve">2. Dlhodobý finančný majetok</w:t>
      </w:r>
    </w:p>
    <w:p>
      <w:pPr>
        <w:spacing w:after="100" w:line="260"/>
        <w:jc w:val="both"/>
      </w:pPr>
      <w:r>
        <w:rPr>
          <w:rFonts w:ascii="Calibri" w:cs="Calibri" w:eastAsia="Calibri" w:hAnsi="Calibri"/>
          <w:b w:val="false"/>
          <w:bCs w:val="false"/>
          <w:i w:val="false"/>
          <w:iCs w:val="false"/>
          <w:sz w:val="21"/>
          <w:szCs w:val="21"/>
        </w:rPr>
        <w:t xml:space="preserve">Účtovná jednotka nevlastní žiadny dlhodobý finančný majetok, ani podiely v iných obchodných spoločnostiach.</w:t>
      </w:r>
    </w:p>
    <w:p>
      <w:pPr>
        <w:spacing w:after="80" w:before="180"/>
      </w:pPr>
      <w:r>
        <w:rPr>
          <w:rFonts w:ascii="Calibri" w:cs="Calibri" w:eastAsia="Calibri" w:hAnsi="Calibri"/>
          <w:b/>
          <w:bCs/>
          <w:sz w:val="21"/>
          <w:szCs w:val="21"/>
        </w:rPr>
        <w:t xml:space="preserve">3. Zásoby</w:t>
      </w:r>
    </w:p>
    <w:p>
      <w:pPr>
        <w:spacing w:after="100" w:line="260"/>
        <w:jc w:val="both"/>
      </w:pPr>
      <w:r>
        <w:rPr>
          <w:rFonts w:ascii="Calibri" w:cs="Calibri" w:eastAsia="Calibri" w:hAnsi="Calibri"/>
          <w:b w:val="false"/>
          <w:bCs w:val="false"/>
          <w:i w:val="false"/>
          <w:iCs w:val="false"/>
          <w:sz w:val="21"/>
          <w:szCs w:val="21"/>
        </w:rPr>
        <w:t xml:space="preserve">Účtovná jednotka ku dňu, ku ktorému sa zostavuje účtovná závierka, neevidovala žiadne zásoby.</w:t>
      </w:r>
    </w:p>
    <w:p>
      <w:pPr>
        <w:spacing w:after="80" w:before="180"/>
      </w:pPr>
      <w:r>
        <w:rPr>
          <w:rFonts w:ascii="Calibri" w:cs="Calibri" w:eastAsia="Calibri" w:hAnsi="Calibri"/>
          <w:b/>
          <w:bCs/>
          <w:sz w:val="21"/>
          <w:szCs w:val="21"/>
        </w:rPr>
        <w:t xml:space="preserve">4. Pohľadávky</w:t>
      </w:r>
    </w:p>
    <w:p>
      <w:pPr>
        <w:spacing w:after="100" w:line="260"/>
        <w:jc w:val="both"/>
      </w:pPr>
      <w:r>
        <w:rPr>
          <w:rFonts w:ascii="Calibri" w:cs="Calibri" w:eastAsia="Calibri" w:hAnsi="Calibri"/>
          <w:b w:val="false"/>
          <w:bCs w:val="false"/>
          <w:i w:val="false"/>
          <w:iCs w:val="false"/>
          <w:sz w:val="21"/>
          <w:szCs w:val="21"/>
        </w:rPr>
        <w:t xml:space="preserve">Účtovná jednotka neevidovala ku dňu 31. 12. 2025 žiadne pohľadávky. Nevznikli žiadne pohľadávky po lehote splatnosti a netvorili sa opravné položky k pohľadávkam.</w:t>
      </w:r>
    </w:p>
    <w:p>
      <w:pPr>
        <w:spacing w:after="80" w:before="180"/>
      </w:pPr>
      <w:r>
        <w:rPr>
          <w:rFonts w:ascii="Calibri" w:cs="Calibri" w:eastAsia="Calibri" w:hAnsi="Calibri"/>
          <w:b/>
          <w:bCs/>
          <w:sz w:val="21"/>
          <w:szCs w:val="21"/>
        </w:rPr>
        <w:t xml:space="preserve">5. Finančné účty</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Položka</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Peniaze v pokladnici</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Účty v bankách</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Finančné účty 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Účtovná jednotka nemá zriadený bankový účet s obmedzeným nakladaním, ani vinkulované peňažné prostriedky.</w:t>
      </w:r>
    </w:p>
    <w:p>
      <w:pPr>
        <w:spacing w:after="80" w:before="180"/>
      </w:pPr>
      <w:r>
        <w:rPr>
          <w:rFonts w:ascii="Calibri" w:cs="Calibri" w:eastAsia="Calibri" w:hAnsi="Calibri"/>
          <w:b/>
          <w:bCs/>
          <w:sz w:val="21"/>
          <w:szCs w:val="21"/>
        </w:rPr>
        <w:t xml:space="preserve">6. Vlastné imanie</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Položka vlastného imania</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Základné imanie</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Zákonný rezervný fond</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Výsledok hospodárenia minulých rokov</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Výsledok hospodárenia za účtovné obdobie po zdanení</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Vlastné imanie 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Základné imanie spoločnosti je v plnej výške splatené. V účtovnom období nedošlo k zvýšeniu ani zníženiu základného imania.</w:t>
      </w:r>
    </w:p>
    <w:p>
      <w:pPr>
        <w:spacing w:after="100" w:line="260"/>
        <w:jc w:val="both"/>
      </w:pPr>
      <w:r>
        <w:rPr>
          <w:rFonts w:ascii="Calibri" w:cs="Calibri" w:eastAsia="Calibri" w:hAnsi="Calibri"/>
          <w:b w:val="false"/>
          <w:bCs w:val="false"/>
          <w:i w:val="false"/>
          <w:iCs w:val="false"/>
          <w:sz w:val="21"/>
          <w:szCs w:val="21"/>
        </w:rPr>
        <w:t xml:space="preserve">Výsledok hospodárenia za účtovné obdobie 2025 je nulový, keďže účtovná jednotka nevykazuje žiadne výnosy ani náklady. Návrh na rozdelenie výsledku hospodárenia sa preto nepredkladá.</w:t>
      </w:r>
    </w:p>
    <w:p>
      <w:pPr>
        <w:spacing w:after="80" w:before="180"/>
      </w:pPr>
      <w:r>
        <w:rPr>
          <w:rFonts w:ascii="Calibri" w:cs="Calibri" w:eastAsia="Calibri" w:hAnsi="Calibri"/>
          <w:b/>
          <w:bCs/>
          <w:sz w:val="21"/>
          <w:szCs w:val="21"/>
        </w:rPr>
        <w:t xml:space="preserve">7. Rezervy</w:t>
      </w:r>
    </w:p>
    <w:p>
      <w:pPr>
        <w:spacing w:after="100" w:line="260"/>
        <w:jc w:val="both"/>
      </w:pPr>
      <w:r>
        <w:rPr>
          <w:rFonts w:ascii="Calibri" w:cs="Calibri" w:eastAsia="Calibri" w:hAnsi="Calibri"/>
          <w:b w:val="false"/>
          <w:bCs w:val="false"/>
          <w:i w:val="false"/>
          <w:iCs w:val="false"/>
          <w:sz w:val="21"/>
          <w:szCs w:val="21"/>
        </w:rPr>
        <w:t xml:space="preserve">Účtovná jednotka ku dňu 31. 12. 2025 neevidovala žiadne rezervy, zákonné ani ostatné. V účtovnom období neboli rezervy tvorené ani použité.</w:t>
      </w:r>
    </w:p>
    <w:p>
      <w:pPr>
        <w:spacing w:after="80" w:before="180"/>
      </w:pPr>
      <w:r>
        <w:rPr>
          <w:rFonts w:ascii="Calibri" w:cs="Calibri" w:eastAsia="Calibri" w:hAnsi="Calibri"/>
          <w:b/>
          <w:bCs/>
          <w:sz w:val="21"/>
          <w:szCs w:val="21"/>
        </w:rPr>
        <w:t xml:space="preserve">8. Záväzky</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Druh záväzku</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Stav k 31. 12.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Dlhodobé záväzky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Krátkodobé záväzky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Záväzky voči zamestnancom a zo sociálneho poistenia</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Daňové záväzky a dotácie</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Bankové úvery a výpomoci</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Záväzky 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Účtovná jednotka neeviduje záväzky so zostatkovou dobou splatnosti dlhšou ako päť rokov, ani záväzky zabezpečené záložným právom alebo inou formou zabezpečenia.</w:t>
      </w:r>
    </w:p>
    <w:p>
      <w:pPr>
        <w:spacing w:after="80" w:before="180"/>
      </w:pPr>
      <w:r>
        <w:rPr>
          <w:rFonts w:ascii="Calibri" w:cs="Calibri" w:eastAsia="Calibri" w:hAnsi="Calibri"/>
          <w:b/>
          <w:bCs/>
          <w:sz w:val="21"/>
          <w:szCs w:val="21"/>
        </w:rPr>
        <w:t xml:space="preserve">9. Odložená daň z príjmov</w:t>
      </w:r>
    </w:p>
    <w:p>
      <w:pPr>
        <w:spacing w:after="100" w:line="260"/>
        <w:jc w:val="both"/>
      </w:pPr>
      <w:r>
        <w:rPr>
          <w:rFonts w:ascii="Calibri" w:cs="Calibri" w:eastAsia="Calibri" w:hAnsi="Calibri"/>
          <w:b w:val="false"/>
          <w:bCs w:val="false"/>
          <w:i w:val="false"/>
          <w:iCs w:val="false"/>
          <w:sz w:val="21"/>
          <w:szCs w:val="21"/>
        </w:rPr>
        <w:t xml:space="preserve">Účtovná jednotka ako mikro účtovná jednotka o odloženej dani z príjmov neúčtuje v súlade s § 10 opatrenia MF SR č. MF/15464/2013-74.</w:t>
      </w:r>
    </w:p>
    <w:p>
      <w:pPr>
        <w:spacing w:after="80" w:before="180"/>
      </w:pPr>
      <w:r>
        <w:rPr>
          <w:rFonts w:ascii="Calibri" w:cs="Calibri" w:eastAsia="Calibri" w:hAnsi="Calibri"/>
          <w:b/>
          <w:bCs/>
          <w:sz w:val="21"/>
          <w:szCs w:val="21"/>
        </w:rPr>
        <w:t xml:space="preserve">10. Časové rozlíšenie</w:t>
      </w:r>
    </w:p>
    <w:p>
      <w:pPr>
        <w:spacing w:after="100" w:line="260"/>
        <w:jc w:val="both"/>
      </w:pPr>
      <w:r>
        <w:rPr>
          <w:rFonts w:ascii="Calibri" w:cs="Calibri" w:eastAsia="Calibri" w:hAnsi="Calibri"/>
          <w:b w:val="false"/>
          <w:bCs w:val="false"/>
          <w:i w:val="false"/>
          <w:iCs w:val="false"/>
          <w:sz w:val="21"/>
          <w:szCs w:val="21"/>
        </w:rPr>
        <w:t xml:space="preserve">Účtovná jednotka nevykazuje žiadne položky časového rozlíšenia na strane aktív ani pasív.</w:t>
      </w:r>
    </w:p>
    <w:p>
      <w:pPr>
        <w:pStyle w:val="Heading1"/>
        <w:spacing w:after="140" w:before="280"/>
      </w:pPr>
      <w:r>
        <w:rPr>
          <w:rFonts w:ascii="Calibri" w:cs="Calibri" w:eastAsia="Calibri" w:hAnsi="Calibri"/>
          <w:b/>
          <w:bCs/>
          <w:caps w:val="false"/>
          <w:color w:val="1F4E4A"/>
          <w:sz w:val="23"/>
          <w:szCs w:val="23"/>
        </w:rPr>
        <w:t xml:space="preserve">Čl. V – Informácie, ktoré dopĺňajú a vysvetľujú údaje vo výkaze ziskov a strát</w:t>
      </w:r>
    </w:p>
    <w:p>
      <w:pPr>
        <w:spacing w:after="80" w:before="180"/>
      </w:pPr>
      <w:r>
        <w:rPr>
          <w:rFonts w:ascii="Calibri" w:cs="Calibri" w:eastAsia="Calibri" w:hAnsi="Calibri"/>
          <w:b/>
          <w:bCs/>
          <w:sz w:val="21"/>
          <w:szCs w:val="21"/>
        </w:rPr>
        <w:t xml:space="preserve">1. Výnosy</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Druh výnosov</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Bežné obdobie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Predchádzajúce obdobie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Tržby z predaja vlastných výrobkov a služieb</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Tržby z predaja tovaru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Ostatné výnosy z hospodárskej činnosti</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Finančné výnosy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Výnosy 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Účtovná jednotka v roku 2025 nedosiahla žiadne výnosy. Tržby podľa jednotlivých typov výrobkov, tovaru a služieb ani podľa geografických oblastí sa preto neuvádzajú.</w:t>
      </w:r>
    </w:p>
    <w:p>
      <w:pPr>
        <w:spacing w:after="80" w:before="180"/>
      </w:pPr>
      <w:r>
        <w:rPr>
          <w:rFonts w:ascii="Calibri" w:cs="Calibri" w:eastAsia="Calibri" w:hAnsi="Calibri"/>
          <w:b/>
          <w:bCs/>
          <w:sz w:val="21"/>
          <w:szCs w:val="21"/>
        </w:rPr>
        <w:t xml:space="preserve">2. Náklady</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Druh nákladov</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Bežné obdobie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Predchádzajúce obdobie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Spotrebované nákupy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Služby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Osobné náklady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Dane a poplatky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Odpisy dlhodobého majetku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Ostatné náklady na hospodársku činnosť</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Finančné náklady</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Náklady spolu</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Účtovnej jednotke v roku 2025 nevznikli žiadne náklady. Neboli vynaložené náklady voči štatutárnemu audítorovi ani náklady na výskum a vývoj.</w:t>
      </w:r>
    </w:p>
    <w:p>
      <w:pPr>
        <w:spacing w:after="80" w:before="180"/>
      </w:pPr>
      <w:r>
        <w:rPr>
          <w:rFonts w:ascii="Calibri" w:cs="Calibri" w:eastAsia="Calibri" w:hAnsi="Calibri"/>
          <w:b/>
          <w:bCs/>
          <w:sz w:val="21"/>
          <w:szCs w:val="21"/>
        </w:rPr>
        <w:t xml:space="preserve">3. Výsledok hospodárenia a daň z príjmov</w:t>
      </w:r>
    </w:p>
    <w:tbl>
      <w:tblPr>
        <w:tblW w:type="dxa" w:w="9000"/>
        <w:tblBorders>
          <w:top w:val="single" w:color="B7C6C4" w:sz="4"/>
          <w:left w:val="single" w:color="B7C6C4" w:sz="4"/>
          <w:bottom w:val="single" w:color="B7C6C4" w:sz="4"/>
          <w:right w:val="single" w:color="B7C6C4" w:sz="4"/>
          <w:insideH w:val="single" w:color="D6DFDE" w:sz="4"/>
          <w:insideV w:val="single" w:color="D6DFDE" w:sz="4"/>
        </w:tblBorders>
      </w:tblPr>
      <w:tblGrid>
        <w:gridCol w:w="4600"/>
        <w:gridCol w:w="2200"/>
        <w:gridCol w:w="2200"/>
      </w:tblGrid>
      <w:tr>
        <w:tc>
          <w:tcPr>
            <w:tcW w:type="dxa" w:w="4600"/>
            <w:shd w:fill="EDF2F1" w:val="clear"/>
            <w:tcMar>
              <w:top w:type="dxa" w:w="60"/>
              <w:left w:type="dxa" w:w="100"/>
              <w:bottom w:type="dxa" w:w="60"/>
              <w:right w:type="dxa" w:w="100"/>
            </w:tcMar>
          </w:tcPr>
          <w:p>
            <w:pPr>
              <w:spacing w:after="0" w:line="240"/>
              <w:jc w:val="left"/>
            </w:pPr>
            <w:r>
              <w:rPr>
                <w:rFonts w:ascii="Calibri" w:cs="Calibri" w:eastAsia="Calibri" w:hAnsi="Calibri"/>
                <w:b/>
                <w:bCs/>
                <w:sz w:val="20"/>
                <w:szCs w:val="20"/>
              </w:rPr>
              <w:t xml:space="preserve">Položka</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Bežné obdobie 2025 (EUR)</w:t>
            </w:r>
          </w:p>
        </w:tc>
        <w:tc>
          <w:tcPr>
            <w:tcW w:type="dxa" w:w="2200"/>
            <w:shd w:fill="EDF2F1" w:val="clear"/>
            <w:tcMar>
              <w:top w:type="dxa" w:w="60"/>
              <w:left w:type="dxa" w:w="100"/>
              <w:bottom w:type="dxa" w:w="60"/>
              <w:right w:type="dxa" w:w="100"/>
            </w:tcMar>
          </w:tcPr>
          <w:p>
            <w:pPr>
              <w:spacing w:after="0" w:line="240"/>
              <w:jc w:val="right"/>
            </w:pPr>
            <w:r>
              <w:rPr>
                <w:rFonts w:ascii="Calibri" w:cs="Calibri" w:eastAsia="Calibri" w:hAnsi="Calibri"/>
                <w:b/>
                <w:bCs/>
                <w:sz w:val="20"/>
                <w:szCs w:val="20"/>
              </w:rPr>
              <w:t xml:space="preserve">Predchádzajúce obdobie 2024 (EUR)</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Výsledok hospodárenia pred zdanením</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Daň z príjmov splatná</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r>
        <w:tc>
          <w:tcPr>
            <w:tcW w:type="dxa" w:w="4600"/>
            <w:tcMar>
              <w:top w:type="dxa" w:w="60"/>
              <w:left w:type="dxa" w:w="100"/>
              <w:bottom w:type="dxa" w:w="60"/>
              <w:right w:type="dxa" w:w="100"/>
            </w:tcMar>
          </w:tcPr>
          <w:p>
            <w:pPr>
              <w:spacing w:after="0" w:line="240"/>
              <w:jc w:val="left"/>
            </w:pPr>
            <w:r>
              <w:rPr>
                <w:rFonts w:ascii="Calibri" w:cs="Calibri" w:eastAsia="Calibri" w:hAnsi="Calibri"/>
                <w:b w:val="false"/>
                <w:bCs w:val="false"/>
                <w:sz w:val="20"/>
                <w:szCs w:val="20"/>
              </w:rPr>
              <w:t xml:space="preserve">Výsledok hospodárenia po zdanení</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0,00</w:t>
            </w:r>
          </w:p>
        </w:tc>
        <w:tc>
          <w:tcPr>
            <w:tcW w:type="dxa" w:w="2200"/>
            <w:tcMar>
              <w:top w:type="dxa" w:w="60"/>
              <w:left w:type="dxa" w:w="100"/>
              <w:bottom w:type="dxa" w:w="60"/>
              <w:right w:type="dxa" w:w="100"/>
            </w:tcMar>
          </w:tcPr>
          <w:p>
            <w:pPr>
              <w:spacing w:after="0" w:line="240"/>
              <w:jc w:val="right"/>
            </w:pPr>
            <w:r>
              <w:rPr>
                <w:rFonts w:ascii="Calibri" w:cs="Calibri" w:eastAsia="Calibri" w:hAnsi="Calibri"/>
                <w:b w:val="false"/>
                <w:bCs w:val="false"/>
                <w:sz w:val="20"/>
                <w:szCs w:val="20"/>
              </w:rPr>
              <w:t xml:space="preserve">[DOPLNIŤ]</w:t>
            </w:r>
          </w:p>
        </w:tc>
      </w:tr>
    </w:tbl>
    <w:p>
      <w:pPr>
        <w:spacing w:after="100"/>
      </w:pPr>
      <w:r>
        <w:rPr>
          <w:sz w:val="12"/>
          <w:szCs w:val="12"/>
        </w:rPr>
        <w:t xml:space="preserve"/>
      </w:r>
    </w:p>
    <w:p>
      <w:pPr>
        <w:spacing w:after="100" w:line="260"/>
        <w:jc w:val="both"/>
      </w:pPr>
      <w:r>
        <w:rPr>
          <w:rFonts w:ascii="Calibri" w:cs="Calibri" w:eastAsia="Calibri" w:hAnsi="Calibri"/>
          <w:b w:val="false"/>
          <w:bCs w:val="false"/>
          <w:i w:val="false"/>
          <w:iCs w:val="false"/>
          <w:sz w:val="21"/>
          <w:szCs w:val="21"/>
        </w:rPr>
        <w:t xml:space="preserve">Základ dane z príjmov právnických osôb za rok 2025 je nulový. Daňová povinnosť sa posudzuje podľa zákona č. 595/2003 Z. z. o dani z príjmov v znení neskorších predpisov vrátane § 46b upravujúceho minimálnu daň právnickej osoby.</w:t>
      </w:r>
    </w:p>
    <w:p>
      <w:pPr>
        <w:pStyle w:val="Heading1"/>
        <w:spacing w:after="140" w:before="280"/>
      </w:pPr>
      <w:r>
        <w:rPr>
          <w:rFonts w:ascii="Calibri" w:cs="Calibri" w:eastAsia="Calibri" w:hAnsi="Calibri"/>
          <w:b/>
          <w:bCs/>
          <w:caps w:val="false"/>
          <w:color w:val="1F4E4A"/>
          <w:sz w:val="23"/>
          <w:szCs w:val="23"/>
        </w:rPr>
        <w:t xml:space="preserve">Čl. VI – Informácie o iných aktívach a iných pasívach</w:t>
      </w:r>
    </w:p>
    <w:p>
      <w:pPr>
        <w:spacing w:after="100" w:line="260"/>
        <w:jc w:val="both"/>
      </w:pPr>
      <w:r>
        <w:rPr>
          <w:rFonts w:ascii="Calibri" w:cs="Calibri" w:eastAsia="Calibri" w:hAnsi="Calibri"/>
          <w:b w:val="false"/>
          <w:bCs w:val="false"/>
          <w:i w:val="false"/>
          <w:iCs w:val="false"/>
          <w:sz w:val="21"/>
          <w:szCs w:val="21"/>
        </w:rPr>
        <w:t xml:space="preserve">Účtovná jednotka neeviduje žiadne podmienené záväzky ani podmienené aktíva vyplývajúce zo súdnych sporov, poskytnutých alebo prijatých záruk, ručení, zmeniek či iných zabezpečovacích prostriedkov.</w:t>
      </w:r>
    </w:p>
    <w:p>
      <w:pPr>
        <w:spacing w:after="100" w:line="260"/>
        <w:jc w:val="both"/>
      </w:pPr>
      <w:r>
        <w:rPr>
          <w:rFonts w:ascii="Calibri" w:cs="Calibri" w:eastAsia="Calibri" w:hAnsi="Calibri"/>
          <w:b w:val="false"/>
          <w:bCs w:val="false"/>
          <w:i w:val="false"/>
          <w:iCs w:val="false"/>
          <w:sz w:val="21"/>
          <w:szCs w:val="21"/>
        </w:rPr>
        <w:t xml:space="preserve">Účtovná jednotka nemá uzavreté nájomné zmluvy, zmluvy o finančnom prenájme ani iné zmluvy, z ktorých by jej vyplývali budúce finančné záväzky nevykázané v súvahe.</w:t>
      </w:r>
    </w:p>
    <w:p>
      <w:pPr>
        <w:spacing w:after="100" w:line="260"/>
        <w:jc w:val="both"/>
      </w:pPr>
      <w:r>
        <w:rPr>
          <w:rFonts w:ascii="Calibri" w:cs="Calibri" w:eastAsia="Calibri" w:hAnsi="Calibri"/>
          <w:b w:val="false"/>
          <w:bCs w:val="false"/>
          <w:i w:val="false"/>
          <w:iCs w:val="false"/>
          <w:sz w:val="21"/>
          <w:szCs w:val="21"/>
        </w:rPr>
        <w:t xml:space="preserve">Na podsúvahových účtoch nie sú vedené žiadne položky.</w:t>
      </w:r>
    </w:p>
    <w:p>
      <w:pPr>
        <w:pStyle w:val="Heading1"/>
        <w:spacing w:after="140" w:before="280"/>
      </w:pPr>
      <w:r>
        <w:rPr>
          <w:rFonts w:ascii="Calibri" w:cs="Calibri" w:eastAsia="Calibri" w:hAnsi="Calibri"/>
          <w:b/>
          <w:bCs/>
          <w:caps w:val="false"/>
          <w:color w:val="1F4E4A"/>
          <w:sz w:val="23"/>
          <w:szCs w:val="23"/>
        </w:rPr>
        <w:t xml:space="preserve">Čl. VII – Príjmy a výhody členov orgánov účtovnej jednotky</w:t>
      </w:r>
    </w:p>
    <w:p>
      <w:pPr>
        <w:spacing w:after="100" w:line="260"/>
        <w:jc w:val="both"/>
      </w:pPr>
      <w:r>
        <w:rPr>
          <w:rFonts w:ascii="Calibri" w:cs="Calibri" w:eastAsia="Calibri" w:hAnsi="Calibri"/>
          <w:b w:val="false"/>
          <w:bCs w:val="false"/>
          <w:i w:val="false"/>
          <w:iCs w:val="false"/>
          <w:sz w:val="21"/>
          <w:szCs w:val="21"/>
        </w:rPr>
        <w:t xml:space="preserve">Členom štatutárneho orgánu neboli v účtovnom období poskytnuté žiadne peňažné ani nepeňažné príjmy, odmeny, preddavky, pôžičky, záruky ani iné plnenia. Neboli poskytnuté ani žiadne dôchodkové záväzky voči bývalým členom orgánov.</w:t>
      </w:r>
    </w:p>
    <w:p>
      <w:pPr>
        <w:pStyle w:val="Heading1"/>
        <w:spacing w:after="140" w:before="280"/>
      </w:pPr>
      <w:r>
        <w:rPr>
          <w:rFonts w:ascii="Calibri" w:cs="Calibri" w:eastAsia="Calibri" w:hAnsi="Calibri"/>
          <w:b/>
          <w:bCs/>
          <w:caps w:val="false"/>
          <w:color w:val="1F4E4A"/>
          <w:sz w:val="23"/>
          <w:szCs w:val="23"/>
        </w:rPr>
        <w:t xml:space="preserve">Čl. VIII – Ekonomické vzťahy so spriaznenými osobami</w:t>
      </w:r>
    </w:p>
    <w:p>
      <w:pPr>
        <w:spacing w:after="100" w:line="260"/>
        <w:jc w:val="both"/>
      </w:pPr>
      <w:r>
        <w:rPr>
          <w:rFonts w:ascii="Calibri" w:cs="Calibri" w:eastAsia="Calibri" w:hAnsi="Calibri"/>
          <w:b w:val="false"/>
          <w:bCs w:val="false"/>
          <w:i w:val="false"/>
          <w:iCs w:val="false"/>
          <w:sz w:val="21"/>
          <w:szCs w:val="21"/>
        </w:rPr>
        <w:t xml:space="preserve">V účtovnom období 2025 neboli uskutočnené žiadne obchodné transakcie so spriaznenými osobami. Ku dňu, ku ktorému sa zostavuje účtovná závierka, účtovná jednotka neeviduje žiadne pohľadávky ani záväzky voči spoločníkovi, štatutárnemu orgánu ani voči iným spriazneným osobám.</w:t>
      </w:r>
    </w:p>
    <w:p>
      <w:pPr>
        <w:pStyle w:val="Heading1"/>
        <w:spacing w:after="140" w:before="280"/>
      </w:pPr>
      <w:r>
        <w:rPr>
          <w:rFonts w:ascii="Calibri" w:cs="Calibri" w:eastAsia="Calibri" w:hAnsi="Calibri"/>
          <w:b/>
          <w:bCs/>
          <w:caps w:val="false"/>
          <w:color w:val="1F4E4A"/>
          <w:sz w:val="23"/>
          <w:szCs w:val="23"/>
        </w:rPr>
        <w:t xml:space="preserve">Čl. IX – Skutočnosti, ktoré nastali po dni, ku ktorému sa zostavuje účtovná závierka</w:t>
      </w:r>
    </w:p>
    <w:p>
      <w:pPr>
        <w:spacing w:after="100" w:line="260"/>
        <w:jc w:val="both"/>
      </w:pPr>
      <w:r>
        <w:rPr>
          <w:rFonts w:ascii="Calibri" w:cs="Calibri" w:eastAsia="Calibri" w:hAnsi="Calibri"/>
          <w:b w:val="false"/>
          <w:bCs w:val="false"/>
          <w:i w:val="false"/>
          <w:iCs w:val="false"/>
          <w:sz w:val="21"/>
          <w:szCs w:val="21"/>
        </w:rPr>
        <w:t xml:space="preserve">Po 31. decembri 2025 do dňa zostavenia účtovnej závierky nenastali žiadne skutočnosti, ktoré by významným spôsobom ovplyvnili majetok, záväzky, finančnú situáciu alebo výsledok hospodárenia účtovnej jednotky, a ktoré by si vyžadovali úpravu alebo doplnenie údajov vykázaných v účtovnej závierke.</w:t>
      </w:r>
    </w:p>
    <w:p>
      <w:pPr>
        <w:spacing w:after="100" w:before="500"/>
      </w:pPr>
      <w:r>
        <w:rPr>
          <w:sz w:val="20"/>
          <w:szCs w:val="20"/>
        </w:rPr>
        <w:t xml:space="preserve"/>
      </w:r>
    </w:p>
    <w:p>
      <w:pPr>
        <w:spacing w:after="100" w:line="260"/>
        <w:jc w:val="both"/>
      </w:pPr>
      <w:r>
        <w:rPr>
          <w:rFonts w:ascii="Calibri" w:cs="Calibri" w:eastAsia="Calibri" w:hAnsi="Calibri"/>
          <w:b w:val="false"/>
          <w:bCs w:val="false"/>
          <w:i w:val="false"/>
          <w:iCs w:val="false"/>
          <w:sz w:val="21"/>
          <w:szCs w:val="21"/>
        </w:rPr>
        <w:t xml:space="preserve">V Bratislave, dňa [DOPLNIŤ]</w:t>
      </w:r>
    </w:p>
    <w:p>
      <w:pPr>
        <w:spacing w:after="0" w:before="600"/>
      </w:pPr>
      <w:r>
        <w:rPr>
          <w:sz w:val="20"/>
          <w:szCs w:val="20"/>
        </w:rPr>
        <w:t xml:space="preserve"/>
      </w:r>
    </w:p>
    <w:tbl>
      <w:tblPr>
        <w:tblW w:type="dxa" w:w="8800"/>
        <w:tblBorders>
          <w:top w:val="none"/>
          <w:left w:val="none"/>
          <w:bottom w:val="none"/>
          <w:right w:val="none"/>
          <w:insideH w:val="none"/>
          <w:insideV w:val="none"/>
        </w:tblBorders>
      </w:tblPr>
      <w:tblGrid>
        <w:gridCol w:w="3600"/>
        <w:gridCol w:w="1600"/>
        <w:gridCol w:w="3600"/>
      </w:tblGrid>
      <w:tr>
        <w:tc>
          <w:tcPr>
            <w:tcW w:type="dxa" w:w="3600"/>
            <w:tcBorders>
              <w:top w:val="single" w:color="000000" w:sz="4"/>
              <w:left w:val="none"/>
              <w:bottom w:val="none"/>
              <w:right w:val="none"/>
            </w:tcBorders>
            <w:tcMar>
              <w:top w:type="dxa" w:w="80"/>
            </w:tcMar>
          </w:tcPr>
          <w:p>
            <w:pPr>
              <w:spacing w:after="0"/>
              <w:jc w:val="center"/>
            </w:pPr>
            <w:r>
              <w:rPr>
                <w:rFonts w:ascii="Calibri" w:cs="Calibri" w:eastAsia="Calibri" w:hAnsi="Calibri"/>
                <w:sz w:val="20"/>
                <w:szCs w:val="20"/>
              </w:rPr>
              <w:t xml:space="preserve"/>
            </w:r>
          </w:p>
        </w:tc>
        <w:tc>
          <w:tcPr>
            <w:tcW w:type="dxa" w:w="1600"/>
            <w:tcBorders>
              <w:top w:val="none"/>
              <w:left w:val="none"/>
              <w:bottom w:val="none"/>
              <w:right w:val="none"/>
            </w:tcBorders>
            <w:tcMar>
              <w:top w:type="dxa" w:w="80"/>
            </w:tcMar>
          </w:tcPr>
          <w:p>
            <w:pPr>
              <w:spacing w:after="0"/>
              <w:jc w:val="center"/>
            </w:pPr>
            <w:r>
              <w:rPr>
                <w:rFonts w:ascii="Calibri" w:cs="Calibri" w:eastAsia="Calibri" w:hAnsi="Calibri"/>
                <w:sz w:val="20"/>
                <w:szCs w:val="20"/>
              </w:rPr>
              <w:t xml:space="preserve"/>
            </w:r>
          </w:p>
        </w:tc>
        <w:tc>
          <w:tcPr>
            <w:tcW w:type="dxa" w:w="3600"/>
            <w:tcBorders>
              <w:top w:val="single" w:color="000000" w:sz="4"/>
              <w:left w:val="none"/>
              <w:bottom w:val="none"/>
              <w:right w:val="none"/>
            </w:tcBorders>
            <w:tcMar>
              <w:top w:type="dxa" w:w="80"/>
            </w:tcMar>
          </w:tcPr>
          <w:p>
            <w:pPr>
              <w:spacing w:after="0"/>
              <w:jc w:val="center"/>
            </w:pPr>
            <w:r>
              <w:rPr>
                <w:rFonts w:ascii="Calibri" w:cs="Calibri" w:eastAsia="Calibri" w:hAnsi="Calibri"/>
                <w:sz w:val="20"/>
                <w:szCs w:val="20"/>
              </w:rPr>
              <w:t xml:space="preserve"/>
            </w:r>
          </w:p>
        </w:tc>
      </w:tr>
      <w:tr>
        <w:tc>
          <w:tcPr>
            <w:tcW w:type="dxa" w:w="3600"/>
            <w:tcBorders>
              <w:top w:val="none"/>
              <w:left w:val="none"/>
              <w:bottom w:val="none"/>
              <w:right w:val="none"/>
            </w:tcBorders>
          </w:tcPr>
          <w:p>
            <w:pPr>
              <w:spacing w:after="0"/>
              <w:jc w:val="center"/>
            </w:pPr>
            <w:r>
              <w:rPr>
                <w:rFonts w:ascii="Calibri" w:cs="Calibri" w:eastAsia="Calibri" w:hAnsi="Calibri"/>
                <w:sz w:val="19"/>
                <w:szCs w:val="19"/>
              </w:rPr>
              <w:t xml:space="preserve">Konateľ spoločnosti</w:t>
            </w:r>
          </w:p>
        </w:tc>
        <w:tc>
          <w:tcPr>
            <w:tcW w:type="dxa" w:w="1600"/>
            <w:tcBorders>
              <w:top w:val="none"/>
              <w:left w:val="none"/>
              <w:bottom w:val="none"/>
              <w:right w:val="none"/>
            </w:tcBorders>
          </w:tcPr>
          <w:p>
            <w:pPr>
              <w:spacing w:after="0"/>
              <w:jc w:val="center"/>
            </w:pPr>
            <w:r>
              <w:rPr>
                <w:rFonts w:ascii="Calibri" w:cs="Calibri" w:eastAsia="Calibri" w:hAnsi="Calibri"/>
                <w:sz w:val="19"/>
                <w:szCs w:val="19"/>
              </w:rPr>
              <w:t xml:space="preserve"/>
            </w:r>
          </w:p>
        </w:tc>
        <w:tc>
          <w:tcPr>
            <w:tcW w:type="dxa" w:w="3600"/>
            <w:tcBorders>
              <w:top w:val="none"/>
              <w:left w:val="none"/>
              <w:bottom w:val="none"/>
              <w:right w:val="none"/>
            </w:tcBorders>
          </w:tcPr>
          <w:p>
            <w:pPr>
              <w:spacing w:after="0"/>
              <w:jc w:val="center"/>
            </w:pPr>
            <w:r>
              <w:rPr>
                <w:rFonts w:ascii="Calibri" w:cs="Calibri" w:eastAsia="Calibri" w:hAnsi="Calibri"/>
                <w:sz w:val="19"/>
                <w:szCs w:val="19"/>
              </w:rPr>
              <w:t xml:space="preserve">Osoba zodpovedná za vedenie účtovníctva</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EVENTRA s. r. o. – Poznámky k účtovnej závierke k 31. 12. 2025 | strana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2026-08-20T19:04:23.808Z</dcterms:created>
  <dcterms:modified xsi:type="dcterms:W3CDTF">2026-08-20T19:04:23.808Z</dcterms:modified>
</cp:coreProperties>
</file>

<file path=docProps/custom.xml><?xml version="1.0" encoding="utf-8"?>
<Properties xmlns="http://schemas.openxmlformats.org/officeDocument/2006/custom-properties" xmlns:vt="http://schemas.openxmlformats.org/officeDocument/2006/docPropsVTypes"/>
</file>