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A261" w14:textId="77777777" w:rsidR="00CE4463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POZNÁMKY</w:t>
      </w:r>
    </w:p>
    <w:p w14:paraId="246E13B8" w14:textId="77777777" w:rsidR="00CE4463" w:rsidRDefault="00000000">
      <w:pPr>
        <w:spacing w:after="60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k účtovnej závierke </w:t>
      </w:r>
      <w:proofErr w:type="spellStart"/>
      <w:r>
        <w:rPr>
          <w:rFonts w:ascii="Calibri" w:eastAsia="Calibri" w:hAnsi="Calibri" w:cs="Calibri"/>
          <w:sz w:val="24"/>
          <w:szCs w:val="24"/>
        </w:rPr>
        <w:t>mikro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účtovnej jednotky (</w:t>
      </w:r>
      <w:proofErr w:type="spellStart"/>
      <w:r>
        <w:rPr>
          <w:rFonts w:ascii="Calibri" w:eastAsia="Calibri" w:hAnsi="Calibri" w:cs="Calibri"/>
          <w:sz w:val="24"/>
          <w:szCs w:val="24"/>
        </w:rPr>
        <w:t>Úč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MÚJ 3-01)</w:t>
      </w:r>
    </w:p>
    <w:p w14:paraId="2DF74154" w14:textId="77777777" w:rsidR="00CE4463" w:rsidRDefault="00000000">
      <w:pPr>
        <w:spacing w:after="300"/>
        <w:jc w:val="center"/>
      </w:pPr>
      <w:r>
        <w:rPr>
          <w:rFonts w:ascii="Calibri" w:eastAsia="Calibri" w:hAnsi="Calibri" w:cs="Calibri"/>
          <w:i/>
          <w:iCs/>
          <w:sz w:val="21"/>
          <w:szCs w:val="21"/>
        </w:rPr>
        <w:t>zostavenej k 31. 12. 2025 – riadna účtovná závierka za obdobie 1. 1. 2025 – 31. 12. 2025</w:t>
      </w:r>
    </w:p>
    <w:p w14:paraId="56FB1D10" w14:textId="77777777" w:rsidR="00CE4463" w:rsidRDefault="00000000">
      <w:pPr>
        <w:pStyle w:val="Nadpis1"/>
        <w:spacing w:before="320" w:after="160"/>
      </w:pPr>
      <w:r>
        <w:rPr>
          <w:rFonts w:ascii="Calibri" w:eastAsia="Calibri" w:hAnsi="Calibri" w:cs="Calibri"/>
          <w:b/>
          <w:bCs/>
          <w:sz w:val="26"/>
          <w:szCs w:val="26"/>
        </w:rPr>
        <w:t>Čl. I – Všeobecné informácie o účtovnej jednotke</w:t>
      </w:r>
    </w:p>
    <w:p w14:paraId="7A96D457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1. Identifikačné údaje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CE4463" w14:paraId="281FA7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CF7A2" w14:textId="77777777" w:rsidR="00CE4463" w:rsidRDefault="00000000">
            <w:r>
              <w:rPr>
                <w:rFonts w:ascii="Calibri" w:eastAsia="Calibri" w:hAnsi="Calibri" w:cs="Calibri"/>
                <w:b/>
                <w:bCs/>
              </w:rPr>
              <w:t>Údaj</w:t>
            </w:r>
          </w:p>
        </w:tc>
        <w:tc>
          <w:tcPr>
            <w:tcW w:w="5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4B63B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Hodnota</w:t>
            </w:r>
          </w:p>
        </w:tc>
      </w:tr>
      <w:tr w:rsidR="00CE4463" w14:paraId="46BB3CB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EE683" w14:textId="77777777" w:rsidR="00CE4463" w:rsidRDefault="00000000">
            <w:r>
              <w:rPr>
                <w:rFonts w:ascii="Calibri" w:eastAsia="Calibri" w:hAnsi="Calibri" w:cs="Calibri"/>
              </w:rPr>
              <w:t>Obchodné meno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E28A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AH–STAV, s. r. o.</w:t>
            </w:r>
          </w:p>
        </w:tc>
      </w:tr>
      <w:tr w:rsidR="00CE4463" w14:paraId="7F1A7E4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4A6BA" w14:textId="77777777" w:rsidR="00CE4463" w:rsidRDefault="00000000">
            <w:r>
              <w:rPr>
                <w:rFonts w:ascii="Calibri" w:eastAsia="Calibri" w:hAnsi="Calibri" w:cs="Calibri"/>
              </w:rPr>
              <w:t>Sídlo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CDF2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Nová 1051/42, 908 85 Brodské</w:t>
            </w:r>
          </w:p>
        </w:tc>
      </w:tr>
      <w:tr w:rsidR="00CE4463" w14:paraId="38B81F0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AC41B" w14:textId="77777777" w:rsidR="00CE4463" w:rsidRDefault="00000000">
            <w:r>
              <w:rPr>
                <w:rFonts w:ascii="Calibri" w:eastAsia="Calibri" w:hAnsi="Calibri" w:cs="Calibri"/>
              </w:rPr>
              <w:t>IČO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20BB6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53 564 154</w:t>
            </w:r>
          </w:p>
        </w:tc>
      </w:tr>
      <w:tr w:rsidR="00CE4463" w14:paraId="4D308E96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B4E8D" w14:textId="77777777" w:rsidR="00CE4463" w:rsidRDefault="00000000">
            <w:r>
              <w:rPr>
                <w:rFonts w:ascii="Calibri" w:eastAsia="Calibri" w:hAnsi="Calibri" w:cs="Calibri"/>
              </w:rPr>
              <w:t>DIČ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12621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2121451211</w:t>
            </w:r>
          </w:p>
        </w:tc>
      </w:tr>
      <w:tr w:rsidR="00CE4463" w14:paraId="1B52DE5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AFF16" w14:textId="77777777" w:rsidR="00CE4463" w:rsidRDefault="00000000">
            <w:r>
              <w:rPr>
                <w:rFonts w:ascii="Calibri" w:eastAsia="Calibri" w:hAnsi="Calibri" w:cs="Calibri"/>
              </w:rPr>
              <w:t>Právna forma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8CCBB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Spoločnosť s ručením obmedzeným</w:t>
            </w:r>
          </w:p>
        </w:tc>
      </w:tr>
      <w:tr w:rsidR="00CE4463" w14:paraId="6F89B6C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7FF6D" w14:textId="77777777" w:rsidR="00CE4463" w:rsidRDefault="00000000">
            <w:r>
              <w:rPr>
                <w:rFonts w:ascii="Calibri" w:eastAsia="Calibri" w:hAnsi="Calibri" w:cs="Calibri"/>
              </w:rPr>
              <w:t>Predmet činnosti (SK NACE)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EDA4D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16.23.1 – Výroba iných stavebných stolárskych a tesárskych výrobkov</w:t>
            </w:r>
          </w:p>
        </w:tc>
      </w:tr>
      <w:tr w:rsidR="00CE4463" w14:paraId="54CACBA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5E569" w14:textId="77777777" w:rsidR="00CE4463" w:rsidRDefault="00000000">
            <w:r>
              <w:rPr>
                <w:rFonts w:ascii="Calibri" w:eastAsia="Calibri" w:hAnsi="Calibri" w:cs="Calibri"/>
              </w:rPr>
              <w:t>Deň vzniku spoločnosti / zápis do OR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E9D06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[DOPLNIŤ]</w:t>
            </w:r>
          </w:p>
        </w:tc>
      </w:tr>
      <w:tr w:rsidR="00CE4463" w14:paraId="49BD07C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331F7" w14:textId="77777777" w:rsidR="00CE4463" w:rsidRDefault="00000000">
            <w:r>
              <w:rPr>
                <w:rFonts w:ascii="Calibri" w:eastAsia="Calibri" w:hAnsi="Calibri" w:cs="Calibri"/>
              </w:rPr>
              <w:t>Priemerný prepočítaný počet zamestnancov v roku 2025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08CF9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[DOPLNIŤ]</w:t>
            </w:r>
          </w:p>
        </w:tc>
      </w:tr>
      <w:tr w:rsidR="00CE4463" w14:paraId="34D4FB9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0F7B2" w14:textId="77777777" w:rsidR="00CE4463" w:rsidRDefault="00000000">
            <w:r>
              <w:rPr>
                <w:rFonts w:ascii="Calibri" w:eastAsia="Calibri" w:hAnsi="Calibri" w:cs="Calibri"/>
              </w:rPr>
              <w:t>Štatutárny orgán (konateľ)</w:t>
            </w:r>
          </w:p>
        </w:tc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B58A9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[DOPLNIŤ]</w:t>
            </w:r>
          </w:p>
        </w:tc>
      </w:tr>
    </w:tbl>
    <w:p w14:paraId="69C4085F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2. Druh a obdobie účtovnej závierky</w:t>
      </w:r>
    </w:p>
    <w:p w14:paraId="208219C7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Ide o riadnu individuálnu účtovnú závierku zostavenú k 31. 12. 2025 za účtovné obdobie od 1. 1. 2025 do 31. 12. 2025. Na porovnanie sú uvedené údaje za bezprostredne predchádzajúce účtovné obdobie od 1. 1. 2024 do 31. 12. 2024.</w:t>
      </w:r>
    </w:p>
    <w:p w14:paraId="3A23A509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Účtovná závierka je zostavená ako </w:t>
      </w:r>
      <w:proofErr w:type="spellStart"/>
      <w:r>
        <w:rPr>
          <w:rFonts w:ascii="Calibri" w:eastAsia="Calibri" w:hAnsi="Calibri" w:cs="Calibri"/>
          <w:sz w:val="21"/>
          <w:szCs w:val="21"/>
        </w:rPr>
        <w:t>mikro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účtovná jednotka podľa opatrenia MF SR upravujúceho postupy účtovania pre </w:t>
      </w:r>
      <w:proofErr w:type="spellStart"/>
      <w:r>
        <w:rPr>
          <w:rFonts w:ascii="Calibri" w:eastAsia="Calibri" w:hAnsi="Calibri" w:cs="Calibri"/>
          <w:sz w:val="21"/>
          <w:szCs w:val="21"/>
        </w:rPr>
        <w:t>mikro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účtovné jednotky, v celých eurách.</w:t>
      </w:r>
    </w:p>
    <w:p w14:paraId="047F1786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Účtovná závierka bola zostavená dňa 31. 3. 2026 a bude schválená dňa 30. 6. 2026.</w:t>
      </w:r>
    </w:p>
    <w:p w14:paraId="4B9AB791" w14:textId="77777777" w:rsidR="00CE4463" w:rsidRDefault="00000000">
      <w:pPr>
        <w:pStyle w:val="Nadpis1"/>
        <w:spacing w:before="320" w:after="160"/>
      </w:pPr>
      <w:r>
        <w:rPr>
          <w:rFonts w:ascii="Calibri" w:eastAsia="Calibri" w:hAnsi="Calibri" w:cs="Calibri"/>
          <w:b/>
          <w:bCs/>
          <w:sz w:val="26"/>
          <w:szCs w:val="26"/>
        </w:rPr>
        <w:t>Čl. II – Informácie o účtovných zásadách a účtovných metódach</w:t>
      </w:r>
    </w:p>
    <w:p w14:paraId="09810AA6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1. Všeobecné účtovné zásady</w:t>
      </w:r>
    </w:p>
    <w:p w14:paraId="36823508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 xml:space="preserve">Účtovná závierka je zostavená v súlade so zákonom č. 431/2002 Z. z. o účtovníctve a opatrením MF SR o postupoch účtovania pre </w:t>
      </w:r>
      <w:proofErr w:type="spellStart"/>
      <w:r>
        <w:rPr>
          <w:rFonts w:ascii="Calibri" w:eastAsia="Calibri" w:hAnsi="Calibri" w:cs="Calibri"/>
          <w:sz w:val="21"/>
          <w:szCs w:val="21"/>
        </w:rPr>
        <w:t>mikro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účtovné jednotky.</w:t>
      </w:r>
    </w:p>
    <w:p w14:paraId="3C394C9F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Účtovníctvo sa vedie podľa zásady historických cien, ak nie je pri jednotlivej položke uvedené inak.</w:t>
      </w:r>
    </w:p>
    <w:p w14:paraId="7D3D4BFF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Účtovná jednotka účtuje v sústave podvojného účtovníctva a používa peňažnú jednotku euro.</w:t>
      </w:r>
    </w:p>
    <w:p w14:paraId="3399667B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2. Nepretržité trvanie účtovnej jednotky (</w:t>
      </w:r>
      <w:proofErr w:type="spellStart"/>
      <w:r>
        <w:rPr>
          <w:rFonts w:ascii="Calibri" w:eastAsia="Calibri" w:hAnsi="Calibri" w:cs="Calibri"/>
          <w:b/>
          <w:bCs/>
          <w:sz w:val="23"/>
          <w:szCs w:val="23"/>
        </w:rPr>
        <w:t>going</w:t>
      </w:r>
      <w:proofErr w:type="spellEnd"/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3"/>
          <w:szCs w:val="23"/>
        </w:rPr>
        <w:t>concern</w:t>
      </w:r>
      <w:proofErr w:type="spellEnd"/>
      <w:r>
        <w:rPr>
          <w:rFonts w:ascii="Calibri" w:eastAsia="Calibri" w:hAnsi="Calibri" w:cs="Calibri"/>
          <w:b/>
          <w:bCs/>
          <w:sz w:val="23"/>
          <w:szCs w:val="23"/>
        </w:rPr>
        <w:t>) a nadchádzajúca likvidácia</w:t>
      </w:r>
    </w:p>
    <w:p w14:paraId="1EFD4571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Táto účtovná závierka k 31. 12. 2025 bola zostavená na základe predpokladu nepretržitého pokračovania v činnosti (</w:t>
      </w:r>
      <w:proofErr w:type="spellStart"/>
      <w:r>
        <w:rPr>
          <w:rFonts w:ascii="Calibri" w:eastAsia="Calibri" w:hAnsi="Calibri" w:cs="Calibri"/>
          <w:sz w:val="21"/>
          <w:szCs w:val="21"/>
        </w:rPr>
        <w:t>going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concern</w:t>
      </w:r>
      <w:proofErr w:type="spellEnd"/>
      <w:r>
        <w:rPr>
          <w:rFonts w:ascii="Calibri" w:eastAsia="Calibri" w:hAnsi="Calibri" w:cs="Calibri"/>
          <w:sz w:val="21"/>
          <w:szCs w:val="21"/>
        </w:rPr>
        <w:t>), keďže rozhodnutie o vstupe do likvidácie bolo prijaté, resp. sa má prijať, až po súvahovom dni. Spôsob oceňovania majetku a záväzkov v tejto účtovnej závierke preto nebol upravený z dôvodu ukončenia činnosti.</w:t>
      </w:r>
    </w:p>
    <w:p w14:paraId="755DC1D6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Vzhľadom na to, že je zrejmé, že spoločnosť nebude ďalej nepretržite pokračovať vo svojej činnosti, bude v zmysle § 17a zákona o účtovníctve zostavená </w:t>
      </w:r>
      <w:r>
        <w:rPr>
          <w:rFonts w:ascii="Calibri" w:eastAsia="Calibri" w:hAnsi="Calibri" w:cs="Calibri"/>
          <w:b/>
          <w:bCs/>
          <w:sz w:val="21"/>
          <w:szCs w:val="21"/>
        </w:rPr>
        <w:t>mimoriadna účtovná závierka ku dňu predchádzajúcemu deň vstupu do likvidácie</w:t>
      </w:r>
      <w:r>
        <w:rPr>
          <w:rFonts w:ascii="Calibri" w:eastAsia="Calibri" w:hAnsi="Calibri" w:cs="Calibri"/>
          <w:sz w:val="21"/>
          <w:szCs w:val="21"/>
        </w:rPr>
        <w:t>, v ktorej už bude spôsob oceňovania majetku a záväzkov upravený tak, aby zohľadňoval, že spoločnosť nebude pokračovať v činnosti (likvidačné hodnoty).</w:t>
      </w:r>
    </w:p>
    <w:p w14:paraId="28E21B04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lastRenderedPageBreak/>
        <w:t>3. Spôsob oceňovania</w:t>
      </w:r>
    </w:p>
    <w:p w14:paraId="05332E11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Zásoby – obstarávacou cenou.</w:t>
      </w:r>
    </w:p>
    <w:p w14:paraId="177AEBD7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Pohľadávky – menovitou hodnotou pri vzniku; k rizikovým pohľadávkam sa tvoria opravné položky.</w:t>
      </w:r>
    </w:p>
    <w:p w14:paraId="61B64A48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Záväzky – menovitou hodnotou.</w:t>
      </w:r>
    </w:p>
    <w:p w14:paraId="294C8852" w14:textId="77777777" w:rsidR="00CE4463" w:rsidRDefault="00000000">
      <w:pPr>
        <w:pStyle w:val="Odsekzoznamu"/>
        <w:numPr>
          <w:ilvl w:val="0"/>
          <w:numId w:val="1"/>
        </w:numPr>
        <w:spacing w:after="80"/>
      </w:pPr>
      <w:r>
        <w:rPr>
          <w:rFonts w:ascii="Calibri" w:eastAsia="Calibri" w:hAnsi="Calibri" w:cs="Calibri"/>
          <w:sz w:val="21"/>
          <w:szCs w:val="21"/>
        </w:rPr>
        <w:t>Peňažné prostriedky – menovitou hodnotou.</w:t>
      </w:r>
    </w:p>
    <w:p w14:paraId="7816754C" w14:textId="77777777" w:rsidR="00CE4463" w:rsidRDefault="00000000">
      <w:pPr>
        <w:pStyle w:val="Nadpis1"/>
        <w:spacing w:before="320" w:after="160"/>
      </w:pPr>
      <w:r>
        <w:rPr>
          <w:rFonts w:ascii="Calibri" w:eastAsia="Calibri" w:hAnsi="Calibri" w:cs="Calibri"/>
          <w:b/>
          <w:bCs/>
          <w:sz w:val="26"/>
          <w:szCs w:val="26"/>
        </w:rPr>
        <w:t>Čl. III – Informácie, ktoré dopĺňajú a vysvetľujú Súvahu</w:t>
      </w:r>
    </w:p>
    <w:p w14:paraId="109ED7B4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1. Majetok</w:t>
      </w:r>
    </w:p>
    <w:p w14:paraId="38C5C7DE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Spoločnosť nemá k 31. 12. 2025 žiadny dlhodobý majetok ani obežný majetok – celkový majetok klesol na 0 €. K 31. 12. 2024 tvorili majetok výlučne zásoby vo výške 2 454 €, ktoré boli v priebehu roka 2025 spotrebované (viď Čl. IV, spotreba materiálu).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2450"/>
        <w:gridCol w:w="2450"/>
      </w:tblGrid>
      <w:tr w:rsidR="00CE4463" w14:paraId="47F6CC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16153" w14:textId="77777777" w:rsidR="00CE4463" w:rsidRDefault="00000000">
            <w:r>
              <w:rPr>
                <w:rFonts w:ascii="Calibri" w:eastAsia="Calibri" w:hAnsi="Calibri" w:cs="Calibri"/>
                <w:b/>
                <w:bCs/>
              </w:rPr>
              <w:t>Položka majetku</w:t>
            </w:r>
          </w:p>
        </w:tc>
        <w:tc>
          <w:tcPr>
            <w:tcW w:w="24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F602D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2025 (€)</w:t>
            </w:r>
          </w:p>
        </w:tc>
        <w:tc>
          <w:tcPr>
            <w:tcW w:w="24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992F0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2024 (€)</w:t>
            </w:r>
          </w:p>
        </w:tc>
      </w:tr>
      <w:tr w:rsidR="00CE4463" w14:paraId="613EC70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10587" w14:textId="77777777" w:rsidR="00CE4463" w:rsidRDefault="00000000">
            <w:r>
              <w:rPr>
                <w:rFonts w:ascii="Calibri" w:eastAsia="Calibri" w:hAnsi="Calibri" w:cs="Calibri"/>
              </w:rPr>
              <w:t>Spolu majetok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DECED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7149F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2 454</w:t>
            </w:r>
          </w:p>
        </w:tc>
      </w:tr>
      <w:tr w:rsidR="00CE4463" w14:paraId="134EA9D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6BC13" w14:textId="77777777" w:rsidR="00CE4463" w:rsidRDefault="00000000">
            <w:r>
              <w:rPr>
                <w:rFonts w:ascii="Calibri" w:eastAsia="Calibri" w:hAnsi="Calibri" w:cs="Calibri"/>
              </w:rPr>
              <w:t>Neobežný majetok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9FEE4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4506F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4C33196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645CB" w14:textId="77777777" w:rsidR="00CE4463" w:rsidRDefault="00000000">
            <w:r>
              <w:rPr>
                <w:rFonts w:ascii="Calibri" w:eastAsia="Calibri" w:hAnsi="Calibri" w:cs="Calibri"/>
              </w:rPr>
              <w:t>Obežný majetok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0486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7429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2 454</w:t>
            </w:r>
          </w:p>
        </w:tc>
      </w:tr>
      <w:tr w:rsidR="00CE4463" w14:paraId="2AB2571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1C613" w14:textId="77777777" w:rsidR="00CE4463" w:rsidRDefault="00000000">
            <w:r>
              <w:rPr>
                <w:rFonts w:ascii="Calibri" w:eastAsia="Calibri" w:hAnsi="Calibri" w:cs="Calibri"/>
              </w:rPr>
              <w:t>– Zásoby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8C24F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330C3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2 454</w:t>
            </w:r>
          </w:p>
        </w:tc>
      </w:tr>
      <w:tr w:rsidR="00CE4463" w14:paraId="39BB5FF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32A27" w14:textId="77777777" w:rsidR="00CE4463" w:rsidRDefault="00000000">
            <w:r>
              <w:rPr>
                <w:rFonts w:ascii="Calibri" w:eastAsia="Calibri" w:hAnsi="Calibri" w:cs="Calibri"/>
              </w:rPr>
              <w:t>– Krátkodobé pohľadávky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4E120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D62F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0729A5B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E9C9D" w14:textId="77777777" w:rsidR="00CE4463" w:rsidRDefault="00000000">
            <w:r>
              <w:rPr>
                <w:rFonts w:ascii="Calibri" w:eastAsia="Calibri" w:hAnsi="Calibri" w:cs="Calibri"/>
              </w:rPr>
              <w:t>– Finančný majetok (peniaze, účty)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B3138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BE052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</w:tbl>
    <w:p w14:paraId="63C76E77" w14:textId="77777777" w:rsidR="00CE4463" w:rsidRDefault="00000000">
      <w:pPr>
        <w:pStyle w:val="Nadpis2"/>
        <w:spacing w:before="220" w:after="100"/>
      </w:pPr>
      <w:r>
        <w:rPr>
          <w:rFonts w:ascii="Calibri" w:eastAsia="Calibri" w:hAnsi="Calibri" w:cs="Calibri"/>
          <w:b/>
          <w:bCs/>
          <w:sz w:val="23"/>
          <w:szCs w:val="23"/>
        </w:rPr>
        <w:t>2. Vlastné imanie a záväzky</w:t>
      </w:r>
    </w:p>
    <w:p w14:paraId="74E5B746" w14:textId="09077093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Vlastné imanie spoločnosti je záporné v oboch porovnávaných obdobiach. K 31. 12. 2025 dosahuje vlastné imanie -340 €, k 31. 12. 2024 dosahovalo -1 736 €. Rozdiel je spôsobený najmä zvýšením základného imania o 5 000 € v priebehu roka 2025 pri súčasnom pokračujúcom vykazovaní straty.</w:t>
      </w:r>
      <w:r w:rsidR="006F6154">
        <w:rPr>
          <w:rFonts w:ascii="Calibri" w:eastAsia="Calibri" w:hAnsi="Calibri" w:cs="Calibri"/>
          <w:sz w:val="21"/>
          <w:szCs w:val="21"/>
        </w:rPr>
        <w:t xml:space="preserve"> Vykazovanie základného imania nebolo v predchádzajúcich UZ správne. 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2450"/>
        <w:gridCol w:w="2450"/>
      </w:tblGrid>
      <w:tr w:rsidR="00CE4463" w14:paraId="096D28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4F5C9" w14:textId="77777777" w:rsidR="00CE4463" w:rsidRDefault="00000000">
            <w:r>
              <w:rPr>
                <w:rFonts w:ascii="Calibri" w:eastAsia="Calibri" w:hAnsi="Calibri" w:cs="Calibri"/>
                <w:b/>
                <w:bCs/>
              </w:rPr>
              <w:t>Položka vlastného imania a záväzkov</w:t>
            </w:r>
          </w:p>
        </w:tc>
        <w:tc>
          <w:tcPr>
            <w:tcW w:w="24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5F583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2025 (€)</w:t>
            </w:r>
          </w:p>
        </w:tc>
        <w:tc>
          <w:tcPr>
            <w:tcW w:w="245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88619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2024 (€)</w:t>
            </w:r>
          </w:p>
        </w:tc>
      </w:tr>
      <w:tr w:rsidR="00CE4463" w14:paraId="6243A5C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8D123" w14:textId="77777777" w:rsidR="00CE4463" w:rsidRDefault="00000000">
            <w:r>
              <w:rPr>
                <w:rFonts w:ascii="Calibri" w:eastAsia="Calibri" w:hAnsi="Calibri" w:cs="Calibri"/>
              </w:rPr>
              <w:t>Vlastné imanie spolu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C03E8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-340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EAD1A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-1 736</w:t>
            </w:r>
          </w:p>
        </w:tc>
      </w:tr>
      <w:tr w:rsidR="00CE4463" w14:paraId="3A806FB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B62E9" w14:textId="77777777" w:rsidR="00CE4463" w:rsidRDefault="00000000">
            <w:r>
              <w:rPr>
                <w:rFonts w:ascii="Calibri" w:eastAsia="Calibri" w:hAnsi="Calibri" w:cs="Calibri"/>
              </w:rPr>
              <w:t>– Základné imanie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E7782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5 000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BA186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2CC095D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A97BE" w14:textId="77777777" w:rsidR="00CE4463" w:rsidRDefault="00000000">
            <w:r>
              <w:rPr>
                <w:rFonts w:ascii="Calibri" w:eastAsia="Calibri" w:hAnsi="Calibri" w:cs="Calibri"/>
              </w:rPr>
              <w:t>– Nerozdelený zisk / neuhradená strata minulých rokov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C532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-1 736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FC8A0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-536</w:t>
            </w:r>
          </w:p>
        </w:tc>
      </w:tr>
      <w:tr w:rsidR="00CE4463" w14:paraId="2C81E26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037C8" w14:textId="77777777" w:rsidR="00CE4463" w:rsidRDefault="00000000">
            <w:r>
              <w:rPr>
                <w:rFonts w:ascii="Calibri" w:eastAsia="Calibri" w:hAnsi="Calibri" w:cs="Calibri"/>
              </w:rPr>
              <w:t>– Výsledok hospodárenia za účtovné obdobie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8F11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-3 604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5B58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-1 200</w:t>
            </w:r>
          </w:p>
        </w:tc>
      </w:tr>
      <w:tr w:rsidR="00CE4463" w14:paraId="5C2A47D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726A5" w14:textId="77777777" w:rsidR="00CE4463" w:rsidRDefault="00000000">
            <w:r>
              <w:rPr>
                <w:rFonts w:ascii="Calibri" w:eastAsia="Calibri" w:hAnsi="Calibri" w:cs="Calibri"/>
              </w:rPr>
              <w:t>Záväzky spolu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2354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340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2942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4 190</w:t>
            </w:r>
          </w:p>
        </w:tc>
      </w:tr>
      <w:tr w:rsidR="00CE4463" w14:paraId="72B3390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34C10" w14:textId="77777777" w:rsidR="00CE4463" w:rsidRDefault="00000000">
            <w:r>
              <w:rPr>
                <w:rFonts w:ascii="Calibri" w:eastAsia="Calibri" w:hAnsi="Calibri" w:cs="Calibri"/>
              </w:rPr>
              <w:t>– Daňové záväzky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9E1C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340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81CBC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340</w:t>
            </w:r>
          </w:p>
        </w:tc>
      </w:tr>
      <w:tr w:rsidR="00CE4463" w14:paraId="3A068C0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FAE7D" w14:textId="77777777" w:rsidR="00CE4463" w:rsidRDefault="00000000">
            <w:r>
              <w:rPr>
                <w:rFonts w:ascii="Calibri" w:eastAsia="Calibri" w:hAnsi="Calibri" w:cs="Calibri"/>
              </w:rPr>
              <w:t>– Ostatné krátkodobé záväzky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5CF71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420A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3 850</w:t>
            </w:r>
          </w:p>
        </w:tc>
      </w:tr>
      <w:tr w:rsidR="00CE4463" w14:paraId="25C1EA2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5BF35" w14:textId="77777777" w:rsidR="00CE4463" w:rsidRDefault="00000000">
            <w:r>
              <w:rPr>
                <w:rFonts w:ascii="Calibri" w:eastAsia="Calibri" w:hAnsi="Calibri" w:cs="Calibri"/>
              </w:rPr>
              <w:t>Spolu vlastné imanie a záväzky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51A9D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4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AC204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2 454</w:t>
            </w:r>
          </w:p>
        </w:tc>
      </w:tr>
    </w:tbl>
    <w:p w14:paraId="1B406D5A" w14:textId="7D767956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Vlastné imanie spoločnosti je nižšie ako 50 % základného imania (§ 67j Obchodného zákonníka) a v roku 2025 bolo aj v roku 2024 záporné. Táto skutočnosť súvisí s pripravovaným vstupom spoločnosti do likvidácie – </w:t>
      </w:r>
    </w:p>
    <w:p w14:paraId="11AFDC5B" w14:textId="77777777" w:rsidR="00CE4463" w:rsidRDefault="00000000">
      <w:pPr>
        <w:pStyle w:val="Nadpis1"/>
        <w:spacing w:before="320" w:after="160"/>
      </w:pPr>
      <w:r>
        <w:rPr>
          <w:rFonts w:ascii="Calibri" w:eastAsia="Calibri" w:hAnsi="Calibri" w:cs="Calibri"/>
          <w:b/>
          <w:bCs/>
          <w:sz w:val="26"/>
          <w:szCs w:val="26"/>
        </w:rPr>
        <w:t>Čl. IV – Informácie, ktoré dopĺňajú a vysvetľujú Výkaz ziskov a strát</w:t>
      </w:r>
    </w:p>
    <w:p w14:paraId="22A54D8D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Spoločnosť nedosiahla v rokoch 2025 ani 2024 žiadne výnosy z hospodárskej ani finančnej činnosti (tržby 0 €). Náklady súviseli so spotrebou zásob a s ostatnými prevádzkovými nákladmi.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2300"/>
        <w:gridCol w:w="2300"/>
      </w:tblGrid>
      <w:tr w:rsidR="00CE4463" w14:paraId="23006AC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CE06E" w14:textId="77777777" w:rsidR="00CE4463" w:rsidRDefault="00000000">
            <w:r>
              <w:rPr>
                <w:rFonts w:ascii="Calibri" w:eastAsia="Calibri" w:hAnsi="Calibri" w:cs="Calibri"/>
                <w:b/>
                <w:bCs/>
              </w:rPr>
              <w:t>Položka</w:t>
            </w:r>
          </w:p>
        </w:tc>
        <w:tc>
          <w:tcPr>
            <w:tcW w:w="2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ABD5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2025 (€)</w:t>
            </w:r>
          </w:p>
        </w:tc>
        <w:tc>
          <w:tcPr>
            <w:tcW w:w="2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F9E15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2024 (€)</w:t>
            </w:r>
          </w:p>
        </w:tc>
      </w:tr>
      <w:tr w:rsidR="00CE4463" w14:paraId="5E1628DD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D9515" w14:textId="77777777" w:rsidR="00CE4463" w:rsidRDefault="00000000">
            <w:r>
              <w:rPr>
                <w:rFonts w:ascii="Calibri" w:eastAsia="Calibri" w:hAnsi="Calibri" w:cs="Calibri"/>
              </w:rPr>
              <w:t>Výnosy z hospodárskej činnosti spolu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D2E55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73558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3F78D9D0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A9376" w14:textId="77777777" w:rsidR="00CE4463" w:rsidRDefault="00000000">
            <w:r>
              <w:rPr>
                <w:rFonts w:ascii="Calibri" w:eastAsia="Calibri" w:hAnsi="Calibri" w:cs="Calibri"/>
              </w:rPr>
              <w:lastRenderedPageBreak/>
              <w:t>Náklady na hospodársku činnosť spolu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7C765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3 264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594A01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860</w:t>
            </w:r>
          </w:p>
        </w:tc>
      </w:tr>
      <w:tr w:rsidR="00CE4463" w14:paraId="6F29ADD2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8C50D" w14:textId="77777777" w:rsidR="00CE4463" w:rsidRDefault="00000000">
            <w:r>
              <w:rPr>
                <w:rFonts w:ascii="Calibri" w:eastAsia="Calibri" w:hAnsi="Calibri" w:cs="Calibri"/>
              </w:rPr>
              <w:t xml:space="preserve">– Spotreba materiálu, energie a </w:t>
            </w:r>
            <w:proofErr w:type="spellStart"/>
            <w:r>
              <w:rPr>
                <w:rFonts w:ascii="Calibri" w:eastAsia="Calibri" w:hAnsi="Calibri" w:cs="Calibri"/>
              </w:rPr>
              <w:t>ost</w:t>
            </w:r>
            <w:proofErr w:type="spellEnd"/>
            <w:r>
              <w:rPr>
                <w:rFonts w:ascii="Calibri" w:eastAsia="Calibri" w:hAnsi="Calibri" w:cs="Calibri"/>
              </w:rPr>
              <w:t>. dodávok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C37F2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2 454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B2FE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10EF17DE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E49B3" w14:textId="77777777" w:rsidR="00CE4463" w:rsidRDefault="00000000">
            <w:r>
              <w:rPr>
                <w:rFonts w:ascii="Calibri" w:eastAsia="Calibri" w:hAnsi="Calibri" w:cs="Calibri"/>
              </w:rPr>
              <w:t>– Služby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E2DF9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66A0B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860</w:t>
            </w:r>
          </w:p>
        </w:tc>
      </w:tr>
      <w:tr w:rsidR="00CE4463" w14:paraId="6FA93EE4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35A65" w14:textId="77777777" w:rsidR="00CE4463" w:rsidRDefault="00000000">
            <w:r>
              <w:rPr>
                <w:rFonts w:ascii="Calibri" w:eastAsia="Calibri" w:hAnsi="Calibri" w:cs="Calibri"/>
              </w:rPr>
              <w:t>– Ostatné náklady na hospodársku činnosť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F97C1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810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D9065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45FD6492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EA69D" w14:textId="77777777" w:rsidR="00CE4463" w:rsidRDefault="00000000">
            <w:r>
              <w:rPr>
                <w:rFonts w:ascii="Calibri" w:eastAsia="Calibri" w:hAnsi="Calibri" w:cs="Calibri"/>
              </w:rPr>
              <w:t>Výsledok hospodárenia z hospodárskej činnosti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AC38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-3 264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CF55A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-860</w:t>
            </w:r>
          </w:p>
        </w:tc>
      </w:tr>
      <w:tr w:rsidR="00CE4463" w14:paraId="415346C0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81DF1" w14:textId="77777777" w:rsidR="00CE4463" w:rsidRDefault="00000000">
            <w:r>
              <w:rPr>
                <w:rFonts w:ascii="Calibri" w:eastAsia="Calibri" w:hAnsi="Calibri" w:cs="Calibri"/>
              </w:rPr>
              <w:t>Výsledok hospodárenia z finančnej činnosti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1656A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C7C8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CE4463" w14:paraId="4C4BEA9C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E14A2" w14:textId="77777777" w:rsidR="00CE4463" w:rsidRDefault="00000000">
            <w:r>
              <w:rPr>
                <w:rFonts w:ascii="Calibri" w:eastAsia="Calibri" w:hAnsi="Calibri" w:cs="Calibri"/>
              </w:rPr>
              <w:t>Výsledok hospodárenia pred zdanením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A5F5F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-3 264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99527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-860</w:t>
            </w:r>
          </w:p>
        </w:tc>
      </w:tr>
      <w:tr w:rsidR="00CE4463" w14:paraId="2BE302F9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43CD0" w14:textId="77777777" w:rsidR="00CE4463" w:rsidRDefault="00000000">
            <w:r>
              <w:rPr>
                <w:rFonts w:ascii="Calibri" w:eastAsia="Calibri" w:hAnsi="Calibri" w:cs="Calibri"/>
              </w:rPr>
              <w:t>Daň z príjmov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DBEBE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340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B6E4A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340</w:t>
            </w:r>
          </w:p>
        </w:tc>
      </w:tr>
      <w:tr w:rsidR="00CE4463" w14:paraId="0DE444EC" w14:textId="77777777">
        <w:tblPrEx>
          <w:tblCellMar>
            <w:top w:w="0" w:type="dxa"/>
            <w:bottom w:w="0" w:type="dxa"/>
          </w:tblCellMar>
        </w:tblPrEx>
        <w:tc>
          <w:tcPr>
            <w:tcW w:w="5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5C820" w14:textId="77777777" w:rsidR="00CE4463" w:rsidRDefault="00000000">
            <w:r>
              <w:rPr>
                <w:rFonts w:ascii="Calibri" w:eastAsia="Calibri" w:hAnsi="Calibri" w:cs="Calibri"/>
              </w:rPr>
              <w:t>Výsledok hospodárenia za účtovné obdobie po zdanení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B39E8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-3 604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961A8" w14:textId="77777777" w:rsidR="00CE4463" w:rsidRDefault="00000000">
            <w:pPr>
              <w:jc w:val="right"/>
            </w:pPr>
            <w:r>
              <w:rPr>
                <w:rFonts w:ascii="Calibri" w:eastAsia="Calibri" w:hAnsi="Calibri" w:cs="Calibri"/>
              </w:rPr>
              <w:t>-1 200</w:t>
            </w:r>
          </w:p>
        </w:tc>
      </w:tr>
    </w:tbl>
    <w:p w14:paraId="0934D1E0" w14:textId="77777777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>Spoločnosť vykázala aj v roku 2025 stratu (-3 604 €), pričom celková neuhradená strata a záporné vlastné imanie sú jedným z dôvodov, pre ktoré spoločníci pristupujú k zrušeniu spoločnosti s likvidáciou.</w:t>
      </w:r>
    </w:p>
    <w:p w14:paraId="4A64446F" w14:textId="0AAB6983" w:rsidR="00CE4463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Daň z príjmov vo výške 340 € zodpovedá minimálnej dani (tzv. dani z príjmov právnickej osoby na úrovni minimálnej výšky dane) </w:t>
      </w:r>
    </w:p>
    <w:p w14:paraId="4D703219" w14:textId="77777777" w:rsidR="00CE4463" w:rsidRDefault="00CE4463">
      <w:pPr>
        <w:spacing w:before="400"/>
      </w:pPr>
    </w:p>
    <w:p w14:paraId="570AC66E" w14:textId="3A35A9F0" w:rsidR="00CE4463" w:rsidRDefault="00CE4463">
      <w:pPr>
        <w:spacing w:after="140"/>
      </w:pPr>
    </w:p>
    <w:sectPr w:rsidR="00CE446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875"/>
    <w:multiLevelType w:val="hybridMultilevel"/>
    <w:tmpl w:val="AC7A5C2A"/>
    <w:lvl w:ilvl="0" w:tplc="201AE546">
      <w:start w:val="1"/>
      <w:numFmt w:val="bullet"/>
      <w:lvlText w:val="●"/>
      <w:lvlJc w:val="left"/>
      <w:pPr>
        <w:ind w:left="720" w:hanging="360"/>
      </w:pPr>
    </w:lvl>
    <w:lvl w:ilvl="1" w:tplc="2E24AA9E">
      <w:start w:val="1"/>
      <w:numFmt w:val="bullet"/>
      <w:lvlText w:val="○"/>
      <w:lvlJc w:val="left"/>
      <w:pPr>
        <w:ind w:left="1440" w:hanging="360"/>
      </w:pPr>
    </w:lvl>
    <w:lvl w:ilvl="2" w:tplc="23EC9D44">
      <w:start w:val="1"/>
      <w:numFmt w:val="bullet"/>
      <w:lvlText w:val="■"/>
      <w:lvlJc w:val="left"/>
      <w:pPr>
        <w:ind w:left="2160" w:hanging="360"/>
      </w:pPr>
    </w:lvl>
    <w:lvl w:ilvl="3" w:tplc="AF4469B4">
      <w:start w:val="1"/>
      <w:numFmt w:val="bullet"/>
      <w:lvlText w:val="●"/>
      <w:lvlJc w:val="left"/>
      <w:pPr>
        <w:ind w:left="2880" w:hanging="360"/>
      </w:pPr>
    </w:lvl>
    <w:lvl w:ilvl="4" w:tplc="8B024B22">
      <w:start w:val="1"/>
      <w:numFmt w:val="bullet"/>
      <w:lvlText w:val="○"/>
      <w:lvlJc w:val="left"/>
      <w:pPr>
        <w:ind w:left="3600" w:hanging="360"/>
      </w:pPr>
    </w:lvl>
    <w:lvl w:ilvl="5" w:tplc="BAFAA48A">
      <w:start w:val="1"/>
      <w:numFmt w:val="bullet"/>
      <w:lvlText w:val="■"/>
      <w:lvlJc w:val="left"/>
      <w:pPr>
        <w:ind w:left="4320" w:hanging="360"/>
      </w:pPr>
    </w:lvl>
    <w:lvl w:ilvl="6" w:tplc="DE0AE5F0">
      <w:start w:val="1"/>
      <w:numFmt w:val="bullet"/>
      <w:lvlText w:val="●"/>
      <w:lvlJc w:val="left"/>
      <w:pPr>
        <w:ind w:left="5040" w:hanging="360"/>
      </w:pPr>
    </w:lvl>
    <w:lvl w:ilvl="7" w:tplc="B91CE724">
      <w:start w:val="1"/>
      <w:numFmt w:val="bullet"/>
      <w:lvlText w:val="●"/>
      <w:lvlJc w:val="left"/>
      <w:pPr>
        <w:ind w:left="5760" w:hanging="360"/>
      </w:pPr>
    </w:lvl>
    <w:lvl w:ilvl="8" w:tplc="D3584D9C">
      <w:start w:val="1"/>
      <w:numFmt w:val="bullet"/>
      <w:lvlText w:val="●"/>
      <w:lvlJc w:val="left"/>
      <w:pPr>
        <w:ind w:left="6480" w:hanging="360"/>
      </w:pPr>
    </w:lvl>
  </w:abstractNum>
  <w:num w:numId="1" w16cid:durableId="4099329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63"/>
    <w:rsid w:val="006F6154"/>
    <w:rsid w:val="00C84552"/>
    <w:rsid w:val="00CE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87FE"/>
  <w15:docId w15:val="{05EB7049-AD94-46DE-8015-B8614FAB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Lucia Sandtner</cp:lastModifiedBy>
  <cp:revision>2</cp:revision>
  <dcterms:created xsi:type="dcterms:W3CDTF">2026-09-03T20:19:00Z</dcterms:created>
  <dcterms:modified xsi:type="dcterms:W3CDTF">2026-09-03T20:19:00Z</dcterms:modified>
</cp:coreProperties>
</file>